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Georgia" w:cs="Georgia" w:eastAsia="Georgia" w:hAnsi="Georgia"/>
          <w:b/>
          <w:bCs/>
          <w:color w:val="1B2A4A"/>
          <w:sz w:val="32"/>
          <w:szCs w:val="32"/>
        </w:rPr>
        <w:t xml:space="preserve">MERIDIAN HEALTHTECH SOLUTIONS</w:t>
      </w:r>
    </w:p>
    <w:p>
      <w:pPr>
        <w:spacing w:after="400"/>
        <w:jc w:val="center"/>
      </w:pPr>
      <w:r>
        <w:rPr>
          <w:rFonts w:ascii="Calibri" w:cs="Calibri" w:eastAsia="Calibri" w:hAnsi="Calibri"/>
          <w:i/>
          <w:iCs/>
          <w:color w:val="1F7A7A"/>
          <w:sz w:val="22"/>
          <w:szCs w:val="22"/>
        </w:rPr>
        <w:t xml:space="preserve">Cloud Care-Coordination &amp; Patient Engagement Platform</w:t>
      </w:r>
    </w:p>
    <w:p>
      <w:pPr>
        <w:spacing w:after="200" w:before="800"/>
        <w:jc w:val="center"/>
      </w:pPr>
      <w:r>
        <w:rPr>
          <w:rFonts w:ascii="Georgia" w:cs="Georgia" w:eastAsia="Georgia" w:hAnsi="Georgia"/>
          <w:b/>
          <w:bCs/>
          <w:color w:val="E0674A"/>
          <w:sz w:val="38"/>
          <w:szCs w:val="38"/>
        </w:rPr>
        <w:t xml:space="preserve">SECURITY AWARENESS TRAINING PROGRAM</w:t>
      </w:r>
    </w:p>
    <w:p>
      <w:pPr>
        <w:spacing w:after="100"/>
        <w:jc w:val="center"/>
      </w:pPr>
      <w:r>
        <w:rPr>
          <w:rFonts w:ascii="Calibri" w:cs="Calibri" w:eastAsia="Calibri" w:hAnsi="Calibri"/>
          <w:color w:val="1B2A4A"/>
          <w:sz w:val="22"/>
          <w:szCs w:val="22"/>
        </w:rPr>
        <w:t xml:space="preserve">Program Design, Curriculum, and Simulated Phishing Campaign</w:t>
      </w:r>
    </w:p>
    <w:p>
      <w:pPr>
        <w:spacing w:before="600"/>
        <w:jc w:val="center"/>
      </w:pPr>
      <w:r>
        <w:rPr>
          <w:rFonts w:ascii="Calibri" w:cs="Calibri" w:eastAsia="Calibri" w:hAnsi="Calibri"/>
          <w:color w:val="666666"/>
          <w:sz w:val="18"/>
          <w:szCs w:val="18"/>
        </w:rPr>
        <w:t xml:space="preserve">Document Owner: Chief Information Security Officer / GRC Lead</w:t>
      </w:r>
    </w:p>
    <w:p>
      <w:pPr>
        <w:spacing w:after="800"/>
        <w:jc w:val="center"/>
      </w:pPr>
      <w:r>
        <w:rPr>
          <w:rFonts w:ascii="Calibri" w:cs="Calibri" w:eastAsia="Calibri" w:hAnsi="Calibri"/>
          <w:color w:val="666666"/>
          <w:sz w:val="18"/>
          <w:szCs w:val="18"/>
        </w:rPr>
        <w:t xml:space="preserve">Classification: Confidential   |   Version 1.0   |   September 2026</w:t>
      </w:r>
    </w:p>
    <w:p>
      <w:r>
        <w:br w:type="page"/>
      </w:r>
    </w:p>
    <w:p>
      <w:pPr>
        <w:pStyle w:val="Heading1"/>
        <w:pBdr>
          <w:bottom w:val="single" w:color="1F7A7A" w:sz="8" w:space="4"/>
        </w:pBdr>
        <w:spacing w:after="200" w:before="400"/>
      </w:pPr>
      <w:r>
        <w:rPr>
          <w:rFonts w:ascii="Georgia" w:cs="Georgia" w:eastAsia="Georgia" w:hAnsi="Georgia"/>
          <w:b/>
          <w:bCs/>
          <w:color w:val="1B2A4A"/>
          <w:sz w:val="30"/>
          <w:szCs w:val="30"/>
        </w:rPr>
        <w:t xml:space="preserve">1. Program Purpose &amp; Objectives</w:t>
      </w:r>
    </w:p>
    <w:p>
      <w:pPr>
        <w:spacing w:after="140"/>
      </w:pPr>
      <w:r>
        <w:rPr>
          <w:rFonts w:ascii="Calibri" w:cs="Calibri" w:eastAsia="Calibri" w:hAnsi="Calibri"/>
          <w:sz w:val="21"/>
          <w:szCs w:val="21"/>
        </w:rPr>
        <w:t xml:space="preserve">The Security Awareness Training Program exists to reduce Meridian HealthTech Solutions' human-layer risk — the leading initial-access vector in healthcare-sector breaches — by building a workforce that recognizes, resists, and reports social-engineering and data-handling risks. The program directly supports the Acceptable Use Policy (MER-ISP-001), the Incident Response Policy (MER-ISP-002), and ISO/IEC 27001:2022 Annex A control 6.3 (Information security awareness, education and training).</w:t>
      </w:r>
    </w:p>
    <w:p>
      <w:pPr>
        <w:spacing w:after="100" w:before="200"/>
      </w:pPr>
      <w:r>
        <w:rPr>
          <w:rFonts w:ascii="Calibri" w:cs="Calibri" w:eastAsia="Calibri" w:hAnsi="Calibri"/>
          <w:b/>
          <w:bCs/>
          <w:color w:val="1B2A4A"/>
          <w:sz w:val="22"/>
          <w:szCs w:val="22"/>
        </w:rPr>
        <w:t xml:space="preserve">Objectives</w:t>
      </w:r>
    </w:p>
    <w:p>
      <w:pPr>
        <w:pStyle w:val="ListParagraph"/>
        <w:numPr>
          <w:ilvl w:val="0"/>
          <w:numId w:val="2"/>
        </w:numPr>
        <w:spacing w:after="60"/>
      </w:pPr>
      <w:r>
        <w:rPr>
          <w:rFonts w:ascii="Calibri" w:cs="Calibri" w:eastAsia="Calibri" w:hAnsi="Calibri"/>
          <w:sz w:val="21"/>
          <w:szCs w:val="21"/>
        </w:rPr>
        <w:t xml:space="preserve">Reduce the simulated-phishing click rate below an organizational target of 10% within two quarters.</w:t>
      </w:r>
    </w:p>
    <w:p>
      <w:pPr>
        <w:pStyle w:val="ListParagraph"/>
        <w:numPr>
          <w:ilvl w:val="0"/>
          <w:numId w:val="2"/>
        </w:numPr>
        <w:spacing w:after="60"/>
      </w:pPr>
      <w:r>
        <w:rPr>
          <w:rFonts w:ascii="Calibri" w:cs="Calibri" w:eastAsia="Calibri" w:hAnsi="Calibri"/>
          <w:sz w:val="21"/>
          <w:szCs w:val="21"/>
        </w:rPr>
        <w:t xml:space="preserve">Increase the phishing report rate (use of the Report Phishing button) to above 40%.</w:t>
      </w:r>
    </w:p>
    <w:p>
      <w:pPr>
        <w:pStyle w:val="ListParagraph"/>
        <w:numPr>
          <w:ilvl w:val="0"/>
          <w:numId w:val="2"/>
        </w:numPr>
        <w:spacing w:after="60"/>
      </w:pPr>
      <w:r>
        <w:rPr>
          <w:rFonts w:ascii="Calibri" w:cs="Calibri" w:eastAsia="Calibri" w:hAnsi="Calibri"/>
          <w:sz w:val="21"/>
          <w:szCs w:val="21"/>
        </w:rPr>
        <w:t xml:space="preserve">Achieve 100% completion of mandatory annual training with no more than a 5-business-day grace period.</w:t>
      </w:r>
    </w:p>
    <w:p>
      <w:pPr>
        <w:pStyle w:val="ListParagraph"/>
        <w:numPr>
          <w:ilvl w:val="0"/>
          <w:numId w:val="2"/>
        </w:numPr>
        <w:spacing w:after="60"/>
      </w:pPr>
      <w:r>
        <w:rPr>
          <w:rFonts w:ascii="Calibri" w:cs="Calibri" w:eastAsia="Calibri" w:hAnsi="Calibri"/>
          <w:sz w:val="21"/>
          <w:szCs w:val="21"/>
        </w:rPr>
        <w:t xml:space="preserve">Build role-specific competency for high-risk populations: Finance (wire-fraud/BEC), Support (PHI handling in tickets), Engineering (secure coding), and Executives (whaling).</w:t>
      </w:r>
    </w:p>
    <w:p>
      <w:pPr>
        <w:pStyle w:val="ListParagraph"/>
        <w:numPr>
          <w:ilvl w:val="0"/>
          <w:numId w:val="2"/>
        </w:numPr>
        <w:spacing w:after="60"/>
      </w:pPr>
      <w:r>
        <w:rPr>
          <w:rFonts w:ascii="Calibri" w:cs="Calibri" w:eastAsia="Calibri" w:hAnsi="Calibri"/>
          <w:sz w:val="21"/>
          <w:szCs w:val="21"/>
        </w:rPr>
        <w:t xml:space="preserve">Provide measurable evidence of control effectiveness for ISO 27001 Annex A 6.3 and HIPAA Security Rule §164.308(a)(5) (Security Awareness and Training).</w:t>
      </w:r>
    </w:p>
    <w:p>
      <w:pPr>
        <w:pStyle w:val="Heading1"/>
        <w:pBdr>
          <w:bottom w:val="single" w:color="1F7A7A" w:sz="8" w:space="4"/>
        </w:pBdr>
        <w:spacing w:after="200" w:before="400"/>
      </w:pPr>
      <w:r>
        <w:rPr>
          <w:rFonts w:ascii="Georgia" w:cs="Georgia" w:eastAsia="Georgia" w:hAnsi="Georgia"/>
          <w:b/>
          <w:bCs/>
          <w:color w:val="1B2A4A"/>
          <w:sz w:val="30"/>
          <w:szCs w:val="30"/>
        </w:rPr>
        <w:t xml:space="preserve">2. Audience &amp; Delivery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00"/>
      </w:tblGrid>
      <w:tr>
        <w:tc>
          <w:tcPr>
            <w:tcW w:type="dxa" w:w="3200"/>
            <w:shd w:fill="1B2A4A" w:val="clear"/>
          </w:tcPr>
          <w:p>
            <w:r>
              <w:rPr>
                <w:rFonts w:ascii="Calibri" w:cs="Calibri" w:eastAsia="Calibri" w:hAnsi="Calibri"/>
                <w:b/>
                <w:bCs/>
                <w:color w:val="FFFFFF"/>
                <w:sz w:val="19"/>
                <w:szCs w:val="19"/>
              </w:rPr>
              <w:t xml:space="preserve">Audience Segment</w:t>
            </w:r>
          </w:p>
        </w:tc>
        <w:tc>
          <w:tcPr>
            <w:tcW w:type="dxa" w:w="4200"/>
            <w:shd w:fill="1B2A4A" w:val="clear"/>
          </w:tcPr>
          <w:p>
            <w:r>
              <w:rPr>
                <w:rFonts w:ascii="Calibri" w:cs="Calibri" w:eastAsia="Calibri" w:hAnsi="Calibri"/>
                <w:b/>
                <w:bCs/>
                <w:color w:val="FFFFFF"/>
                <w:sz w:val="19"/>
                <w:szCs w:val="19"/>
              </w:rPr>
              <w:t xml:space="preserve">Content Emphasis</w:t>
            </w:r>
          </w:p>
        </w:tc>
        <w:tc>
          <w:tcPr>
            <w:tcW w:type="dxa" w:w="2200"/>
            <w:shd w:fill="1B2A4A" w:val="clear"/>
          </w:tcPr>
          <w:p>
            <w:r>
              <w:rPr>
                <w:rFonts w:ascii="Calibri" w:cs="Calibri" w:eastAsia="Calibri" w:hAnsi="Calibri"/>
                <w:b/>
                <w:bCs/>
                <w:color w:val="FFFFFF"/>
                <w:sz w:val="19"/>
                <w:szCs w:val="19"/>
              </w:rPr>
              <w:t xml:space="preserve">Delivery Cadence</w:t>
            </w:r>
          </w:p>
        </w:tc>
      </w:tr>
      <w:tr>
        <w:tc>
          <w:tcPr>
            <w:tcW w:type="dxa" w:w="3200"/>
          </w:tcPr>
          <w:p>
            <w:r>
              <w:rPr>
                <w:rFonts w:ascii="Calibri" w:cs="Calibri" w:eastAsia="Calibri" w:hAnsi="Calibri"/>
                <w:b w:val="false"/>
                <w:bCs w:val="false"/>
                <w:color w:val="000000"/>
                <w:sz w:val="19"/>
                <w:szCs w:val="19"/>
              </w:rPr>
              <w:t xml:space="preserve">All Workforce (baseline)</w:t>
            </w:r>
          </w:p>
        </w:tc>
        <w:tc>
          <w:tcPr>
            <w:tcW w:type="dxa" w:w="4200"/>
          </w:tcPr>
          <w:p>
            <w:r>
              <w:rPr>
                <w:rFonts w:ascii="Calibri" w:cs="Calibri" w:eastAsia="Calibri" w:hAnsi="Calibri"/>
                <w:b w:val="false"/>
                <w:bCs w:val="false"/>
                <w:color w:val="000000"/>
                <w:sz w:val="19"/>
                <w:szCs w:val="19"/>
              </w:rPr>
              <w:t xml:space="preserve">Phishing recognition, password/MFA hygiene, data classification basics, incident reporting</w:t>
            </w:r>
          </w:p>
        </w:tc>
        <w:tc>
          <w:tcPr>
            <w:tcW w:type="dxa" w:w="2200"/>
          </w:tcPr>
          <w:p>
            <w:r>
              <w:rPr>
                <w:rFonts w:ascii="Calibri" w:cs="Calibri" w:eastAsia="Calibri" w:hAnsi="Calibri"/>
                <w:b w:val="false"/>
                <w:bCs w:val="false"/>
                <w:color w:val="000000"/>
                <w:sz w:val="19"/>
                <w:szCs w:val="19"/>
              </w:rPr>
              <w:t xml:space="preserve">Annual mandatory + quarterly micro-training</w:t>
            </w:r>
          </w:p>
        </w:tc>
      </w:tr>
      <w:tr>
        <w:tc>
          <w:tcPr>
            <w:tcW w:type="dxa" w:w="3200"/>
          </w:tcPr>
          <w:p>
            <w:r>
              <w:rPr>
                <w:rFonts w:ascii="Calibri" w:cs="Calibri" w:eastAsia="Calibri" w:hAnsi="Calibri"/>
                <w:b w:val="false"/>
                <w:bCs w:val="false"/>
                <w:color w:val="000000"/>
                <w:sz w:val="19"/>
                <w:szCs w:val="19"/>
              </w:rPr>
              <w:t xml:space="preserve">Engineering &amp; DevOps</w:t>
            </w:r>
          </w:p>
        </w:tc>
        <w:tc>
          <w:tcPr>
            <w:tcW w:type="dxa" w:w="4200"/>
          </w:tcPr>
          <w:p>
            <w:r>
              <w:rPr>
                <w:rFonts w:ascii="Calibri" w:cs="Calibri" w:eastAsia="Calibri" w:hAnsi="Calibri"/>
                <w:b w:val="false"/>
                <w:bCs w:val="false"/>
                <w:color w:val="000000"/>
                <w:sz w:val="19"/>
                <w:szCs w:val="19"/>
              </w:rPr>
              <w:t xml:space="preserve">Secure coding (OWASP Top 10), secrets management, supply-chain risk</w:t>
            </w:r>
          </w:p>
        </w:tc>
        <w:tc>
          <w:tcPr>
            <w:tcW w:type="dxa" w:w="2200"/>
          </w:tcPr>
          <w:p>
            <w:r>
              <w:rPr>
                <w:rFonts w:ascii="Calibri" w:cs="Calibri" w:eastAsia="Calibri" w:hAnsi="Calibri"/>
                <w:b w:val="false"/>
                <w:bCs w:val="false"/>
                <w:color w:val="000000"/>
                <w:sz w:val="19"/>
                <w:szCs w:val="19"/>
              </w:rPr>
              <w:t xml:space="preserve">Annual + onboarding for new hires</w:t>
            </w:r>
          </w:p>
        </w:tc>
      </w:tr>
      <w:tr>
        <w:tc>
          <w:tcPr>
            <w:tcW w:type="dxa" w:w="3200"/>
          </w:tcPr>
          <w:p>
            <w:r>
              <w:rPr>
                <w:rFonts w:ascii="Calibri" w:cs="Calibri" w:eastAsia="Calibri" w:hAnsi="Calibri"/>
                <w:b w:val="false"/>
                <w:bCs w:val="false"/>
                <w:color w:val="000000"/>
                <w:sz w:val="19"/>
                <w:szCs w:val="19"/>
              </w:rPr>
              <w:t xml:space="preserve">Customer Support / Success</w:t>
            </w:r>
          </w:p>
        </w:tc>
        <w:tc>
          <w:tcPr>
            <w:tcW w:type="dxa" w:w="4200"/>
          </w:tcPr>
          <w:p>
            <w:r>
              <w:rPr>
                <w:rFonts w:ascii="Calibri" w:cs="Calibri" w:eastAsia="Calibri" w:hAnsi="Calibri"/>
                <w:b w:val="false"/>
                <w:bCs w:val="false"/>
                <w:color w:val="000000"/>
                <w:sz w:val="19"/>
                <w:szCs w:val="19"/>
              </w:rPr>
              <w:t xml:space="preserve">PHI handling in tickets, verifying inbound requests, social-engineering pretexts</w:t>
            </w:r>
          </w:p>
        </w:tc>
        <w:tc>
          <w:tcPr>
            <w:tcW w:type="dxa" w:w="2200"/>
          </w:tcPr>
          <w:p>
            <w:r>
              <w:rPr>
                <w:rFonts w:ascii="Calibri" w:cs="Calibri" w:eastAsia="Calibri" w:hAnsi="Calibri"/>
                <w:b w:val="false"/>
                <w:bCs w:val="false"/>
                <w:color w:val="000000"/>
                <w:sz w:val="19"/>
                <w:szCs w:val="19"/>
              </w:rPr>
              <w:t xml:space="preserve">Annual + post-incident targeted refreshers</w:t>
            </w:r>
          </w:p>
        </w:tc>
      </w:tr>
      <w:tr>
        <w:tc>
          <w:tcPr>
            <w:tcW w:type="dxa" w:w="3200"/>
          </w:tcPr>
          <w:p>
            <w:r>
              <w:rPr>
                <w:rFonts w:ascii="Calibri" w:cs="Calibri" w:eastAsia="Calibri" w:hAnsi="Calibri"/>
                <w:b w:val="false"/>
                <w:bCs w:val="false"/>
                <w:color w:val="000000"/>
                <w:sz w:val="19"/>
                <w:szCs w:val="19"/>
              </w:rPr>
              <w:t xml:space="preserve">Finance &amp; Accounting</w:t>
            </w:r>
          </w:p>
        </w:tc>
        <w:tc>
          <w:tcPr>
            <w:tcW w:type="dxa" w:w="4200"/>
          </w:tcPr>
          <w:p>
            <w:r>
              <w:rPr>
                <w:rFonts w:ascii="Calibri" w:cs="Calibri" w:eastAsia="Calibri" w:hAnsi="Calibri"/>
                <w:b w:val="false"/>
                <w:bCs w:val="false"/>
                <w:color w:val="000000"/>
                <w:sz w:val="19"/>
                <w:szCs w:val="19"/>
              </w:rPr>
              <w:t xml:space="preserve">Business email compromise (BEC), wire-transfer verification procedures</w:t>
            </w:r>
          </w:p>
        </w:tc>
        <w:tc>
          <w:tcPr>
            <w:tcW w:type="dxa" w:w="2200"/>
          </w:tcPr>
          <w:p>
            <w:r>
              <w:rPr>
                <w:rFonts w:ascii="Calibri" w:cs="Calibri" w:eastAsia="Calibri" w:hAnsi="Calibri"/>
                <w:b w:val="false"/>
                <w:bCs w:val="false"/>
                <w:color w:val="000000"/>
                <w:sz w:val="19"/>
                <w:szCs w:val="19"/>
              </w:rPr>
              <w:t xml:space="preserve">Annual + targeted after any wire-related incident</w:t>
            </w:r>
          </w:p>
        </w:tc>
      </w:tr>
      <w:tr>
        <w:tc>
          <w:tcPr>
            <w:tcW w:type="dxa" w:w="3200"/>
          </w:tcPr>
          <w:p>
            <w:r>
              <w:rPr>
                <w:rFonts w:ascii="Calibri" w:cs="Calibri" w:eastAsia="Calibri" w:hAnsi="Calibri"/>
                <w:b w:val="false"/>
                <w:bCs w:val="false"/>
                <w:color w:val="000000"/>
                <w:sz w:val="19"/>
                <w:szCs w:val="19"/>
              </w:rPr>
              <w:t xml:space="preserve">Executive Leadership</w:t>
            </w:r>
          </w:p>
        </w:tc>
        <w:tc>
          <w:tcPr>
            <w:tcW w:type="dxa" w:w="4200"/>
          </w:tcPr>
          <w:p>
            <w:r>
              <w:rPr>
                <w:rFonts w:ascii="Calibri" w:cs="Calibri" w:eastAsia="Calibri" w:hAnsi="Calibri"/>
                <w:b w:val="false"/>
                <w:bCs w:val="false"/>
                <w:color w:val="000000"/>
                <w:sz w:val="19"/>
                <w:szCs w:val="19"/>
              </w:rPr>
              <w:t xml:space="preserve">Whaling/targeted phishing, public-facing exposure (LinkedIn/conference OSINT risk)</w:t>
            </w:r>
          </w:p>
        </w:tc>
        <w:tc>
          <w:tcPr>
            <w:tcW w:type="dxa" w:w="2200"/>
          </w:tcPr>
          <w:p>
            <w:r>
              <w:rPr>
                <w:rFonts w:ascii="Calibri" w:cs="Calibri" w:eastAsia="Calibri" w:hAnsi="Calibri"/>
                <w:b w:val="false"/>
                <w:bCs w:val="false"/>
                <w:color w:val="000000"/>
                <w:sz w:val="19"/>
                <w:szCs w:val="19"/>
              </w:rPr>
              <w:t xml:space="preserve">Annual executive briefing (tabletop-style)</w:t>
            </w:r>
          </w:p>
        </w:tc>
      </w:tr>
      <w:tr>
        <w:tc>
          <w:tcPr>
            <w:tcW w:type="dxa" w:w="3200"/>
          </w:tcPr>
          <w:p>
            <w:r>
              <w:rPr>
                <w:rFonts w:ascii="Calibri" w:cs="Calibri" w:eastAsia="Calibri" w:hAnsi="Calibri"/>
                <w:b w:val="false"/>
                <w:bCs w:val="false"/>
                <w:color w:val="000000"/>
                <w:sz w:val="19"/>
                <w:szCs w:val="19"/>
              </w:rPr>
              <w:t xml:space="preserve">New Hires (all roles)</w:t>
            </w:r>
          </w:p>
        </w:tc>
        <w:tc>
          <w:tcPr>
            <w:tcW w:type="dxa" w:w="4200"/>
          </w:tcPr>
          <w:p>
            <w:r>
              <w:rPr>
                <w:rFonts w:ascii="Calibri" w:cs="Calibri" w:eastAsia="Calibri" w:hAnsi="Calibri"/>
                <w:b w:val="false"/>
                <w:bCs w:val="false"/>
                <w:color w:val="000000"/>
                <w:sz w:val="19"/>
                <w:szCs w:val="19"/>
              </w:rPr>
              <w:t xml:space="preserve">Full baseline curriculum</w:t>
            </w:r>
          </w:p>
        </w:tc>
        <w:tc>
          <w:tcPr>
            <w:tcW w:type="dxa" w:w="2200"/>
          </w:tcPr>
          <w:p>
            <w:r>
              <w:rPr>
                <w:rFonts w:ascii="Calibri" w:cs="Calibri" w:eastAsia="Calibri" w:hAnsi="Calibri"/>
                <w:b w:val="false"/>
                <w:bCs w:val="false"/>
                <w:color w:val="000000"/>
                <w:sz w:val="19"/>
                <w:szCs w:val="19"/>
              </w:rPr>
              <w:t xml:space="preserve">Within first 5 business days of start date</w:t>
            </w:r>
          </w:p>
        </w:tc>
      </w:tr>
    </w:tbl>
    <w:p>
      <w:pPr>
        <w:pStyle w:val="Heading1"/>
        <w:pBdr>
          <w:bottom w:val="single" w:color="1F7A7A" w:sz="8" w:space="4"/>
        </w:pBdr>
        <w:spacing w:after="200" w:before="400"/>
      </w:pPr>
      <w:r>
        <w:rPr>
          <w:rFonts w:ascii="Georgia" w:cs="Georgia" w:eastAsia="Georgia" w:hAnsi="Georgia"/>
          <w:b/>
          <w:bCs/>
          <w:color w:val="1B2A4A"/>
          <w:sz w:val="30"/>
          <w:szCs w:val="30"/>
        </w:rPr>
        <w:t xml:space="preserve">3. Curriculum Modules</w:t>
      </w:r>
    </w:p>
    <w:p>
      <w:pPr>
        <w:spacing w:after="100" w:before="200"/>
      </w:pPr>
      <w:r>
        <w:rPr>
          <w:rFonts w:ascii="Calibri" w:cs="Calibri" w:eastAsia="Calibri" w:hAnsi="Calibri"/>
          <w:b/>
          <w:bCs/>
          <w:color w:val="1B2A4A"/>
          <w:sz w:val="22"/>
          <w:szCs w:val="22"/>
        </w:rPr>
        <w:t xml:space="preserve">Module 1 — Security Fundamentals (all staff, 30 min)</w:t>
      </w:r>
    </w:p>
    <w:p>
      <w:pPr>
        <w:pStyle w:val="ListParagraph"/>
        <w:numPr>
          <w:ilvl w:val="0"/>
          <w:numId w:val="2"/>
        </w:numPr>
        <w:spacing w:after="60"/>
      </w:pPr>
      <w:r>
        <w:rPr>
          <w:rFonts w:ascii="Calibri" w:cs="Calibri" w:eastAsia="Calibri" w:hAnsi="Calibri"/>
          <w:sz w:val="21"/>
          <w:szCs w:val="21"/>
        </w:rPr>
        <w:t xml:space="preserve">Recognizing phishing, smishing, and vishing; anatomy of a suspicious email.</w:t>
      </w:r>
    </w:p>
    <w:p>
      <w:pPr>
        <w:pStyle w:val="ListParagraph"/>
        <w:numPr>
          <w:ilvl w:val="0"/>
          <w:numId w:val="2"/>
        </w:numPr>
        <w:spacing w:after="60"/>
      </w:pPr>
      <w:r>
        <w:rPr>
          <w:rFonts w:ascii="Calibri" w:cs="Calibri" w:eastAsia="Calibri" w:hAnsi="Calibri"/>
          <w:sz w:val="21"/>
          <w:szCs w:val="21"/>
        </w:rPr>
        <w:t xml:space="preserve">Password hygiene, passkeys, and MFA — why shared or weak credentials are the top breach vector.</w:t>
      </w:r>
    </w:p>
    <w:p>
      <w:pPr>
        <w:pStyle w:val="ListParagraph"/>
        <w:numPr>
          <w:ilvl w:val="0"/>
          <w:numId w:val="2"/>
        </w:numPr>
        <w:spacing w:after="60"/>
      </w:pPr>
      <w:r>
        <w:rPr>
          <w:rFonts w:ascii="Calibri" w:cs="Calibri" w:eastAsia="Calibri" w:hAnsi="Calibri"/>
          <w:sz w:val="21"/>
          <w:szCs w:val="21"/>
        </w:rPr>
        <w:t xml:space="preserve">Data Classification Policy (MER-ISP-004) refresher: identifying and handling PHI/Restricted data.</w:t>
      </w:r>
    </w:p>
    <w:p>
      <w:pPr>
        <w:pStyle w:val="ListParagraph"/>
        <w:numPr>
          <w:ilvl w:val="0"/>
          <w:numId w:val="2"/>
        </w:numPr>
        <w:spacing w:after="60"/>
      </w:pPr>
      <w:r>
        <w:rPr>
          <w:rFonts w:ascii="Calibri" w:cs="Calibri" w:eastAsia="Calibri" w:hAnsi="Calibri"/>
          <w:sz w:val="21"/>
          <w:szCs w:val="21"/>
        </w:rPr>
        <w:t xml:space="preserve">How and when to report a suspected incident (ties to Incident Response Policy, MER-ISP-002).</w:t>
      </w:r>
    </w:p>
    <w:p>
      <w:pPr>
        <w:spacing w:after="100" w:before="200"/>
      </w:pPr>
      <w:r>
        <w:rPr>
          <w:rFonts w:ascii="Calibri" w:cs="Calibri" w:eastAsia="Calibri" w:hAnsi="Calibri"/>
          <w:b/>
          <w:bCs/>
          <w:color w:val="1B2A4A"/>
          <w:sz w:val="22"/>
          <w:szCs w:val="22"/>
        </w:rPr>
        <w:t xml:space="preserve">Module 2 — Role-Based Deep Dive (role-specific, 20–30 min)</w:t>
      </w:r>
    </w:p>
    <w:p>
      <w:pPr>
        <w:pStyle w:val="ListParagraph"/>
        <w:numPr>
          <w:ilvl w:val="0"/>
          <w:numId w:val="2"/>
        </w:numPr>
        <w:spacing w:after="60"/>
      </w:pPr>
      <w:r>
        <w:rPr>
          <w:rFonts w:ascii="Calibri" w:cs="Calibri" w:eastAsia="Calibri" w:hAnsi="Calibri"/>
          <w:sz w:val="21"/>
          <w:szCs w:val="21"/>
        </w:rPr>
        <w:t xml:space="preserve">Support: verifying inbound vendor/patient requests before disclosing information; PHI redaction practices in tickets.</w:t>
      </w:r>
    </w:p>
    <w:p>
      <w:pPr>
        <w:pStyle w:val="ListParagraph"/>
        <w:numPr>
          <w:ilvl w:val="0"/>
          <w:numId w:val="2"/>
        </w:numPr>
        <w:spacing w:after="60"/>
      </w:pPr>
      <w:r>
        <w:rPr>
          <w:rFonts w:ascii="Calibri" w:cs="Calibri" w:eastAsia="Calibri" w:hAnsi="Calibri"/>
          <w:sz w:val="21"/>
          <w:szCs w:val="21"/>
        </w:rPr>
        <w:t xml:space="preserve">Finance: BEC recognition, out-of-band verification for payment changes, invoice-fraud indicators.</w:t>
      </w:r>
    </w:p>
    <w:p>
      <w:pPr>
        <w:pStyle w:val="ListParagraph"/>
        <w:numPr>
          <w:ilvl w:val="0"/>
          <w:numId w:val="2"/>
        </w:numPr>
        <w:spacing w:after="60"/>
      </w:pPr>
      <w:r>
        <w:rPr>
          <w:rFonts w:ascii="Calibri" w:cs="Calibri" w:eastAsia="Calibri" w:hAnsi="Calibri"/>
          <w:sz w:val="21"/>
          <w:szCs w:val="21"/>
        </w:rPr>
        <w:t xml:space="preserve">Engineering: secrets management, dependency risk, secure code review practices.</w:t>
      </w:r>
    </w:p>
    <w:p>
      <w:pPr>
        <w:pStyle w:val="ListParagraph"/>
        <w:numPr>
          <w:ilvl w:val="0"/>
          <w:numId w:val="2"/>
        </w:numPr>
        <w:spacing w:after="60"/>
      </w:pPr>
      <w:r>
        <w:rPr>
          <w:rFonts w:ascii="Calibri" w:cs="Calibri" w:eastAsia="Calibri" w:hAnsi="Calibri"/>
          <w:sz w:val="21"/>
          <w:szCs w:val="21"/>
        </w:rPr>
        <w:t xml:space="preserve">Executives: whaling indicators, OSINT exposure, verification protocol for urgent requests.</w:t>
      </w:r>
    </w:p>
    <w:p>
      <w:pPr>
        <w:spacing w:after="100" w:before="200"/>
      </w:pPr>
      <w:r>
        <w:rPr>
          <w:rFonts w:ascii="Calibri" w:cs="Calibri" w:eastAsia="Calibri" w:hAnsi="Calibri"/>
          <w:b/>
          <w:bCs/>
          <w:color w:val="1B2A4A"/>
          <w:sz w:val="22"/>
          <w:szCs w:val="22"/>
        </w:rPr>
        <w:t xml:space="preserve">Module 3 — Simulated Phishing (ongoing, embedded)</w:t>
      </w:r>
    </w:p>
    <w:p>
      <w:pPr>
        <w:pStyle w:val="ListParagraph"/>
        <w:numPr>
          <w:ilvl w:val="0"/>
          <w:numId w:val="2"/>
        </w:numPr>
        <w:spacing w:after="60"/>
      </w:pPr>
      <w:r>
        <w:rPr>
          <w:rFonts w:ascii="Calibri" w:cs="Calibri" w:eastAsia="Calibri" w:hAnsi="Calibri"/>
          <w:sz w:val="21"/>
          <w:szCs w:val="21"/>
        </w:rPr>
        <w:t xml:space="preserve">Quarterly simulated phishing waves using rotating pretexts calibrated to current real-world threat intelligence.</w:t>
      </w:r>
    </w:p>
    <w:p>
      <w:pPr>
        <w:pStyle w:val="ListParagraph"/>
        <w:numPr>
          <w:ilvl w:val="0"/>
          <w:numId w:val="2"/>
        </w:numPr>
        <w:spacing w:after="60"/>
      </w:pPr>
      <w:r>
        <w:rPr>
          <w:rFonts w:ascii="Calibri" w:cs="Calibri" w:eastAsia="Calibri" w:hAnsi="Calibri"/>
          <w:sz w:val="21"/>
          <w:szCs w:val="21"/>
        </w:rPr>
        <w:t xml:space="preserve">Immediate just-in-time micro-training served to anyone who clicks a simulated link, before they can dismiss the notice.</w:t>
      </w:r>
    </w:p>
    <w:p>
      <w:pPr>
        <w:pStyle w:val="ListParagraph"/>
        <w:numPr>
          <w:ilvl w:val="0"/>
          <w:numId w:val="2"/>
        </w:numPr>
        <w:spacing w:after="60"/>
      </w:pPr>
      <w:r>
        <w:rPr>
          <w:rFonts w:ascii="Calibri" w:cs="Calibri" w:eastAsia="Calibri" w:hAnsi="Calibri"/>
          <w:sz w:val="21"/>
          <w:szCs w:val="21"/>
        </w:rPr>
        <w:t xml:space="preserve">Positive reinforcement: departments with top report rates are recognized company-wide.</w:t>
      </w:r>
    </w:p>
    <w:p>
      <w:pPr>
        <w:pStyle w:val="Heading1"/>
        <w:pBdr>
          <w:bottom w:val="single" w:color="1F7A7A" w:sz="8" w:space="4"/>
        </w:pBdr>
        <w:spacing w:after="200" w:before="400"/>
      </w:pPr>
      <w:r>
        <w:rPr>
          <w:rFonts w:ascii="Georgia" w:cs="Georgia" w:eastAsia="Georgia" w:hAnsi="Georgia"/>
          <w:b/>
          <w:bCs/>
          <w:color w:val="1B2A4A"/>
          <w:sz w:val="30"/>
          <w:szCs w:val="30"/>
        </w:rPr>
        <w:t xml:space="preserve">4. Simulated Phishing Campaign Methodology</w:t>
      </w:r>
    </w:p>
    <w:p>
      <w:pPr>
        <w:spacing w:after="140"/>
      </w:pPr>
      <w:r>
        <w:rPr>
          <w:rFonts w:ascii="Calibri" w:cs="Calibri" w:eastAsia="Calibri" w:hAnsi="Calibri"/>
          <w:sz w:val="21"/>
          <w:szCs w:val="21"/>
        </w:rPr>
        <w:t xml:space="preserve">Meridian runs a quarterly simulated phishing program using rotating pretexts mapped to real-world threat patterns observed in the healthcare sector. Each wave targets the full active workforce (~450 people across Austin and Bengaluru) and is scored on click rate, credential-entry rate, and report rate, benchmarked against the prior wave.</w:t>
      </w:r>
    </w:p>
    <w:p>
      <w:pPr>
        <w:spacing w:after="100" w:before="200"/>
      </w:pPr>
      <w:r>
        <w:rPr>
          <w:rFonts w:ascii="Calibri" w:cs="Calibri" w:eastAsia="Calibri" w:hAnsi="Calibri"/>
          <w:b/>
          <w:bCs/>
          <w:color w:val="1B2A4A"/>
          <w:sz w:val="22"/>
          <w:szCs w:val="22"/>
        </w:rPr>
        <w:t xml:space="preserve">Q3 2026 Campaign (Wave 3) — Summary</w:t>
      </w:r>
    </w:p>
    <w:p>
      <w:pPr>
        <w:spacing w:after="140"/>
      </w:pPr>
      <w:r>
        <w:rPr>
          <w:rFonts w:ascii="Calibri" w:cs="Calibri" w:eastAsia="Calibri" w:hAnsi="Calibri"/>
          <w:sz w:val="21"/>
          <w:szCs w:val="21"/>
        </w:rPr>
        <w:t xml:space="preserve">Full results, department-level breakdowns, and a recommended follow-up training plan are provided in the accompanying workbook, Project5_Phishing_Campaign_Results.xlsx. Headline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c>
          <w:tcPr>
            <w:tcW w:type="dxa" w:w="4200"/>
            <w:shd w:fill="1B2A4A" w:val="clear"/>
          </w:tcPr>
          <w:p>
            <w:r>
              <w:rPr>
                <w:rFonts w:ascii="Calibri" w:cs="Calibri" w:eastAsia="Calibri" w:hAnsi="Calibri"/>
                <w:b/>
                <w:bCs/>
                <w:color w:val="FFFFFF"/>
                <w:sz w:val="19"/>
                <w:szCs w:val="19"/>
              </w:rPr>
              <w:t xml:space="preserve">Metric</w:t>
            </w:r>
          </w:p>
        </w:tc>
        <w:tc>
          <w:tcPr>
            <w:tcW w:type="dxa" w:w="2600"/>
            <w:shd w:fill="1B2A4A" w:val="clear"/>
          </w:tcPr>
          <w:p>
            <w:r>
              <w:rPr>
                <w:rFonts w:ascii="Calibri" w:cs="Calibri" w:eastAsia="Calibri" w:hAnsi="Calibri"/>
                <w:b/>
                <w:bCs/>
                <w:color w:val="FFFFFF"/>
                <w:sz w:val="19"/>
                <w:szCs w:val="19"/>
              </w:rPr>
              <w:t xml:space="preserve">Wave 2 (Q2 2026)</w:t>
            </w:r>
          </w:p>
        </w:tc>
        <w:tc>
          <w:tcPr>
            <w:tcW w:type="dxa" w:w="2600"/>
            <w:shd w:fill="1B2A4A" w:val="clear"/>
          </w:tcPr>
          <w:p>
            <w:r>
              <w:rPr>
                <w:rFonts w:ascii="Calibri" w:cs="Calibri" w:eastAsia="Calibri" w:hAnsi="Calibri"/>
                <w:b/>
                <w:bCs/>
                <w:color w:val="FFFFFF"/>
                <w:sz w:val="19"/>
                <w:szCs w:val="19"/>
              </w:rPr>
              <w:t xml:space="preserve">Wave 3 (Q3 2026)</w:t>
            </w:r>
          </w:p>
        </w:tc>
      </w:tr>
      <w:tr>
        <w:tc>
          <w:tcPr>
            <w:tcW w:type="dxa" w:w="4200"/>
          </w:tcPr>
          <w:p>
            <w:r>
              <w:rPr>
                <w:rFonts w:ascii="Calibri" w:cs="Calibri" w:eastAsia="Calibri" w:hAnsi="Calibri"/>
                <w:b w:val="false"/>
                <w:bCs w:val="false"/>
                <w:color w:val="000000"/>
                <w:sz w:val="19"/>
                <w:szCs w:val="19"/>
              </w:rPr>
              <w:t xml:space="preserve">Overall click rate</w:t>
            </w:r>
          </w:p>
        </w:tc>
        <w:tc>
          <w:tcPr>
            <w:tcW w:type="dxa" w:w="2600"/>
          </w:tcPr>
          <w:p>
            <w:r>
              <w:rPr>
                <w:rFonts w:ascii="Calibri" w:cs="Calibri" w:eastAsia="Calibri" w:hAnsi="Calibri"/>
                <w:b w:val="false"/>
                <w:bCs w:val="false"/>
                <w:color w:val="000000"/>
                <w:sz w:val="19"/>
                <w:szCs w:val="19"/>
              </w:rPr>
              <w:t xml:space="preserve">18.4%</w:t>
            </w:r>
          </w:p>
        </w:tc>
        <w:tc>
          <w:tcPr>
            <w:tcW w:type="dxa" w:w="2600"/>
          </w:tcPr>
          <w:p>
            <w:r>
              <w:rPr>
                <w:rFonts w:ascii="Calibri" w:cs="Calibri" w:eastAsia="Calibri" w:hAnsi="Calibri"/>
                <w:b w:val="false"/>
                <w:bCs w:val="false"/>
                <w:color w:val="000000"/>
                <w:sz w:val="19"/>
                <w:szCs w:val="19"/>
              </w:rPr>
              <w:t xml:space="preserve">12.9%</w:t>
            </w:r>
          </w:p>
        </w:tc>
      </w:tr>
      <w:tr>
        <w:tc>
          <w:tcPr>
            <w:tcW w:type="dxa" w:w="4200"/>
          </w:tcPr>
          <w:p>
            <w:r>
              <w:rPr>
                <w:rFonts w:ascii="Calibri" w:cs="Calibri" w:eastAsia="Calibri" w:hAnsi="Calibri"/>
                <w:b w:val="false"/>
                <w:bCs w:val="false"/>
                <w:color w:val="000000"/>
                <w:sz w:val="19"/>
                <w:szCs w:val="19"/>
              </w:rPr>
              <w:t xml:space="preserve">Credential-entry rate</w:t>
            </w:r>
          </w:p>
        </w:tc>
        <w:tc>
          <w:tcPr>
            <w:tcW w:type="dxa" w:w="2600"/>
          </w:tcPr>
          <w:p>
            <w:r>
              <w:rPr>
                <w:rFonts w:ascii="Calibri" w:cs="Calibri" w:eastAsia="Calibri" w:hAnsi="Calibri"/>
                <w:b w:val="false"/>
                <w:bCs w:val="false"/>
                <w:color w:val="000000"/>
                <w:sz w:val="19"/>
                <w:szCs w:val="19"/>
              </w:rPr>
              <w:t xml:space="preserve">6.1%</w:t>
            </w:r>
          </w:p>
        </w:tc>
        <w:tc>
          <w:tcPr>
            <w:tcW w:type="dxa" w:w="2600"/>
          </w:tcPr>
          <w:p>
            <w:r>
              <w:rPr>
                <w:rFonts w:ascii="Calibri" w:cs="Calibri" w:eastAsia="Calibri" w:hAnsi="Calibri"/>
                <w:b w:val="false"/>
                <w:bCs w:val="false"/>
                <w:color w:val="000000"/>
                <w:sz w:val="19"/>
                <w:szCs w:val="19"/>
              </w:rPr>
              <w:t xml:space="preserve">3.4%</w:t>
            </w:r>
          </w:p>
        </w:tc>
      </w:tr>
      <w:tr>
        <w:tc>
          <w:tcPr>
            <w:tcW w:type="dxa" w:w="4200"/>
          </w:tcPr>
          <w:p>
            <w:r>
              <w:rPr>
                <w:rFonts w:ascii="Calibri" w:cs="Calibri" w:eastAsia="Calibri" w:hAnsi="Calibri"/>
                <w:b w:val="false"/>
                <w:bCs w:val="false"/>
                <w:color w:val="000000"/>
                <w:sz w:val="19"/>
                <w:szCs w:val="19"/>
              </w:rPr>
              <w:t xml:space="preserve">Report rate</w:t>
            </w:r>
          </w:p>
        </w:tc>
        <w:tc>
          <w:tcPr>
            <w:tcW w:type="dxa" w:w="2600"/>
          </w:tcPr>
          <w:p>
            <w:r>
              <w:rPr>
                <w:rFonts w:ascii="Calibri" w:cs="Calibri" w:eastAsia="Calibri" w:hAnsi="Calibri"/>
                <w:b w:val="false"/>
                <w:bCs w:val="false"/>
                <w:color w:val="000000"/>
                <w:sz w:val="19"/>
                <w:szCs w:val="19"/>
              </w:rPr>
              <w:t xml:space="preserve">21.0%</w:t>
            </w:r>
          </w:p>
        </w:tc>
        <w:tc>
          <w:tcPr>
            <w:tcW w:type="dxa" w:w="2600"/>
          </w:tcPr>
          <w:p>
            <w:r>
              <w:rPr>
                <w:rFonts w:ascii="Calibri" w:cs="Calibri" w:eastAsia="Calibri" w:hAnsi="Calibri"/>
                <w:b w:val="false"/>
                <w:bCs w:val="false"/>
                <w:color w:val="000000"/>
                <w:sz w:val="19"/>
                <w:szCs w:val="19"/>
              </w:rPr>
              <w:t xml:space="preserve">36.7%</w:t>
            </w:r>
          </w:p>
        </w:tc>
      </w:tr>
      <w:tr>
        <w:tc>
          <w:tcPr>
            <w:tcW w:type="dxa" w:w="4200"/>
          </w:tcPr>
          <w:p>
            <w:r>
              <w:rPr>
                <w:rFonts w:ascii="Calibri" w:cs="Calibri" w:eastAsia="Calibri" w:hAnsi="Calibri"/>
                <w:b w:val="false"/>
                <w:bCs w:val="false"/>
                <w:color w:val="000000"/>
                <w:sz w:val="19"/>
                <w:szCs w:val="19"/>
              </w:rPr>
              <w:t xml:space="preserve">Repeat-clicker rate</w:t>
            </w:r>
          </w:p>
        </w:tc>
        <w:tc>
          <w:tcPr>
            <w:tcW w:type="dxa" w:w="2600"/>
          </w:tcPr>
          <w:p>
            <w:r>
              <w:rPr>
                <w:rFonts w:ascii="Calibri" w:cs="Calibri" w:eastAsia="Calibri" w:hAnsi="Calibri"/>
                <w:b w:val="false"/>
                <w:bCs w:val="false"/>
                <w:color w:val="000000"/>
                <w:sz w:val="19"/>
                <w:szCs w:val="19"/>
              </w:rPr>
              <w:t xml:space="preserve">4.5%</w:t>
            </w:r>
          </w:p>
        </w:tc>
        <w:tc>
          <w:tcPr>
            <w:tcW w:type="dxa" w:w="2600"/>
          </w:tcPr>
          <w:p>
            <w:r>
              <w:rPr>
                <w:rFonts w:ascii="Calibri" w:cs="Calibri" w:eastAsia="Calibri" w:hAnsi="Calibri"/>
                <w:b w:val="false"/>
                <w:bCs w:val="false"/>
                <w:color w:val="000000"/>
                <w:sz w:val="19"/>
                <w:szCs w:val="19"/>
              </w:rPr>
              <w:t xml:space="preserve">2.8%</w:t>
            </w:r>
          </w:p>
        </w:tc>
      </w:tr>
    </w:tbl>
    <w:p>
      <w:pPr>
        <w:spacing w:after="140"/>
      </w:pPr>
    </w:p>
    <w:p>
      <w:pPr>
        <w:spacing w:after="140"/>
      </w:pPr>
      <w:r>
        <w:rPr>
          <w:rFonts w:ascii="Calibri" w:cs="Calibri" w:eastAsia="Calibri" w:hAnsi="Calibri"/>
          <w:sz w:val="21"/>
          <w:szCs w:val="21"/>
        </w:rPr>
        <w:t xml:space="preserve">Wave 3 shows meaningful improvement across every metric, attributed to the Wave 2 follow-up training and the introduction of just-in-time coaching at point of click. Three departments — Customer Support, Sales &amp; Marketing, and Finance — remain above the organizational click-rate target and are prioritized for targeted follow-up (see Section 5 and the Follow-Up Training Plan tab of the results workbook).</w:t>
      </w:r>
    </w:p>
    <w:p>
      <w:pPr>
        <w:pStyle w:val="Heading1"/>
        <w:pBdr>
          <w:bottom w:val="single" w:color="1F7A7A" w:sz="8" w:space="4"/>
        </w:pBdr>
        <w:spacing w:after="200" w:before="400"/>
      </w:pPr>
      <w:r>
        <w:rPr>
          <w:rFonts w:ascii="Georgia" w:cs="Georgia" w:eastAsia="Georgia" w:hAnsi="Georgia"/>
          <w:b/>
          <w:bCs/>
          <w:color w:val="1B2A4A"/>
          <w:sz w:val="30"/>
          <w:szCs w:val="30"/>
        </w:rPr>
        <w:t xml:space="preserve">5. Recommended Follow-Up Actions</w:t>
      </w:r>
    </w:p>
    <w:p>
      <w:pPr>
        <w:pStyle w:val="ListParagraph"/>
        <w:numPr>
          <w:ilvl w:val="0"/>
          <w:numId w:val="2"/>
        </w:numPr>
        <w:spacing w:after="60"/>
      </w:pPr>
      <w:r>
        <w:rPr>
          <w:rFonts w:ascii="Calibri" w:cs="Calibri" w:eastAsia="Calibri" w:hAnsi="Calibri"/>
          <w:sz w:val="21"/>
          <w:szCs w:val="21"/>
        </w:rPr>
        <w:t xml:space="preserve">Finance &amp; Accounting (26.3% click rate, 3 credential-entries): mandatory 1:1 coaching for affected individuals and a finance-specific wire-fraud verification module, target completion 2 weeks.</w:t>
      </w:r>
    </w:p>
    <w:p>
      <w:pPr>
        <w:pStyle w:val="ListParagraph"/>
        <w:numPr>
          <w:ilvl w:val="0"/>
          <w:numId w:val="2"/>
        </w:numPr>
        <w:spacing w:after="60"/>
      </w:pPr>
      <w:r>
        <w:rPr>
          <w:rFonts w:ascii="Calibri" w:cs="Calibri" w:eastAsia="Calibri" w:hAnsi="Calibri"/>
          <w:sz w:val="21"/>
          <w:szCs w:val="21"/>
        </w:rPr>
        <w:t xml:space="preserve">Customer Support (21.9% click rate): targeted refresher on vendor-notice and IT-urgency pretexts, target completion 4 weeks.</w:t>
      </w:r>
    </w:p>
    <w:p>
      <w:pPr>
        <w:pStyle w:val="ListParagraph"/>
        <w:numPr>
          <w:ilvl w:val="0"/>
          <w:numId w:val="2"/>
        </w:numPr>
        <w:spacing w:after="60"/>
      </w:pPr>
      <w:r>
        <w:rPr>
          <w:rFonts w:ascii="Calibri" w:cs="Calibri" w:eastAsia="Calibri" w:hAnsi="Calibri"/>
          <w:sz w:val="21"/>
          <w:szCs w:val="21"/>
        </w:rPr>
        <w:t xml:space="preserve">Sales &amp; Marketing (21.2% click rate): BEC-specific micro-training and inclusion in the next simulation wave, target completion 4 weeks.</w:t>
      </w:r>
    </w:p>
    <w:p>
      <w:pPr>
        <w:pStyle w:val="ListParagraph"/>
        <w:numPr>
          <w:ilvl w:val="0"/>
          <w:numId w:val="2"/>
        </w:numPr>
        <w:spacing w:after="60"/>
      </w:pPr>
      <w:r>
        <w:rPr>
          <w:rFonts w:ascii="Calibri" w:cs="Calibri" w:eastAsia="Calibri" w:hAnsi="Calibri"/>
          <w:sz w:val="21"/>
          <w:szCs w:val="21"/>
        </w:rPr>
        <w:t xml:space="preserve">Executive Leadership: whaling-specific tabletop briefing and evaluation of phishing-resistant hardware MFA keys for this population, target completion 3 weeks.</w:t>
      </w:r>
    </w:p>
    <w:p>
      <w:pPr>
        <w:pStyle w:val="ListParagraph"/>
        <w:numPr>
          <w:ilvl w:val="0"/>
          <w:numId w:val="2"/>
        </w:numPr>
        <w:spacing w:after="60"/>
      </w:pPr>
      <w:r>
        <w:rPr>
          <w:rFonts w:ascii="Calibri" w:cs="Calibri" w:eastAsia="Calibri" w:hAnsi="Calibri"/>
          <w:sz w:val="21"/>
          <w:szCs w:val="21"/>
        </w:rPr>
        <w:t xml:space="preserve">Organization-wide: recognize Engineering, IT Operations, and People Operations — the top-performing departments this wave — at the next all-hands to reinforce positive behavior.</w:t>
      </w:r>
    </w:p>
    <w:p>
      <w:pPr>
        <w:pStyle w:val="Heading1"/>
        <w:pBdr>
          <w:bottom w:val="single" w:color="1F7A7A" w:sz="8" w:space="4"/>
        </w:pBdr>
        <w:spacing w:after="200" w:before="400"/>
      </w:pPr>
      <w:r>
        <w:rPr>
          <w:rFonts w:ascii="Georgia" w:cs="Georgia" w:eastAsia="Georgia" w:hAnsi="Georgia"/>
          <w:b/>
          <w:bCs/>
          <w:color w:val="1B2A4A"/>
          <w:sz w:val="30"/>
          <w:szCs w:val="30"/>
        </w:rPr>
        <w:t xml:space="preserve">6. Measurement &amp; Reporting</w:t>
      </w:r>
    </w:p>
    <w:p>
      <w:pPr>
        <w:spacing w:after="140"/>
      </w:pPr>
      <w:r>
        <w:rPr>
          <w:rFonts w:ascii="Calibri" w:cs="Calibri" w:eastAsia="Calibri" w:hAnsi="Calibri"/>
          <w:sz w:val="21"/>
          <w:szCs w:val="21"/>
        </w:rPr>
        <w:t xml:space="preserve">Program effectiveness is reported quarterly to the CISO and semi-annually to the Risk &amp; Audit Committee, using the following KPIs:</w:t>
      </w:r>
    </w:p>
    <w:p>
      <w:pPr>
        <w:pStyle w:val="ListParagraph"/>
        <w:numPr>
          <w:ilvl w:val="0"/>
          <w:numId w:val="2"/>
        </w:numPr>
        <w:spacing w:after="60"/>
      </w:pPr>
      <w:r>
        <w:rPr>
          <w:rFonts w:ascii="Calibri" w:cs="Calibri" w:eastAsia="Calibri" w:hAnsi="Calibri"/>
          <w:sz w:val="21"/>
          <w:szCs w:val="21"/>
        </w:rPr>
        <w:t xml:space="preserve">Simulated phishing click rate, credential-entry rate, and report rate, trended by wave.</w:t>
      </w:r>
    </w:p>
    <w:p>
      <w:pPr>
        <w:pStyle w:val="ListParagraph"/>
        <w:numPr>
          <w:ilvl w:val="0"/>
          <w:numId w:val="2"/>
        </w:numPr>
        <w:spacing w:after="60"/>
      </w:pPr>
      <w:r>
        <w:rPr>
          <w:rFonts w:ascii="Calibri" w:cs="Calibri" w:eastAsia="Calibri" w:hAnsi="Calibri"/>
          <w:sz w:val="21"/>
          <w:szCs w:val="21"/>
        </w:rPr>
        <w:t xml:space="preserve">Training completion rate against the mandatory deadline, by department.</w:t>
      </w:r>
    </w:p>
    <w:p>
      <w:pPr>
        <w:pStyle w:val="ListParagraph"/>
        <w:numPr>
          <w:ilvl w:val="0"/>
          <w:numId w:val="2"/>
        </w:numPr>
        <w:spacing w:after="60"/>
      </w:pPr>
      <w:r>
        <w:rPr>
          <w:rFonts w:ascii="Calibri" w:cs="Calibri" w:eastAsia="Calibri" w:hAnsi="Calibri"/>
          <w:sz w:val="21"/>
          <w:szCs w:val="21"/>
        </w:rPr>
        <w:t xml:space="preserve">Repeat-clicker rate (individuals who click in two or more consecutive waves), which triggers mandatory 1:1 coaching.</w:t>
      </w:r>
    </w:p>
    <w:p>
      <w:pPr>
        <w:pStyle w:val="ListParagraph"/>
        <w:numPr>
          <w:ilvl w:val="0"/>
          <w:numId w:val="2"/>
        </w:numPr>
        <w:spacing w:after="60"/>
      </w:pPr>
      <w:r>
        <w:rPr>
          <w:rFonts w:ascii="Calibri" w:cs="Calibri" w:eastAsia="Calibri" w:hAnsi="Calibri"/>
          <w:sz w:val="21"/>
          <w:szCs w:val="21"/>
        </w:rPr>
        <w:t xml:space="preserve">Correlation with real-world security incidents involving a social-engineering vector (tracked via the Incident Register under MER-ISP-002).</w:t>
      </w:r>
    </w:p>
    <w:p>
      <w:pPr>
        <w:pStyle w:val="Heading1"/>
        <w:pBdr>
          <w:bottom w:val="single" w:color="1F7A7A" w:sz="8" w:space="4"/>
        </w:pBdr>
        <w:spacing w:after="200" w:before="400"/>
      </w:pPr>
      <w:r>
        <w:rPr>
          <w:rFonts w:ascii="Georgia" w:cs="Georgia" w:eastAsia="Georgia" w:hAnsi="Georgia"/>
          <w:b/>
          <w:bCs/>
          <w:color w:val="1B2A4A"/>
          <w:sz w:val="30"/>
          <w:szCs w:val="30"/>
        </w:rPr>
        <w:t xml:space="preserve">7. Roles &amp; Responsibilities</w:t>
      </w:r>
    </w:p>
    <w:p>
      <w:pPr>
        <w:pStyle w:val="ListParagraph"/>
        <w:numPr>
          <w:ilvl w:val="0"/>
          <w:numId w:val="2"/>
        </w:numPr>
        <w:spacing w:after="60"/>
      </w:pPr>
      <w:r>
        <w:rPr>
          <w:rFonts w:ascii="Calibri" w:cs="Calibri" w:eastAsia="Calibri" w:hAnsi="Calibri"/>
          <w:sz w:val="21"/>
          <w:szCs w:val="21"/>
        </w:rPr>
        <w:t xml:space="preserve">GRC Lead — owns the program calendar, curriculum content, and campaign execution; produces the quarterly results report.</w:t>
      </w:r>
    </w:p>
    <w:p>
      <w:pPr>
        <w:pStyle w:val="ListParagraph"/>
        <w:numPr>
          <w:ilvl w:val="0"/>
          <w:numId w:val="2"/>
        </w:numPr>
        <w:spacing w:after="60"/>
      </w:pPr>
      <w:r>
        <w:rPr>
          <w:rFonts w:ascii="Calibri" w:cs="Calibri" w:eastAsia="Calibri" w:hAnsi="Calibri"/>
          <w:sz w:val="21"/>
          <w:szCs w:val="21"/>
        </w:rPr>
        <w:t xml:space="preserve">CISO — approves campaign pretexts and escalation actions; presents results to the Risk &amp; Audit Committee.</w:t>
      </w:r>
    </w:p>
    <w:p>
      <w:pPr>
        <w:pStyle w:val="ListParagraph"/>
        <w:numPr>
          <w:ilvl w:val="0"/>
          <w:numId w:val="2"/>
        </w:numPr>
        <w:spacing w:after="60"/>
      </w:pPr>
      <w:r>
        <w:rPr>
          <w:rFonts w:ascii="Calibri" w:cs="Calibri" w:eastAsia="Calibri" w:hAnsi="Calibri"/>
          <w:sz w:val="21"/>
          <w:szCs w:val="21"/>
        </w:rPr>
        <w:t xml:space="preserve">People Operations — enforces mandatory training completion tracking and new-hire onboarding scheduling.</w:t>
      </w:r>
    </w:p>
    <w:p>
      <w:pPr>
        <w:pStyle w:val="ListParagraph"/>
        <w:numPr>
          <w:ilvl w:val="0"/>
          <w:numId w:val="2"/>
        </w:numPr>
        <w:spacing w:after="60"/>
      </w:pPr>
      <w:r>
        <w:rPr>
          <w:rFonts w:ascii="Calibri" w:cs="Calibri" w:eastAsia="Calibri" w:hAnsi="Calibri"/>
          <w:sz w:val="21"/>
          <w:szCs w:val="21"/>
        </w:rPr>
        <w:t xml:space="preserve">People Managers — ensure direct reports complete assigned training and support follow-up coaching where required.</w:t>
      </w:r>
    </w:p>
    <w:p>
      <w:pPr>
        <w:pStyle w:val="ListParagraph"/>
        <w:numPr>
          <w:ilvl w:val="0"/>
          <w:numId w:val="2"/>
        </w:numPr>
        <w:spacing w:after="60"/>
      </w:pPr>
      <w:r>
        <w:rPr>
          <w:rFonts w:ascii="Calibri" w:cs="Calibri" w:eastAsia="Calibri" w:hAnsi="Calibri"/>
          <w:sz w:val="21"/>
          <w:szCs w:val="21"/>
        </w:rPr>
        <w:t xml:space="preserve">All Workforce Members — complete assigned training on schedule and report suspected phishing using the Report Phishing button.</w:t>
      </w:r>
    </w:p>
    <w:p>
      <w:pPr>
        <w:pStyle w:val="Heading1"/>
        <w:pBdr>
          <w:bottom w:val="single" w:color="1F7A7A" w:sz="8" w:space="4"/>
        </w:pBdr>
        <w:spacing w:after="200" w:before="400"/>
      </w:pPr>
      <w:r>
        <w:rPr>
          <w:rFonts w:ascii="Georgia" w:cs="Georgia" w:eastAsia="Georgia" w:hAnsi="Georgia"/>
          <w:b/>
          <w:bCs/>
          <w:color w:val="1B2A4A"/>
          <w:sz w:val="30"/>
          <w:szCs w:val="30"/>
        </w:rPr>
        <w:t xml:space="preserve">8. Review Cycle</w:t>
      </w:r>
    </w:p>
    <w:p>
      <w:pPr>
        <w:spacing w:after="140"/>
      </w:pPr>
      <w:r>
        <w:rPr>
          <w:rFonts w:ascii="Calibri" w:cs="Calibri" w:eastAsia="Calibri" w:hAnsi="Calibri"/>
          <w:sz w:val="21"/>
          <w:szCs w:val="21"/>
        </w:rPr>
        <w:t xml:space="preserve">This program is reviewed annually by the CISO and GRC Lead, and the curriculum is refreshed each quarter to reflect current threat intelligence and the findings of the most recent simulated phishing wave. Next scheduled program review: 12 months from effective 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Internal Use Only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7A" w:sz="4" w:space="2"/>
      </w:pBdr>
      <w:jc w:val="right"/>
    </w:pPr>
    <w:r>
      <w:rPr>
        <w:rFonts w:ascii="Calibri" w:cs="Calibri" w:eastAsia="Calibri" w:hAnsi="Calibri"/>
        <w:i/>
        <w:iCs/>
        <w:color w:val="1B2A4A"/>
        <w:sz w:val="16"/>
        <w:szCs w:val="16"/>
      </w:rPr>
      <w:t xml:space="preserve">Meridian HealthTech Solutions — Security Awareness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2026-09-10T08:41:31.455Z</dcterms:created>
  <dcterms:modified xsi:type="dcterms:W3CDTF">2026-09-10T08:41:31.455Z</dcterms:modified>
</cp:coreProperties>
</file>

<file path=docProps/custom.xml><?xml version="1.0" encoding="utf-8"?>
<Properties xmlns="http://schemas.openxmlformats.org/officeDocument/2006/custom-properties" xmlns:vt="http://schemas.openxmlformats.org/officeDocument/2006/docPropsVTypes"/>
</file>