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Georgia" w:cs="Georgia" w:eastAsia="Georgia" w:hAnsi="Georgia"/>
          <w:b/>
          <w:bCs/>
          <w:color w:val="1B2A4A"/>
          <w:sz w:val="32"/>
          <w:szCs w:val="32"/>
        </w:rPr>
        <w:t xml:space="preserve">MERIDIAN HEALTHTECH SOLUTIONS</w:t>
      </w:r>
    </w:p>
    <w:p>
      <w:pPr>
        <w:spacing w:after="400"/>
        <w:jc w:val="center"/>
      </w:pPr>
      <w:r>
        <w:rPr>
          <w:rFonts w:ascii="Calibri" w:cs="Calibri" w:eastAsia="Calibri" w:hAnsi="Calibri"/>
          <w:i/>
          <w:iCs/>
          <w:color w:val="1F7A7A"/>
          <w:sz w:val="22"/>
          <w:szCs w:val="22"/>
        </w:rPr>
        <w:t xml:space="preserve">Cloud Care-Coordination &amp; Patient Engagement Platform</w:t>
      </w:r>
    </w:p>
    <w:p>
      <w:pPr>
        <w:spacing w:after="200" w:before="800"/>
        <w:jc w:val="center"/>
      </w:pPr>
      <w:r>
        <w:rPr>
          <w:rFonts w:ascii="Georgia" w:cs="Georgia" w:eastAsia="Georgia" w:hAnsi="Georgia"/>
          <w:b/>
          <w:bCs/>
          <w:color w:val="E0674A"/>
          <w:sz w:val="40"/>
          <w:szCs w:val="40"/>
        </w:rPr>
        <w:t xml:space="preserve">INFORMATION SECURITY POLICY SUITE</w:t>
      </w:r>
    </w:p>
    <w:p>
      <w:pPr>
        <w:spacing w:after="100"/>
        <w:jc w:val="center"/>
      </w:pPr>
      <w:r>
        <w:rPr>
          <w:rFonts w:ascii="Calibri" w:cs="Calibri" w:eastAsia="Calibri" w:hAnsi="Calibri"/>
          <w:color w:val="1B2A4A"/>
          <w:sz w:val="22"/>
          <w:szCs w:val="22"/>
        </w:rPr>
        <w:t xml:space="preserve">Acceptable Use  •  Incident Response  •  Access Control  •  Data Classification</w:t>
      </w:r>
    </w:p>
    <w:p>
      <w:pPr>
        <w:spacing w:before="600"/>
        <w:jc w:val="center"/>
      </w:pPr>
      <w:r>
        <w:rPr>
          <w:rFonts w:ascii="Calibri" w:cs="Calibri" w:eastAsia="Calibri" w:hAnsi="Calibri"/>
          <w:b/>
          <w:bCs/>
          <w:sz w:val="20"/>
          <w:szCs w:val="20"/>
        </w:rPr>
        <w:t xml:space="preserve">Prepared for Board of Directors Approval</w:t>
      </w:r>
    </w:p>
    <w:p>
      <w:pPr>
        <w:spacing w:after="800"/>
        <w:jc w:val="center"/>
      </w:pPr>
      <w:r>
        <w:rPr>
          <w:rFonts w:ascii="Calibri" w:cs="Calibri" w:eastAsia="Calibri" w:hAnsi="Calibri"/>
          <w:color w:val="666666"/>
          <w:sz w:val="18"/>
          <w:szCs w:val="18"/>
        </w:rPr>
        <w:t xml:space="preserve">Document Owner: Chief Information Security Officer   |   Classification: Confidential</w:t>
      </w:r>
    </w:p>
    <w:p>
      <w:pPr>
        <w:spacing w:before="1600"/>
        <w:jc w:val="center"/>
      </w:pPr>
      <w:r>
        <w:rPr>
          <w:rFonts w:ascii="Calibri" w:cs="Calibri" w:eastAsia="Calibri" w:hAnsi="Calibri"/>
          <w:color w:val="666666"/>
          <w:sz w:val="18"/>
          <w:szCs w:val="18"/>
        </w:rPr>
        <w:t xml:space="preserve">Version 1.0   |   Effective Date: Upon Board Approval   |   Prepared: September 2026</w:t>
      </w:r>
    </w:p>
    <w:p>
      <w:r>
        <w:br w:type="page"/>
      </w:r>
    </w:p>
    <w:p>
      <w:pPr>
        <w:pStyle w:val="Heading1"/>
        <w:pBdr>
          <w:bottom w:val="single" w:color="1F7A7A" w:sz="8" w:space="4"/>
        </w:pBdr>
        <w:spacing w:after="200" w:before="400"/>
      </w:pPr>
      <w:r>
        <w:rPr>
          <w:rFonts w:ascii="Georgia" w:cs="Georgia" w:eastAsia="Georgia" w:hAnsi="Georgia"/>
          <w:b/>
          <w:bCs/>
          <w:color w:val="1B2A4A"/>
          <w:sz w:val="30"/>
          <w:szCs w:val="30"/>
        </w:rPr>
        <w:t xml:space="preserve">Memorandum to the Board of Directors</w:t>
      </w:r>
    </w:p>
    <w:p>
      <w:pPr>
        <w:spacing w:after="140"/>
      </w:pPr>
      <w:r>
        <w:rPr>
          <w:rFonts w:ascii="Calibri" w:cs="Calibri" w:eastAsia="Calibri" w:hAnsi="Calibri"/>
          <w:b/>
          <w:bCs/>
          <w:sz w:val="21"/>
          <w:szCs w:val="21"/>
        </w:rPr>
        <w:t xml:space="preserve">To: Board of Directors, Risk &amp; Audit Committee</w:t>
      </w:r>
    </w:p>
    <w:p>
      <w:pPr>
        <w:spacing w:after="140"/>
      </w:pPr>
      <w:r>
        <w:rPr>
          <w:rFonts w:ascii="Calibri" w:cs="Calibri" w:eastAsia="Calibri" w:hAnsi="Calibri"/>
          <w:b/>
          <w:bCs/>
          <w:sz w:val="21"/>
          <w:szCs w:val="21"/>
        </w:rPr>
        <w:t xml:space="preserve">From: Chief Information Security Officer</w:t>
      </w:r>
    </w:p>
    <w:p>
      <w:pPr>
        <w:spacing w:after="140"/>
      </w:pPr>
      <w:r>
        <w:rPr>
          <w:rFonts w:ascii="Calibri" w:cs="Calibri" w:eastAsia="Calibri" w:hAnsi="Calibri"/>
          <w:b/>
          <w:bCs/>
          <w:sz w:val="21"/>
          <w:szCs w:val="21"/>
        </w:rPr>
        <w:t xml:space="preserve">Re: Approval of the Information Security Policy Suite (Version 1.0)</w:t>
      </w:r>
    </w:p>
    <w:p>
      <w:pPr>
        <w:spacing w:after="140"/>
      </w:pPr>
      <w:r>
        <w:rPr>
          <w:rFonts w:ascii="Calibri" w:cs="Calibri" w:eastAsia="Calibri" w:hAnsi="Calibri"/>
          <w:sz w:val="21"/>
          <w:szCs w:val="21"/>
        </w:rPr>
        <w:t xml:space="preserve"/>
      </w:r>
    </w:p>
    <w:p>
      <w:pPr>
        <w:spacing w:after="140"/>
      </w:pPr>
      <w:r>
        <w:rPr>
          <w:rFonts w:ascii="Calibri" w:cs="Calibri" w:eastAsia="Calibri" w:hAnsi="Calibri"/>
          <w:sz w:val="21"/>
          <w:szCs w:val="21"/>
        </w:rPr>
        <w:t xml:space="preserve">This memorandum requests Board approval of the four foundational information security policies that follow: the Acceptable Use Policy, the Incident Response Policy, the Access Control Policy, and the Data Classification Policy. Together, these policies form the governance baseline required to protect Protected Health Information (PHI) processed on the Meridian platform, to satisfy our obligations under the HIPAA Security Rule, and to support the organization's active ISO/IEC 27001:2022 certification effort.</w:t>
      </w:r>
    </w:p>
    <w:p>
      <w:pPr>
        <w:spacing w:after="140"/>
      </w:pPr>
      <w:r>
        <w:rPr>
          <w:rFonts w:ascii="Calibri" w:cs="Calibri" w:eastAsia="Calibri" w:hAnsi="Calibri"/>
          <w:sz w:val="21"/>
          <w:szCs w:val="21"/>
        </w:rPr>
        <w:t xml:space="preserve">Each policy has been developed by the Information Security function in consultation with Legal, Engineering, and People Operations, and is mapped to relevant ISO/IEC 27001:2022 Annex A controls and HIPAA Security Rule safeguards. Upon approval, each policy becomes mandatory for all workforce members, contractors, and third parties with access to Meridian systems or data, and will be reviewed on the cadence specified within each document.</w:t>
      </w:r>
    </w:p>
    <w:p>
      <w:pPr>
        <w:spacing w:after="140"/>
      </w:pPr>
      <w:r>
        <w:rPr>
          <w:rFonts w:ascii="Calibri" w:cs="Calibri" w:eastAsia="Calibri" w:hAnsi="Calibri"/>
          <w:sz w:val="21"/>
          <w:szCs w:val="21"/>
        </w:rPr>
        <w:t xml:space="preserve">The Committee's approval is requested to formally authorize enforcement, budget allocation for associated controls (see the accompanying ISO 27001 Gap Analysis and NIST Risk Register), and Board-level accountability for the information security program.</w:t>
      </w:r>
    </w:p>
    <w:p>
      <w:pPr>
        <w:spacing w:after="140"/>
      </w:pPr>
      <w:r>
        <w:rPr>
          <w:rFonts w:ascii="Calibri" w:cs="Calibri" w:eastAsia="Calibri" w:hAnsi="Calibri"/>
          <w:b/>
          <w:bCs/>
          <w:sz w:val="21"/>
          <w:szCs w:val="21"/>
        </w:rPr>
        <w:t xml:space="preserve">Recommendation: Approve the Information Security Policy Suite, Version 1.0, as presented.</w:t>
      </w:r>
    </w:p>
    <w:p>
      <w:r>
        <w:br w:type="page"/>
      </w:r>
    </w:p>
    <w:p>
      <w:pPr>
        <w:spacing w:after="60"/>
      </w:pPr>
      <w:r>
        <w:rPr>
          <w:rFonts w:ascii="Calibri" w:cs="Calibri" w:eastAsia="Calibri" w:hAnsi="Calibri"/>
          <w:b/>
          <w:bCs/>
          <w:color w:val="E0674A"/>
          <w:sz w:val="18"/>
          <w:szCs w:val="18"/>
        </w:rPr>
        <w:t xml:space="preserve">POLICY 1</w:t>
      </w:r>
    </w:p>
    <w:p>
      <w:pPr>
        <w:pStyle w:val="Heading1"/>
        <w:pBdr>
          <w:bottom w:val="single" w:color="1F7A7A" w:sz="8" w:space="4"/>
        </w:pBdr>
        <w:spacing w:after="200" w:before="400"/>
      </w:pPr>
      <w:r>
        <w:rPr>
          <w:rFonts w:ascii="Georgia" w:cs="Georgia" w:eastAsia="Georgia" w:hAnsi="Georgia"/>
          <w:b/>
          <w:bCs/>
          <w:color w:val="1B2A4A"/>
          <w:sz w:val="30"/>
          <w:szCs w:val="30"/>
        </w:rPr>
        <w:t xml:space="preserve">Acceptable Use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val="clear"/>
          </w:tcPr>
          <w:p>
            <w:r>
              <w:rPr>
                <w:rFonts w:ascii="Calibri" w:cs="Calibri" w:eastAsia="Calibri" w:hAnsi="Calibri"/>
                <w:b/>
                <w:bCs/>
                <w:color w:val="1B2A4A"/>
                <w:sz w:val="20"/>
                <w:szCs w:val="20"/>
              </w:rPr>
              <w:t xml:space="preserve">Policy ID</w:t>
            </w:r>
          </w:p>
        </w:tc>
        <w:tc>
          <w:tcPr>
            <w:tcW w:type="dxa" w:w="6400"/>
          </w:tcPr>
          <w:p>
            <w:r>
              <w:rPr>
                <w:rFonts w:ascii="Calibri" w:cs="Calibri" w:eastAsia="Calibri" w:hAnsi="Calibri"/>
                <w:sz w:val="20"/>
                <w:szCs w:val="20"/>
              </w:rPr>
              <w:t xml:space="preserve">MER-ISP-001</w:t>
            </w:r>
          </w:p>
        </w:tc>
      </w:tr>
      <w:tr>
        <w:tc>
          <w:tcPr>
            <w:tcW w:type="dxa" w:w="2600"/>
            <w:shd w:fill="F2F2F2" w:val="clear"/>
          </w:tcPr>
          <w:p>
            <w:r>
              <w:rPr>
                <w:rFonts w:ascii="Calibri" w:cs="Calibri" w:eastAsia="Calibri" w:hAnsi="Calibri"/>
                <w:b/>
                <w:bCs/>
                <w:color w:val="1B2A4A"/>
                <w:sz w:val="20"/>
                <w:szCs w:val="20"/>
              </w:rPr>
              <w:t xml:space="preserve">Version</w:t>
            </w:r>
          </w:p>
        </w:tc>
        <w:tc>
          <w:tcPr>
            <w:tcW w:type="dxa" w:w="6400"/>
          </w:tcPr>
          <w:p>
            <w:r>
              <w:rPr>
                <w:rFonts w:ascii="Calibri" w:cs="Calibri" w:eastAsia="Calibri" w:hAnsi="Calibri"/>
                <w:sz w:val="20"/>
                <w:szCs w:val="20"/>
              </w:rPr>
              <w:t xml:space="preserve">1.0</w:t>
            </w:r>
          </w:p>
        </w:tc>
      </w:tr>
      <w:tr>
        <w:tc>
          <w:tcPr>
            <w:tcW w:type="dxa" w:w="2600"/>
            <w:shd w:fill="F2F2F2" w:val="clear"/>
          </w:tcPr>
          <w:p>
            <w:r>
              <w:rPr>
                <w:rFonts w:ascii="Calibri" w:cs="Calibri" w:eastAsia="Calibri" w:hAnsi="Calibri"/>
                <w:b/>
                <w:bCs/>
                <w:color w:val="1B2A4A"/>
                <w:sz w:val="20"/>
                <w:szCs w:val="20"/>
              </w:rPr>
              <w:t xml:space="preserve">Effective Date</w:t>
            </w:r>
          </w:p>
        </w:tc>
        <w:tc>
          <w:tcPr>
            <w:tcW w:type="dxa" w:w="6400"/>
          </w:tcPr>
          <w:p>
            <w:r>
              <w:rPr>
                <w:rFonts w:ascii="Calibri" w:cs="Calibri" w:eastAsia="Calibri" w:hAnsi="Calibri"/>
                <w:sz w:val="20"/>
                <w:szCs w:val="20"/>
              </w:rPr>
              <w:t xml:space="preserve">Upon Board Approval</w:t>
            </w:r>
          </w:p>
        </w:tc>
      </w:tr>
      <w:tr>
        <w:tc>
          <w:tcPr>
            <w:tcW w:type="dxa" w:w="2600"/>
            <w:shd w:fill="F2F2F2" w:val="clear"/>
          </w:tcPr>
          <w:p>
            <w:r>
              <w:rPr>
                <w:rFonts w:ascii="Calibri" w:cs="Calibri" w:eastAsia="Calibri" w:hAnsi="Calibri"/>
                <w:b/>
                <w:bCs/>
                <w:color w:val="1B2A4A"/>
                <w:sz w:val="20"/>
                <w:szCs w:val="20"/>
              </w:rPr>
              <w:t xml:space="preserve">Owner</w:t>
            </w:r>
          </w:p>
        </w:tc>
        <w:tc>
          <w:tcPr>
            <w:tcW w:type="dxa" w:w="6400"/>
          </w:tcPr>
          <w:p>
            <w:r>
              <w:rPr>
                <w:rFonts w:ascii="Calibri" w:cs="Calibri" w:eastAsia="Calibri" w:hAnsi="Calibri"/>
                <w:sz w:val="20"/>
                <w:szCs w:val="20"/>
              </w:rPr>
              <w:t xml:space="preserve">Chief Information Security Officer</w:t>
            </w:r>
          </w:p>
        </w:tc>
      </w:tr>
      <w:tr>
        <w:tc>
          <w:tcPr>
            <w:tcW w:type="dxa" w:w="2600"/>
            <w:shd w:fill="F2F2F2" w:val="clear"/>
          </w:tcPr>
          <w:p>
            <w:r>
              <w:rPr>
                <w:rFonts w:ascii="Calibri" w:cs="Calibri" w:eastAsia="Calibri" w:hAnsi="Calibri"/>
                <w:b/>
                <w:bCs/>
                <w:color w:val="1B2A4A"/>
                <w:sz w:val="20"/>
                <w:szCs w:val="20"/>
              </w:rPr>
              <w:t xml:space="preserve">Applies To</w:t>
            </w:r>
          </w:p>
        </w:tc>
        <w:tc>
          <w:tcPr>
            <w:tcW w:type="dxa" w:w="6400"/>
          </w:tcPr>
          <w:p>
            <w:r>
              <w:rPr>
                <w:rFonts w:ascii="Calibri" w:cs="Calibri" w:eastAsia="Calibri" w:hAnsi="Calibri"/>
                <w:sz w:val="20"/>
                <w:szCs w:val="20"/>
              </w:rPr>
              <w:t xml:space="preserve">All workforce members, contractors, interns, and third parties with access to Meridian information systems</w:t>
            </w:r>
          </w:p>
        </w:tc>
      </w:tr>
      <w:tr>
        <w:tc>
          <w:tcPr>
            <w:tcW w:type="dxa" w:w="2600"/>
            <w:shd w:fill="F2F2F2" w:val="clear"/>
          </w:tcPr>
          <w:p>
            <w:r>
              <w:rPr>
                <w:rFonts w:ascii="Calibri" w:cs="Calibri" w:eastAsia="Calibri" w:hAnsi="Calibri"/>
                <w:b/>
                <w:bCs/>
                <w:color w:val="1B2A4A"/>
                <w:sz w:val="20"/>
                <w:szCs w:val="20"/>
              </w:rPr>
              <w:t xml:space="preserve">Framework Mapping</w:t>
            </w:r>
          </w:p>
        </w:tc>
        <w:tc>
          <w:tcPr>
            <w:tcW w:type="dxa" w:w="6400"/>
          </w:tcPr>
          <w:p>
            <w:r>
              <w:rPr>
                <w:rFonts w:ascii="Calibri" w:cs="Calibri" w:eastAsia="Calibri" w:hAnsi="Calibri"/>
                <w:sz w:val="20"/>
                <w:szCs w:val="20"/>
              </w:rPr>
              <w:t xml:space="preserve">ISO/IEC 27001:2022 Annex A 5.10, 6.2, 8.1, 8.7  |  HIPAA §164.310(b), §164.312(a)</w:t>
            </w:r>
          </w:p>
        </w:tc>
      </w:tr>
    </w:tbl>
    <w:p>
      <w:pPr>
        <w:spacing w:after="100"/>
      </w:pPr>
    </w:p>
    <w:p>
      <w:pPr>
        <w:pStyle w:val="Heading2"/>
        <w:spacing w:after="140" w:before="260"/>
      </w:pPr>
      <w:r>
        <w:rPr>
          <w:rFonts w:ascii="Georgia" w:cs="Georgia" w:eastAsia="Georgia" w:hAnsi="Georgia"/>
          <w:b/>
          <w:bCs/>
          <w:color w:val="1F7A7A"/>
          <w:sz w:val="24"/>
          <w:szCs w:val="24"/>
        </w:rPr>
        <w:t xml:space="preserve">1. Purpose</w:t>
      </w:r>
    </w:p>
    <w:p>
      <w:pPr>
        <w:spacing w:after="140"/>
      </w:pPr>
      <w:r>
        <w:rPr>
          <w:rFonts w:ascii="Calibri" w:cs="Calibri" w:eastAsia="Calibri" w:hAnsi="Calibri"/>
          <w:sz w:val="21"/>
          <w:szCs w:val="21"/>
        </w:rPr>
        <w:t xml:space="preserve">This policy defines acceptable and prohibited use of Meridian HealthTech Solutions' information systems, networks, endpoints, and data, including systems that process Protected Health Information (PHI). Its purpose is to protect the confidentiality, integrity, and availability of company and patient data, and to reduce the organization's exposure to malware, data loss, and regulatory violations.</w:t>
      </w:r>
    </w:p>
    <w:p>
      <w:pPr>
        <w:pStyle w:val="Heading2"/>
        <w:spacing w:after="140" w:before="260"/>
      </w:pPr>
      <w:r>
        <w:rPr>
          <w:rFonts w:ascii="Georgia" w:cs="Georgia" w:eastAsia="Georgia" w:hAnsi="Georgia"/>
          <w:b/>
          <w:bCs/>
          <w:color w:val="1F7A7A"/>
          <w:sz w:val="24"/>
          <w:szCs w:val="24"/>
        </w:rPr>
        <w:t xml:space="preserve">2. Scope</w:t>
      </w:r>
    </w:p>
    <w:p>
      <w:pPr>
        <w:spacing w:after="140"/>
      </w:pPr>
      <w:r>
        <w:rPr>
          <w:rFonts w:ascii="Calibri" w:cs="Calibri" w:eastAsia="Calibri" w:hAnsi="Calibri"/>
          <w:sz w:val="21"/>
          <w:szCs w:val="21"/>
        </w:rPr>
        <w:t xml:space="preserve">This policy applies to all company-owned and BYOD (bring-your-own-device) endpoints, cloud services, email, messaging platforms, source code repositories, and network resources, whether accessed from Meridian offices in Austin, TX or Bengaluru, India, or remotely.</w:t>
      </w:r>
    </w:p>
    <w:p>
      <w:pPr>
        <w:pStyle w:val="Heading2"/>
        <w:spacing w:after="140" w:before="260"/>
      </w:pPr>
      <w:r>
        <w:rPr>
          <w:rFonts w:ascii="Georgia" w:cs="Georgia" w:eastAsia="Georgia" w:hAnsi="Georgia"/>
          <w:b/>
          <w:bCs/>
          <w:color w:val="1F7A7A"/>
          <w:sz w:val="24"/>
          <w:szCs w:val="24"/>
        </w:rPr>
        <w:t xml:space="preserve">3. Policy Statements</w:t>
      </w:r>
    </w:p>
    <w:p>
      <w:pPr>
        <w:spacing w:after="100" w:before="200"/>
      </w:pPr>
      <w:r>
        <w:rPr>
          <w:rFonts w:ascii="Calibri" w:cs="Calibri" w:eastAsia="Calibri" w:hAnsi="Calibri"/>
          <w:b/>
          <w:bCs/>
          <w:color w:val="1B2A4A"/>
          <w:sz w:val="22"/>
          <w:szCs w:val="22"/>
        </w:rPr>
        <w:t xml:space="preserve">3.1 General Use</w:t>
      </w:r>
    </w:p>
    <w:p>
      <w:pPr>
        <w:pStyle w:val="ListParagraph"/>
        <w:numPr>
          <w:ilvl w:val="0"/>
          <w:numId w:val="2"/>
        </w:numPr>
        <w:spacing w:after="60"/>
      </w:pPr>
      <w:r>
        <w:rPr>
          <w:rFonts w:ascii="Calibri" w:cs="Calibri" w:eastAsia="Calibri" w:hAnsi="Calibri"/>
          <w:sz w:val="21"/>
          <w:szCs w:val="21"/>
        </w:rPr>
        <w:t xml:space="preserve">Company systems are provided for business purposes; incidental personal use is permitted provided it does not interfere with duties, consume disproportionate resources, or violate this or any related policy.</w:t>
      </w:r>
    </w:p>
    <w:p>
      <w:pPr>
        <w:pStyle w:val="ListParagraph"/>
        <w:numPr>
          <w:ilvl w:val="0"/>
          <w:numId w:val="2"/>
        </w:numPr>
        <w:spacing w:after="60"/>
      </w:pPr>
      <w:r>
        <w:rPr>
          <w:rFonts w:ascii="Calibri" w:cs="Calibri" w:eastAsia="Calibri" w:hAnsi="Calibri"/>
          <w:sz w:val="21"/>
          <w:szCs w:val="21"/>
        </w:rPr>
        <w:t xml:space="preserve">Users must lock workstations when unattended and use company-approved multi-factor authentication (MFA) on all accounts with access to PHI or production systems.</w:t>
      </w:r>
    </w:p>
    <w:p>
      <w:pPr>
        <w:pStyle w:val="ListParagraph"/>
        <w:numPr>
          <w:ilvl w:val="0"/>
          <w:numId w:val="2"/>
        </w:numPr>
        <w:spacing w:after="60"/>
      </w:pPr>
      <w:r>
        <w:rPr>
          <w:rFonts w:ascii="Calibri" w:cs="Calibri" w:eastAsia="Calibri" w:hAnsi="Calibri"/>
          <w:sz w:val="21"/>
          <w:szCs w:val="21"/>
        </w:rPr>
        <w:t xml:space="preserve">Only company-approved software and browser extensions may be installed on endpoints that access PHI; installation requests are routed through IT Service Management.</w:t>
      </w:r>
    </w:p>
    <w:p>
      <w:pPr>
        <w:spacing w:after="100" w:before="200"/>
      </w:pPr>
      <w:r>
        <w:rPr>
          <w:rFonts w:ascii="Calibri" w:cs="Calibri" w:eastAsia="Calibri" w:hAnsi="Calibri"/>
          <w:b/>
          <w:bCs/>
          <w:color w:val="1B2A4A"/>
          <w:sz w:val="22"/>
          <w:szCs w:val="22"/>
        </w:rPr>
        <w:t xml:space="preserve">3.2 Prohibited Activities</w:t>
      </w:r>
    </w:p>
    <w:p>
      <w:pPr>
        <w:pStyle w:val="ListParagraph"/>
        <w:numPr>
          <w:ilvl w:val="0"/>
          <w:numId w:val="2"/>
        </w:numPr>
        <w:spacing w:after="60"/>
      </w:pPr>
      <w:r>
        <w:rPr>
          <w:rFonts w:ascii="Calibri" w:cs="Calibri" w:eastAsia="Calibri" w:hAnsi="Calibri"/>
          <w:sz w:val="21"/>
          <w:szCs w:val="21"/>
        </w:rPr>
        <w:t xml:space="preserve">Transmitting PHI or other Confidential/Restricted data (see Data Classification Policy, MER-ISP-004) over unencrypted channels or to personal cloud storage, personal email, or unapproved messaging apps.</w:t>
      </w:r>
    </w:p>
    <w:p>
      <w:pPr>
        <w:pStyle w:val="ListParagraph"/>
        <w:numPr>
          <w:ilvl w:val="0"/>
          <w:numId w:val="2"/>
        </w:numPr>
        <w:spacing w:after="60"/>
      </w:pPr>
      <w:r>
        <w:rPr>
          <w:rFonts w:ascii="Calibri" w:cs="Calibri" w:eastAsia="Calibri" w:hAnsi="Calibri"/>
          <w:sz w:val="21"/>
          <w:szCs w:val="21"/>
        </w:rPr>
        <w:t xml:space="preserve">Disabling, bypassing, or tampering with endpoint protection, MFA, logging, or DLP controls.</w:t>
      </w:r>
    </w:p>
    <w:p>
      <w:pPr>
        <w:pStyle w:val="ListParagraph"/>
        <w:numPr>
          <w:ilvl w:val="0"/>
          <w:numId w:val="2"/>
        </w:numPr>
        <w:spacing w:after="60"/>
      </w:pPr>
      <w:r>
        <w:rPr>
          <w:rFonts w:ascii="Calibri" w:cs="Calibri" w:eastAsia="Calibri" w:hAnsi="Calibri"/>
          <w:sz w:val="21"/>
          <w:szCs w:val="21"/>
        </w:rPr>
        <w:t xml:space="preserve">Using company systems to access, store, or transmit unlawful content, or to conduct activity that violates HIPAA, applicable data protection law, or Meridian's Code of Conduct.</w:t>
      </w:r>
    </w:p>
    <w:p>
      <w:pPr>
        <w:pStyle w:val="ListParagraph"/>
        <w:numPr>
          <w:ilvl w:val="0"/>
          <w:numId w:val="2"/>
        </w:numPr>
        <w:spacing w:after="60"/>
      </w:pPr>
      <w:r>
        <w:rPr>
          <w:rFonts w:ascii="Calibri" w:cs="Calibri" w:eastAsia="Calibri" w:hAnsi="Calibri"/>
          <w:sz w:val="21"/>
          <w:szCs w:val="21"/>
        </w:rPr>
        <w:t xml:space="preserve">Sharing credentials, API keys, or access tokens with any other individual, internal or external.</w:t>
      </w:r>
    </w:p>
    <w:p>
      <w:pPr>
        <w:pStyle w:val="ListParagraph"/>
        <w:numPr>
          <w:ilvl w:val="0"/>
          <w:numId w:val="2"/>
        </w:numPr>
        <w:spacing w:after="60"/>
      </w:pPr>
      <w:r>
        <w:rPr>
          <w:rFonts w:ascii="Calibri" w:cs="Calibri" w:eastAsia="Calibri" w:hAnsi="Calibri"/>
          <w:sz w:val="21"/>
          <w:szCs w:val="21"/>
        </w:rPr>
        <w:t xml:space="preserve">Connecting unauthorized removable media to systems in scope for PHI processing.</w:t>
      </w:r>
    </w:p>
    <w:p>
      <w:pPr>
        <w:spacing w:after="100" w:before="200"/>
      </w:pPr>
      <w:r>
        <w:rPr>
          <w:rFonts w:ascii="Calibri" w:cs="Calibri" w:eastAsia="Calibri" w:hAnsi="Calibri"/>
          <w:b/>
          <w:bCs/>
          <w:color w:val="1B2A4A"/>
          <w:sz w:val="22"/>
          <w:szCs w:val="22"/>
        </w:rPr>
        <w:t xml:space="preserve">3.3 Email, Messaging &amp; Internet Use</w:t>
      </w:r>
    </w:p>
    <w:p>
      <w:pPr>
        <w:pStyle w:val="ListParagraph"/>
        <w:numPr>
          <w:ilvl w:val="0"/>
          <w:numId w:val="2"/>
        </w:numPr>
        <w:spacing w:after="60"/>
      </w:pPr>
      <w:r>
        <w:rPr>
          <w:rFonts w:ascii="Calibri" w:cs="Calibri" w:eastAsia="Calibri" w:hAnsi="Calibri"/>
          <w:sz w:val="21"/>
          <w:szCs w:val="21"/>
        </w:rPr>
        <w:t xml:space="preserve">Company email must not be auto-forwarded to personal accounts.</w:t>
      </w:r>
    </w:p>
    <w:p>
      <w:pPr>
        <w:pStyle w:val="ListParagraph"/>
        <w:numPr>
          <w:ilvl w:val="0"/>
          <w:numId w:val="2"/>
        </w:numPr>
        <w:spacing w:after="60"/>
      </w:pPr>
      <w:r>
        <w:rPr>
          <w:rFonts w:ascii="Calibri" w:cs="Calibri" w:eastAsia="Calibri" w:hAnsi="Calibri"/>
          <w:sz w:val="21"/>
          <w:szCs w:val="21"/>
        </w:rPr>
        <w:t xml:space="preserve">Users must report suspected phishing using the "Report Phishing" button; see the Security Awareness &amp; Phishing Simulation Program for training obligations.</w:t>
      </w:r>
    </w:p>
    <w:p>
      <w:pPr>
        <w:pStyle w:val="ListParagraph"/>
        <w:numPr>
          <w:ilvl w:val="0"/>
          <w:numId w:val="2"/>
        </w:numPr>
        <w:spacing w:after="60"/>
      </w:pPr>
      <w:r>
        <w:rPr>
          <w:rFonts w:ascii="Calibri" w:cs="Calibri" w:eastAsia="Calibri" w:hAnsi="Calibri"/>
          <w:sz w:val="21"/>
          <w:szCs w:val="21"/>
        </w:rPr>
        <w:t xml:space="preserve">Social media and public forums must never be used to disclose patient data, client names, or non-public company information.</w:t>
      </w:r>
    </w:p>
    <w:p>
      <w:pPr>
        <w:spacing w:after="100" w:before="200"/>
      </w:pPr>
      <w:r>
        <w:rPr>
          <w:rFonts w:ascii="Calibri" w:cs="Calibri" w:eastAsia="Calibri" w:hAnsi="Calibri"/>
          <w:b/>
          <w:bCs/>
          <w:color w:val="1B2A4A"/>
          <w:sz w:val="22"/>
          <w:szCs w:val="22"/>
        </w:rPr>
        <w:t xml:space="preserve">3.4 Remote &amp; Mobile Use</w:t>
      </w:r>
    </w:p>
    <w:p>
      <w:pPr>
        <w:pStyle w:val="ListParagraph"/>
        <w:numPr>
          <w:ilvl w:val="0"/>
          <w:numId w:val="2"/>
        </w:numPr>
        <w:spacing w:after="60"/>
      </w:pPr>
      <w:r>
        <w:rPr>
          <w:rFonts w:ascii="Calibri" w:cs="Calibri" w:eastAsia="Calibri" w:hAnsi="Calibri"/>
          <w:sz w:val="21"/>
          <w:szCs w:val="21"/>
        </w:rPr>
        <w:t xml:space="preserve">Remote access to systems in scope for PHI requires company-managed VPN or Zero Trust Network Access (ZTNA) with device posture check and MFA.</w:t>
      </w:r>
    </w:p>
    <w:p>
      <w:pPr>
        <w:pStyle w:val="ListParagraph"/>
        <w:numPr>
          <w:ilvl w:val="0"/>
          <w:numId w:val="2"/>
        </w:numPr>
        <w:spacing w:after="60"/>
      </w:pPr>
      <w:r>
        <w:rPr>
          <w:rFonts w:ascii="Calibri" w:cs="Calibri" w:eastAsia="Calibri" w:hAnsi="Calibri"/>
          <w:sz w:val="21"/>
          <w:szCs w:val="21"/>
        </w:rPr>
        <w:t xml:space="preserve">Mobile devices accessing corporate email or PHI-adjacent systems must be enrolled in the corporate Mobile Device Management (MDM) platform and support remote wipe.</w:t>
      </w:r>
    </w:p>
    <w:p>
      <w:pPr>
        <w:pStyle w:val="Heading2"/>
        <w:spacing w:after="140" w:before="260"/>
      </w:pPr>
      <w:r>
        <w:rPr>
          <w:rFonts w:ascii="Georgia" w:cs="Georgia" w:eastAsia="Georgia" w:hAnsi="Georgia"/>
          <w:b/>
          <w:bCs/>
          <w:color w:val="1F7A7A"/>
          <w:sz w:val="24"/>
          <w:szCs w:val="24"/>
        </w:rPr>
        <w:t xml:space="preserve">4. Roles &amp; Responsibilities</w:t>
      </w:r>
    </w:p>
    <w:p>
      <w:pPr>
        <w:pStyle w:val="ListParagraph"/>
        <w:numPr>
          <w:ilvl w:val="0"/>
          <w:numId w:val="2"/>
        </w:numPr>
        <w:spacing w:after="60"/>
      </w:pPr>
      <w:r>
        <w:rPr>
          <w:rFonts w:ascii="Calibri" w:cs="Calibri" w:eastAsia="Calibri" w:hAnsi="Calibri"/>
          <w:sz w:val="21"/>
          <w:szCs w:val="21"/>
        </w:rPr>
        <w:t xml:space="preserve">All Users — Comply with this policy, complete annual security awareness training, and report suspected violations or incidents immediately.</w:t>
      </w:r>
    </w:p>
    <w:p>
      <w:pPr>
        <w:pStyle w:val="ListParagraph"/>
        <w:numPr>
          <w:ilvl w:val="0"/>
          <w:numId w:val="2"/>
        </w:numPr>
        <w:spacing w:after="60"/>
      </w:pPr>
      <w:r>
        <w:rPr>
          <w:rFonts w:ascii="Calibri" w:cs="Calibri" w:eastAsia="Calibri" w:hAnsi="Calibri"/>
          <w:sz w:val="21"/>
          <w:szCs w:val="21"/>
        </w:rPr>
        <w:t xml:space="preserve">People Managers — Ensure direct reports understand and follow this policy; initiate access revocation requests promptly on role change or termination.</w:t>
      </w:r>
    </w:p>
    <w:p>
      <w:pPr>
        <w:pStyle w:val="ListParagraph"/>
        <w:numPr>
          <w:ilvl w:val="0"/>
          <w:numId w:val="2"/>
        </w:numPr>
        <w:spacing w:after="60"/>
      </w:pPr>
      <w:r>
        <w:rPr>
          <w:rFonts w:ascii="Calibri" w:cs="Calibri" w:eastAsia="Calibri" w:hAnsi="Calibri"/>
          <w:sz w:val="21"/>
          <w:szCs w:val="21"/>
        </w:rPr>
        <w:t xml:space="preserve">IT Operations — Enforce technical controls (endpoint management, MDM, DLP, email security gateway) supporting this policy.</w:t>
      </w:r>
    </w:p>
    <w:p>
      <w:pPr>
        <w:pStyle w:val="ListParagraph"/>
        <w:numPr>
          <w:ilvl w:val="0"/>
          <w:numId w:val="2"/>
        </w:numPr>
        <w:spacing w:after="60"/>
      </w:pPr>
      <w:r>
        <w:rPr>
          <w:rFonts w:ascii="Calibri" w:cs="Calibri" w:eastAsia="Calibri" w:hAnsi="Calibri"/>
          <w:sz w:val="21"/>
          <w:szCs w:val="21"/>
        </w:rPr>
        <w:t xml:space="preserve">Information Security — Own, maintain, and periodically audit compliance with this policy; investigate reported violations.</w:t>
      </w:r>
    </w:p>
    <w:p>
      <w:pPr>
        <w:pStyle w:val="Heading2"/>
        <w:spacing w:after="140" w:before="260"/>
      </w:pPr>
      <w:r>
        <w:rPr>
          <w:rFonts w:ascii="Georgia" w:cs="Georgia" w:eastAsia="Georgia" w:hAnsi="Georgia"/>
          <w:b/>
          <w:bCs/>
          <w:color w:val="1F7A7A"/>
          <w:sz w:val="24"/>
          <w:szCs w:val="24"/>
        </w:rPr>
        <w:t xml:space="preserve">5. Compliance &amp; Enforcement</w:t>
      </w:r>
    </w:p>
    <w:p>
      <w:pPr>
        <w:spacing w:after="140"/>
      </w:pPr>
      <w:r>
        <w:rPr>
          <w:rFonts w:ascii="Calibri" w:cs="Calibri" w:eastAsia="Calibri" w:hAnsi="Calibri"/>
          <w:sz w:val="21"/>
          <w:szCs w:val="21"/>
        </w:rPr>
        <w:t xml:space="preserve">Violations of this policy may result in disciplinary action up to and including termination of employment or contract, and may be reported to law enforcement or regulators where required by law. Contractors and third parties found in violation are subject to remedies under their applicable agreement, including immediate access revocation.</w:t>
      </w:r>
    </w:p>
    <w:p>
      <w:pPr>
        <w:spacing w:after="140"/>
      </w:pPr>
      <w:r>
        <w:rPr>
          <w:rFonts w:ascii="Calibri" w:cs="Calibri" w:eastAsia="Calibri" w:hAnsi="Calibri"/>
          <w:sz w:val="21"/>
          <w:szCs w:val="21"/>
        </w:rPr>
        <w:t xml:space="preserve">Compliance is verified through periodic access reviews, DLP alert review, and inclusion in the annual internal ISO 27001 audit program.</w:t>
      </w:r>
    </w:p>
    <w:p>
      <w:pPr>
        <w:pStyle w:val="Heading2"/>
        <w:spacing w:after="140" w:before="260"/>
      </w:pPr>
      <w:r>
        <w:rPr>
          <w:rFonts w:ascii="Georgia" w:cs="Georgia" w:eastAsia="Georgia" w:hAnsi="Georgia"/>
          <w:b/>
          <w:bCs/>
          <w:color w:val="1F7A7A"/>
          <w:sz w:val="24"/>
          <w:szCs w:val="24"/>
        </w:rPr>
        <w:t xml:space="preserve">6. Review Cycle</w:t>
      </w:r>
    </w:p>
    <w:p>
      <w:pPr>
        <w:spacing w:after="140"/>
      </w:pPr>
      <w:r>
        <w:rPr>
          <w:rFonts w:ascii="Calibri" w:cs="Calibri" w:eastAsia="Calibri" w:hAnsi="Calibri"/>
          <w:sz w:val="21"/>
          <w:szCs w:val="21"/>
        </w:rPr>
        <w:t xml:space="preserve">This policy is reviewed at least annually by the Information Security function, and following any material change to the regulatory environment, technology stack, or a significant security incident. Next scheduled review: 12 months from effective date.</w:t>
      </w:r>
    </w:p>
    <w:p>
      <w:r>
        <w:br w:type="page"/>
      </w:r>
    </w:p>
    <w:p>
      <w:pPr>
        <w:spacing w:after="60"/>
      </w:pPr>
      <w:r>
        <w:rPr>
          <w:rFonts w:ascii="Calibri" w:cs="Calibri" w:eastAsia="Calibri" w:hAnsi="Calibri"/>
          <w:b/>
          <w:bCs/>
          <w:color w:val="E0674A"/>
          <w:sz w:val="18"/>
          <w:szCs w:val="18"/>
        </w:rPr>
        <w:t xml:space="preserve">POLICY 2</w:t>
      </w:r>
    </w:p>
    <w:p>
      <w:pPr>
        <w:pStyle w:val="Heading1"/>
        <w:pBdr>
          <w:bottom w:val="single" w:color="1F7A7A" w:sz="8" w:space="4"/>
        </w:pBdr>
        <w:spacing w:after="200" w:before="400"/>
      </w:pPr>
      <w:r>
        <w:rPr>
          <w:rFonts w:ascii="Georgia" w:cs="Georgia" w:eastAsia="Georgia" w:hAnsi="Georgia"/>
          <w:b/>
          <w:bCs/>
          <w:color w:val="1B2A4A"/>
          <w:sz w:val="30"/>
          <w:szCs w:val="30"/>
        </w:rPr>
        <w:t xml:space="preserve">Incident Response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val="clear"/>
          </w:tcPr>
          <w:p>
            <w:r>
              <w:rPr>
                <w:rFonts w:ascii="Calibri" w:cs="Calibri" w:eastAsia="Calibri" w:hAnsi="Calibri"/>
                <w:b/>
                <w:bCs/>
                <w:color w:val="1B2A4A"/>
                <w:sz w:val="20"/>
                <w:szCs w:val="20"/>
              </w:rPr>
              <w:t xml:space="preserve">Policy ID</w:t>
            </w:r>
          </w:p>
        </w:tc>
        <w:tc>
          <w:tcPr>
            <w:tcW w:type="dxa" w:w="6400"/>
          </w:tcPr>
          <w:p>
            <w:r>
              <w:rPr>
                <w:rFonts w:ascii="Calibri" w:cs="Calibri" w:eastAsia="Calibri" w:hAnsi="Calibri"/>
                <w:sz w:val="20"/>
                <w:szCs w:val="20"/>
              </w:rPr>
              <w:t xml:space="preserve">MER-ISP-002</w:t>
            </w:r>
          </w:p>
        </w:tc>
      </w:tr>
      <w:tr>
        <w:tc>
          <w:tcPr>
            <w:tcW w:type="dxa" w:w="2600"/>
            <w:shd w:fill="F2F2F2" w:val="clear"/>
          </w:tcPr>
          <w:p>
            <w:r>
              <w:rPr>
                <w:rFonts w:ascii="Calibri" w:cs="Calibri" w:eastAsia="Calibri" w:hAnsi="Calibri"/>
                <w:b/>
                <w:bCs/>
                <w:color w:val="1B2A4A"/>
                <w:sz w:val="20"/>
                <w:szCs w:val="20"/>
              </w:rPr>
              <w:t xml:space="preserve">Version</w:t>
            </w:r>
          </w:p>
        </w:tc>
        <w:tc>
          <w:tcPr>
            <w:tcW w:type="dxa" w:w="6400"/>
          </w:tcPr>
          <w:p>
            <w:r>
              <w:rPr>
                <w:rFonts w:ascii="Calibri" w:cs="Calibri" w:eastAsia="Calibri" w:hAnsi="Calibri"/>
                <w:sz w:val="20"/>
                <w:szCs w:val="20"/>
              </w:rPr>
              <w:t xml:space="preserve">1.0</w:t>
            </w:r>
          </w:p>
        </w:tc>
      </w:tr>
      <w:tr>
        <w:tc>
          <w:tcPr>
            <w:tcW w:type="dxa" w:w="2600"/>
            <w:shd w:fill="F2F2F2" w:val="clear"/>
          </w:tcPr>
          <w:p>
            <w:r>
              <w:rPr>
                <w:rFonts w:ascii="Calibri" w:cs="Calibri" w:eastAsia="Calibri" w:hAnsi="Calibri"/>
                <w:b/>
                <w:bCs/>
                <w:color w:val="1B2A4A"/>
                <w:sz w:val="20"/>
                <w:szCs w:val="20"/>
              </w:rPr>
              <w:t xml:space="preserve">Effective Date</w:t>
            </w:r>
          </w:p>
        </w:tc>
        <w:tc>
          <w:tcPr>
            <w:tcW w:type="dxa" w:w="6400"/>
          </w:tcPr>
          <w:p>
            <w:r>
              <w:rPr>
                <w:rFonts w:ascii="Calibri" w:cs="Calibri" w:eastAsia="Calibri" w:hAnsi="Calibri"/>
                <w:sz w:val="20"/>
                <w:szCs w:val="20"/>
              </w:rPr>
              <w:t xml:space="preserve">Upon Board Approval</w:t>
            </w:r>
          </w:p>
        </w:tc>
      </w:tr>
      <w:tr>
        <w:tc>
          <w:tcPr>
            <w:tcW w:type="dxa" w:w="2600"/>
            <w:shd w:fill="F2F2F2" w:val="clear"/>
          </w:tcPr>
          <w:p>
            <w:r>
              <w:rPr>
                <w:rFonts w:ascii="Calibri" w:cs="Calibri" w:eastAsia="Calibri" w:hAnsi="Calibri"/>
                <w:b/>
                <w:bCs/>
                <w:color w:val="1B2A4A"/>
                <w:sz w:val="20"/>
                <w:szCs w:val="20"/>
              </w:rPr>
              <w:t xml:space="preserve">Owner</w:t>
            </w:r>
          </w:p>
        </w:tc>
        <w:tc>
          <w:tcPr>
            <w:tcW w:type="dxa" w:w="6400"/>
          </w:tcPr>
          <w:p>
            <w:r>
              <w:rPr>
                <w:rFonts w:ascii="Calibri" w:cs="Calibri" w:eastAsia="Calibri" w:hAnsi="Calibri"/>
                <w:sz w:val="20"/>
                <w:szCs w:val="20"/>
              </w:rPr>
              <w:t xml:space="preserve">Chief Information Security Officer</w:t>
            </w:r>
          </w:p>
        </w:tc>
      </w:tr>
      <w:tr>
        <w:tc>
          <w:tcPr>
            <w:tcW w:type="dxa" w:w="2600"/>
            <w:shd w:fill="F2F2F2" w:val="clear"/>
          </w:tcPr>
          <w:p>
            <w:r>
              <w:rPr>
                <w:rFonts w:ascii="Calibri" w:cs="Calibri" w:eastAsia="Calibri" w:hAnsi="Calibri"/>
                <w:b/>
                <w:bCs/>
                <w:color w:val="1B2A4A"/>
                <w:sz w:val="20"/>
                <w:szCs w:val="20"/>
              </w:rPr>
              <w:t xml:space="preserve">Applies To</w:t>
            </w:r>
          </w:p>
        </w:tc>
        <w:tc>
          <w:tcPr>
            <w:tcW w:type="dxa" w:w="6400"/>
          </w:tcPr>
          <w:p>
            <w:r>
              <w:rPr>
                <w:rFonts w:ascii="Calibri" w:cs="Calibri" w:eastAsia="Calibri" w:hAnsi="Calibri"/>
                <w:sz w:val="20"/>
                <w:szCs w:val="20"/>
              </w:rPr>
              <w:t xml:space="preserve">Information Security team, IT Operations, Engineering on-call, People Operations, Legal, Executive team</w:t>
            </w:r>
          </w:p>
        </w:tc>
      </w:tr>
      <w:tr>
        <w:tc>
          <w:tcPr>
            <w:tcW w:type="dxa" w:w="2600"/>
            <w:shd w:fill="F2F2F2" w:val="clear"/>
          </w:tcPr>
          <w:p>
            <w:r>
              <w:rPr>
                <w:rFonts w:ascii="Calibri" w:cs="Calibri" w:eastAsia="Calibri" w:hAnsi="Calibri"/>
                <w:b/>
                <w:bCs/>
                <w:color w:val="1B2A4A"/>
                <w:sz w:val="20"/>
                <w:szCs w:val="20"/>
              </w:rPr>
              <w:t xml:space="preserve">Framework Mapping</w:t>
            </w:r>
          </w:p>
        </w:tc>
        <w:tc>
          <w:tcPr>
            <w:tcW w:type="dxa" w:w="6400"/>
          </w:tcPr>
          <w:p>
            <w:r>
              <w:rPr>
                <w:rFonts w:ascii="Calibri" w:cs="Calibri" w:eastAsia="Calibri" w:hAnsi="Calibri"/>
                <w:sz w:val="20"/>
                <w:szCs w:val="20"/>
              </w:rPr>
              <w:t xml:space="preserve">ISO/IEC 27001:2022 Annex A 5.24–5.28, 6.8  |  HIPAA §164.308(a)(6), Breach Notification Rule §164.400–414</w:t>
            </w:r>
          </w:p>
        </w:tc>
      </w:tr>
    </w:tbl>
    <w:p>
      <w:pPr>
        <w:spacing w:after="100"/>
      </w:pPr>
    </w:p>
    <w:p>
      <w:pPr>
        <w:pStyle w:val="Heading2"/>
        <w:spacing w:after="140" w:before="260"/>
      </w:pPr>
      <w:r>
        <w:rPr>
          <w:rFonts w:ascii="Georgia" w:cs="Georgia" w:eastAsia="Georgia" w:hAnsi="Georgia"/>
          <w:b/>
          <w:bCs/>
          <w:color w:val="1F7A7A"/>
          <w:sz w:val="24"/>
          <w:szCs w:val="24"/>
        </w:rPr>
        <w:t xml:space="preserve">1. Purpose</w:t>
      </w:r>
    </w:p>
    <w:p>
      <w:pPr>
        <w:spacing w:after="140"/>
      </w:pPr>
      <w:r>
        <w:rPr>
          <w:rFonts w:ascii="Calibri" w:cs="Calibri" w:eastAsia="Calibri" w:hAnsi="Calibri"/>
          <w:sz w:val="21"/>
          <w:szCs w:val="21"/>
        </w:rPr>
        <w:t xml:space="preserve">This policy establishes a consistent, documented approach for identifying, containing, eradicating, and recovering from information security incidents, including suspected or confirmed breaches involving Protected Health Information (PHI), so that Meridian can limit harm, meet HIPAA breach-notification obligations, and preserve customer and patient trust.</w:t>
      </w:r>
    </w:p>
    <w:p>
      <w:pPr>
        <w:pStyle w:val="Heading2"/>
        <w:spacing w:after="140" w:before="260"/>
      </w:pPr>
      <w:r>
        <w:rPr>
          <w:rFonts w:ascii="Georgia" w:cs="Georgia" w:eastAsia="Georgia" w:hAnsi="Georgia"/>
          <w:b/>
          <w:bCs/>
          <w:color w:val="1F7A7A"/>
          <w:sz w:val="24"/>
          <w:szCs w:val="24"/>
        </w:rPr>
        <w:t xml:space="preserve">2. Scope</w:t>
      </w:r>
    </w:p>
    <w:p>
      <w:pPr>
        <w:spacing w:after="140"/>
      </w:pPr>
      <w:r>
        <w:rPr>
          <w:rFonts w:ascii="Calibri" w:cs="Calibri" w:eastAsia="Calibri" w:hAnsi="Calibri"/>
          <w:sz w:val="21"/>
          <w:szCs w:val="21"/>
        </w:rPr>
        <w:t xml:space="preserve">This policy applies to any suspected or confirmed event that compromises the confidentiality, integrity, or availability of Meridian information systems or data, including PHI, whether the event originates internally, from a vendor, or from an external threat actor.</w:t>
      </w:r>
    </w:p>
    <w:p>
      <w:pPr>
        <w:pStyle w:val="Heading2"/>
        <w:spacing w:after="140" w:before="260"/>
      </w:pPr>
      <w:r>
        <w:rPr>
          <w:rFonts w:ascii="Georgia" w:cs="Georgia" w:eastAsia="Georgia" w:hAnsi="Georgia"/>
          <w:b/>
          <w:bCs/>
          <w:color w:val="1F7A7A"/>
          <w:sz w:val="24"/>
          <w:szCs w:val="24"/>
        </w:rPr>
        <w:t xml:space="preserve">3. Policy Statements</w:t>
      </w:r>
    </w:p>
    <w:p>
      <w:pPr>
        <w:spacing w:after="100" w:before="200"/>
      </w:pPr>
      <w:r>
        <w:rPr>
          <w:rFonts w:ascii="Calibri" w:cs="Calibri" w:eastAsia="Calibri" w:hAnsi="Calibri"/>
          <w:b/>
          <w:bCs/>
          <w:color w:val="1B2A4A"/>
          <w:sz w:val="22"/>
          <w:szCs w:val="22"/>
        </w:rPr>
        <w:t xml:space="preserve">3.1 Incident Severity Classification</w:t>
      </w:r>
    </w:p>
    <w:p>
      <w:pPr>
        <w:pStyle w:val="ListParagraph"/>
        <w:numPr>
          <w:ilvl w:val="0"/>
          <w:numId w:val="2"/>
        </w:numPr>
        <w:spacing w:after="60"/>
      </w:pPr>
      <w:r>
        <w:rPr>
          <w:rFonts w:ascii="Calibri" w:cs="Calibri" w:eastAsia="Calibri" w:hAnsi="Calibri"/>
          <w:sz w:val="21"/>
          <w:szCs w:val="21"/>
        </w:rPr>
        <w:t xml:space="preserve">SEV-1 (Critical): Confirmed or suspected PHI breach, ransomware, production outage affecting all customers, or active external compromise. Response begins within 30 minutes, 24/7.</w:t>
      </w:r>
    </w:p>
    <w:p>
      <w:pPr>
        <w:pStyle w:val="ListParagraph"/>
        <w:numPr>
          <w:ilvl w:val="0"/>
          <w:numId w:val="2"/>
        </w:numPr>
        <w:spacing w:after="60"/>
      </w:pPr>
      <w:r>
        <w:rPr>
          <w:rFonts w:ascii="Calibri" w:cs="Calibri" w:eastAsia="Calibri" w:hAnsi="Calibri"/>
          <w:sz w:val="21"/>
          <w:szCs w:val="21"/>
        </w:rPr>
        <w:t xml:space="preserve">SEV-2 (High): Contained compromise of a single system, malware detection on an endpoint with PHI access, credential compromise. Response begins within 2 hours during business hours, 4 hours off-hours.</w:t>
      </w:r>
    </w:p>
    <w:p>
      <w:pPr>
        <w:pStyle w:val="ListParagraph"/>
        <w:numPr>
          <w:ilvl w:val="0"/>
          <w:numId w:val="2"/>
        </w:numPr>
        <w:spacing w:after="60"/>
      </w:pPr>
      <w:r>
        <w:rPr>
          <w:rFonts w:ascii="Calibri" w:cs="Calibri" w:eastAsia="Calibri" w:hAnsi="Calibri"/>
          <w:sz w:val="21"/>
          <w:szCs w:val="21"/>
        </w:rPr>
        <w:t xml:space="preserve">SEV-3 (Moderate): Policy violation, phishing click with no evidence of compromise, isolated DLP alert. Response begins within 1 business day.</w:t>
      </w:r>
    </w:p>
    <w:p>
      <w:pPr>
        <w:pStyle w:val="ListParagraph"/>
        <w:numPr>
          <w:ilvl w:val="0"/>
          <w:numId w:val="2"/>
        </w:numPr>
        <w:spacing w:after="60"/>
      </w:pPr>
      <w:r>
        <w:rPr>
          <w:rFonts w:ascii="Calibri" w:cs="Calibri" w:eastAsia="Calibri" w:hAnsi="Calibri"/>
          <w:sz w:val="21"/>
          <w:szCs w:val="21"/>
        </w:rPr>
        <w:t xml:space="preserve">SEV-4 (Low): Informational alert, false positive under investigation. Response begins within 3 business days.</w:t>
      </w:r>
    </w:p>
    <w:p>
      <w:pPr>
        <w:spacing w:after="100" w:before="200"/>
      </w:pPr>
      <w:r>
        <w:rPr>
          <w:rFonts w:ascii="Calibri" w:cs="Calibri" w:eastAsia="Calibri" w:hAnsi="Calibri"/>
          <w:b/>
          <w:bCs/>
          <w:color w:val="1B2A4A"/>
          <w:sz w:val="22"/>
          <w:szCs w:val="22"/>
        </w:rPr>
        <w:t xml:space="preserve">3.2 Incident Response Lifecycle</w:t>
      </w:r>
    </w:p>
    <w:p>
      <w:pPr>
        <w:pStyle w:val="ListParagraph"/>
        <w:numPr>
          <w:ilvl w:val="0"/>
          <w:numId w:val="2"/>
        </w:numPr>
        <w:spacing w:after="60"/>
      </w:pPr>
      <w:r>
        <w:rPr>
          <w:rFonts w:ascii="Calibri" w:cs="Calibri" w:eastAsia="Calibri" w:hAnsi="Calibri"/>
          <w:sz w:val="21"/>
          <w:szCs w:val="21"/>
        </w:rPr>
        <w:t xml:space="preserve">Preparation — maintain the Incident Response Plan runbooks, on-call rotation, forensic tooling, and annual tabletop exercises.</w:t>
      </w:r>
    </w:p>
    <w:p>
      <w:pPr>
        <w:pStyle w:val="ListParagraph"/>
        <w:numPr>
          <w:ilvl w:val="0"/>
          <w:numId w:val="2"/>
        </w:numPr>
        <w:spacing w:after="60"/>
      </w:pPr>
      <w:r>
        <w:rPr>
          <w:rFonts w:ascii="Calibri" w:cs="Calibri" w:eastAsia="Calibri" w:hAnsi="Calibri"/>
          <w:sz w:val="21"/>
          <w:szCs w:val="21"/>
        </w:rPr>
        <w:t xml:space="preserve">Detection &amp; Analysis — triage alerts from SIEM/EDR, helpdesk reports, and the phishing-report mailbox; assign severity and open an incident ticket within the tracking system.</w:t>
      </w:r>
    </w:p>
    <w:p>
      <w:pPr>
        <w:pStyle w:val="ListParagraph"/>
        <w:numPr>
          <w:ilvl w:val="0"/>
          <w:numId w:val="2"/>
        </w:numPr>
        <w:spacing w:after="60"/>
      </w:pPr>
      <w:r>
        <w:rPr>
          <w:rFonts w:ascii="Calibri" w:cs="Calibri" w:eastAsia="Calibri" w:hAnsi="Calibri"/>
          <w:sz w:val="21"/>
          <w:szCs w:val="21"/>
        </w:rPr>
        <w:t xml:space="preserve">Containment — short-term (isolate host, disable account, block IOC) followed by long-term containment (patch, rotate credentials, rebuild).</w:t>
      </w:r>
    </w:p>
    <w:p>
      <w:pPr>
        <w:pStyle w:val="ListParagraph"/>
        <w:numPr>
          <w:ilvl w:val="0"/>
          <w:numId w:val="2"/>
        </w:numPr>
        <w:spacing w:after="60"/>
      </w:pPr>
      <w:r>
        <w:rPr>
          <w:rFonts w:ascii="Calibri" w:cs="Calibri" w:eastAsia="Calibri" w:hAnsi="Calibri"/>
          <w:sz w:val="21"/>
          <w:szCs w:val="21"/>
        </w:rPr>
        <w:t xml:space="preserve">Eradication &amp; Recovery — remove root cause, validate integrity, restore from known-clean backups where applicable, and return systems to production with heightened monitoring.</w:t>
      </w:r>
    </w:p>
    <w:p>
      <w:pPr>
        <w:pStyle w:val="ListParagraph"/>
        <w:numPr>
          <w:ilvl w:val="0"/>
          <w:numId w:val="2"/>
        </w:numPr>
        <w:spacing w:after="60"/>
      </w:pPr>
      <w:r>
        <w:rPr>
          <w:rFonts w:ascii="Calibri" w:cs="Calibri" w:eastAsia="Calibri" w:hAnsi="Calibri"/>
          <w:sz w:val="21"/>
          <w:szCs w:val="21"/>
        </w:rPr>
        <w:t xml:space="preserve">Post-Incident Review — conduct a blameless retrospective within 5 business days of closure; document root cause, timeline, and corrective actions in the Incident Register.</w:t>
      </w:r>
    </w:p>
    <w:p>
      <w:pPr>
        <w:spacing w:after="100" w:before="200"/>
      </w:pPr>
      <w:r>
        <w:rPr>
          <w:rFonts w:ascii="Calibri" w:cs="Calibri" w:eastAsia="Calibri" w:hAnsi="Calibri"/>
          <w:b/>
          <w:bCs/>
          <w:color w:val="1B2A4A"/>
          <w:sz w:val="22"/>
          <w:szCs w:val="22"/>
        </w:rPr>
        <w:t xml:space="preserve">3.3 Breach Notification (PHI-Specific)</w:t>
      </w:r>
    </w:p>
    <w:p>
      <w:pPr>
        <w:pStyle w:val="ListParagraph"/>
        <w:numPr>
          <w:ilvl w:val="0"/>
          <w:numId w:val="2"/>
        </w:numPr>
        <w:spacing w:after="60"/>
      </w:pPr>
      <w:r>
        <w:rPr>
          <w:rFonts w:ascii="Calibri" w:cs="Calibri" w:eastAsia="Calibri" w:hAnsi="Calibri"/>
          <w:sz w:val="21"/>
          <w:szCs w:val="21"/>
        </w:rPr>
        <w:t xml:space="preserve">Any confirmed unauthorized acquisition, access, use, or disclosure of unsecured PHI is evaluated by Legal and the CISO under the HIPAA Breach Notification Rule risk assessment (probability of compromise) within 24 hours of discovery.</w:t>
      </w:r>
    </w:p>
    <w:p>
      <w:pPr>
        <w:pStyle w:val="ListParagraph"/>
        <w:numPr>
          <w:ilvl w:val="0"/>
          <w:numId w:val="2"/>
        </w:numPr>
        <w:spacing w:after="60"/>
      </w:pPr>
      <w:r>
        <w:rPr>
          <w:rFonts w:ascii="Calibri" w:cs="Calibri" w:eastAsia="Calibri" w:hAnsi="Calibri"/>
          <w:sz w:val="21"/>
          <w:szCs w:val="21"/>
        </w:rPr>
        <w:t xml:space="preserve">Where notification is required, affected individuals are notified without unreasonable delay and no later than 60 calendar days from discovery; HHS and, where 500+ individuals are affected, media notification follow HIPAA-prescribed timelines.</w:t>
      </w:r>
    </w:p>
    <w:p>
      <w:pPr>
        <w:pStyle w:val="ListParagraph"/>
        <w:numPr>
          <w:ilvl w:val="0"/>
          <w:numId w:val="2"/>
        </w:numPr>
        <w:spacing w:after="60"/>
      </w:pPr>
      <w:r>
        <w:rPr>
          <w:rFonts w:ascii="Calibri" w:cs="Calibri" w:eastAsia="Calibri" w:hAnsi="Calibri"/>
          <w:sz w:val="21"/>
          <w:szCs w:val="21"/>
        </w:rPr>
        <w:t xml:space="preserve">Business Associate Agreements (BAAs) with vendors require notification to Meridian within 24–72 hours of a vendor-side incident affecting Meridian PHI (see Third-Party Vendor Risk Assessment Program).</w:t>
      </w:r>
    </w:p>
    <w:p>
      <w:pPr>
        <w:spacing w:after="100" w:before="200"/>
      </w:pPr>
      <w:r>
        <w:rPr>
          <w:rFonts w:ascii="Calibri" w:cs="Calibri" w:eastAsia="Calibri" w:hAnsi="Calibri"/>
          <w:b/>
          <w:bCs/>
          <w:color w:val="1B2A4A"/>
          <w:sz w:val="22"/>
          <w:szCs w:val="22"/>
        </w:rPr>
        <w:t xml:space="preserve">3.4 Communications</w:t>
      </w:r>
    </w:p>
    <w:p>
      <w:pPr>
        <w:pStyle w:val="ListParagraph"/>
        <w:numPr>
          <w:ilvl w:val="0"/>
          <w:numId w:val="2"/>
        </w:numPr>
        <w:spacing w:after="60"/>
      </w:pPr>
      <w:r>
        <w:rPr>
          <w:rFonts w:ascii="Calibri" w:cs="Calibri" w:eastAsia="Calibri" w:hAnsi="Calibri"/>
          <w:sz w:val="21"/>
          <w:szCs w:val="21"/>
        </w:rPr>
        <w:t xml:space="preserve">All incident communications regarding SEV-1/SEV-2 events are routed through the CISO and Legal; no public statement, customer notification, or regulator contact is issued without their sign-off.</w:t>
      </w:r>
    </w:p>
    <w:p>
      <w:pPr>
        <w:pStyle w:val="ListParagraph"/>
        <w:numPr>
          <w:ilvl w:val="0"/>
          <w:numId w:val="2"/>
        </w:numPr>
        <w:spacing w:after="60"/>
      </w:pPr>
      <w:r>
        <w:rPr>
          <w:rFonts w:ascii="Calibri" w:cs="Calibri" w:eastAsia="Calibri" w:hAnsi="Calibri"/>
          <w:sz w:val="21"/>
          <w:szCs w:val="21"/>
        </w:rPr>
        <w:t xml:space="preserve">An internal incident bridge (war room) is established for all SEV-1 incidents within 15 minutes of declaration.</w:t>
      </w:r>
    </w:p>
    <w:p>
      <w:pPr>
        <w:pStyle w:val="Heading2"/>
        <w:spacing w:after="140" w:before="260"/>
      </w:pPr>
      <w:r>
        <w:rPr>
          <w:rFonts w:ascii="Georgia" w:cs="Georgia" w:eastAsia="Georgia" w:hAnsi="Georgia"/>
          <w:b/>
          <w:bCs/>
          <w:color w:val="1F7A7A"/>
          <w:sz w:val="24"/>
          <w:szCs w:val="24"/>
        </w:rPr>
        <w:t xml:space="preserve">4. Roles &amp; Responsibilities</w:t>
      </w:r>
    </w:p>
    <w:p>
      <w:pPr>
        <w:pStyle w:val="ListParagraph"/>
        <w:numPr>
          <w:ilvl w:val="0"/>
          <w:numId w:val="2"/>
        </w:numPr>
        <w:spacing w:after="60"/>
      </w:pPr>
      <w:r>
        <w:rPr>
          <w:rFonts w:ascii="Calibri" w:cs="Calibri" w:eastAsia="Calibri" w:hAnsi="Calibri"/>
          <w:sz w:val="21"/>
          <w:szCs w:val="21"/>
        </w:rPr>
        <w:t xml:space="preserve">Incident Commander (rotating, IR team) — Owns the incident end-to-end: coordinates response, assigns tasks, and declares closure.</w:t>
      </w:r>
    </w:p>
    <w:p>
      <w:pPr>
        <w:pStyle w:val="ListParagraph"/>
        <w:numPr>
          <w:ilvl w:val="0"/>
          <w:numId w:val="2"/>
        </w:numPr>
        <w:spacing w:after="60"/>
      </w:pPr>
      <w:r>
        <w:rPr>
          <w:rFonts w:ascii="Calibri" w:cs="Calibri" w:eastAsia="Calibri" w:hAnsi="Calibri"/>
          <w:sz w:val="21"/>
          <w:szCs w:val="21"/>
        </w:rPr>
        <w:t xml:space="preserve">CISO — Approves severity escalation to SEV-1, authorizes containment actions with business impact, and owns regulator/board communication.</w:t>
      </w:r>
    </w:p>
    <w:p>
      <w:pPr>
        <w:pStyle w:val="ListParagraph"/>
        <w:numPr>
          <w:ilvl w:val="0"/>
          <w:numId w:val="2"/>
        </w:numPr>
        <w:spacing w:after="60"/>
      </w:pPr>
      <w:r>
        <w:rPr>
          <w:rFonts w:ascii="Calibri" w:cs="Calibri" w:eastAsia="Calibri" w:hAnsi="Calibri"/>
          <w:sz w:val="21"/>
          <w:szCs w:val="21"/>
        </w:rPr>
        <w:t xml:space="preserve">Legal / Privacy Officer — Performs breach-notification risk assessment and manages regulatory and contractual notification obligations.</w:t>
      </w:r>
    </w:p>
    <w:p>
      <w:pPr>
        <w:pStyle w:val="ListParagraph"/>
        <w:numPr>
          <w:ilvl w:val="0"/>
          <w:numId w:val="2"/>
        </w:numPr>
        <w:spacing w:after="60"/>
      </w:pPr>
      <w:r>
        <w:rPr>
          <w:rFonts w:ascii="Calibri" w:cs="Calibri" w:eastAsia="Calibri" w:hAnsi="Calibri"/>
          <w:sz w:val="21"/>
          <w:szCs w:val="21"/>
        </w:rPr>
        <w:t xml:space="preserve">IT Operations &amp; Engineering On-Call — Execute technical containment, eradication, and recovery actions.</w:t>
      </w:r>
    </w:p>
    <w:p>
      <w:pPr>
        <w:pStyle w:val="ListParagraph"/>
        <w:numPr>
          <w:ilvl w:val="0"/>
          <w:numId w:val="2"/>
        </w:numPr>
        <w:spacing w:after="60"/>
      </w:pPr>
      <w:r>
        <w:rPr>
          <w:rFonts w:ascii="Calibri" w:cs="Calibri" w:eastAsia="Calibri" w:hAnsi="Calibri"/>
          <w:sz w:val="21"/>
          <w:szCs w:val="21"/>
        </w:rPr>
        <w:t xml:space="preserve">People Operations — Supports incidents involving insider threat or workforce member misconduct.</w:t>
      </w:r>
    </w:p>
    <w:p>
      <w:pPr>
        <w:pStyle w:val="ListParagraph"/>
        <w:numPr>
          <w:ilvl w:val="0"/>
          <w:numId w:val="2"/>
        </w:numPr>
        <w:spacing w:after="60"/>
      </w:pPr>
      <w:r>
        <w:rPr>
          <w:rFonts w:ascii="Calibri" w:cs="Calibri" w:eastAsia="Calibri" w:hAnsi="Calibri"/>
          <w:sz w:val="21"/>
          <w:szCs w:val="21"/>
        </w:rPr>
        <w:t xml:space="preserve">All Employees — Report suspected incidents immediately to security@meridianhealthtech.example or the 24/7 IR hotline; do not attempt independent remediation of a suspected breach.</w:t>
      </w:r>
    </w:p>
    <w:p>
      <w:pPr>
        <w:pStyle w:val="Heading2"/>
        <w:spacing w:after="140" w:before="260"/>
      </w:pPr>
      <w:r>
        <w:rPr>
          <w:rFonts w:ascii="Georgia" w:cs="Georgia" w:eastAsia="Georgia" w:hAnsi="Georgia"/>
          <w:b/>
          <w:bCs/>
          <w:color w:val="1F7A7A"/>
          <w:sz w:val="24"/>
          <w:szCs w:val="24"/>
        </w:rPr>
        <w:t xml:space="preserve">5. Compliance &amp; Enforcement</w:t>
      </w:r>
    </w:p>
    <w:p>
      <w:pPr>
        <w:spacing w:after="140"/>
      </w:pPr>
      <w:r>
        <w:rPr>
          <w:rFonts w:ascii="Calibri" w:cs="Calibri" w:eastAsia="Calibri" w:hAnsi="Calibri"/>
          <w:sz w:val="21"/>
          <w:szCs w:val="21"/>
        </w:rPr>
        <w:t xml:space="preserve">Failure to report a known or suspected incident within the timelines defined in this policy is itself a policy violation subject to disciplinary action.</w:t>
      </w:r>
    </w:p>
    <w:p>
      <w:pPr>
        <w:spacing w:after="140"/>
      </w:pPr>
      <w:r>
        <w:rPr>
          <w:rFonts w:ascii="Calibri" w:cs="Calibri" w:eastAsia="Calibri" w:hAnsi="Calibri"/>
          <w:sz w:val="21"/>
          <w:szCs w:val="21"/>
        </w:rPr>
        <w:t xml:space="preserve">The Information Security function conducts at least one tabletop exercise annually, simulating a PHI-breach scenario, with results reported to the Risk &amp; Audit Committee.</w:t>
      </w:r>
    </w:p>
    <w:p>
      <w:pPr>
        <w:pStyle w:val="Heading2"/>
        <w:spacing w:after="140" w:before="260"/>
      </w:pPr>
      <w:r>
        <w:rPr>
          <w:rFonts w:ascii="Georgia" w:cs="Georgia" w:eastAsia="Georgia" w:hAnsi="Georgia"/>
          <w:b/>
          <w:bCs/>
          <w:color w:val="1F7A7A"/>
          <w:sz w:val="24"/>
          <w:szCs w:val="24"/>
        </w:rPr>
        <w:t xml:space="preserve">6. Review Cycle</w:t>
      </w:r>
    </w:p>
    <w:p>
      <w:pPr>
        <w:spacing w:after="140"/>
      </w:pPr>
      <w:r>
        <w:rPr>
          <w:rFonts w:ascii="Calibri" w:cs="Calibri" w:eastAsia="Calibri" w:hAnsi="Calibri"/>
          <w:sz w:val="21"/>
          <w:szCs w:val="21"/>
        </w:rPr>
        <w:t xml:space="preserve">This policy, and the associated Incident Response Plan runbooks, are reviewed at least annually and after every SEV-1 incident. Next scheduled review: 12 months from effective date.</w:t>
      </w:r>
    </w:p>
    <w:p>
      <w:r>
        <w:br w:type="page"/>
      </w:r>
    </w:p>
    <w:p>
      <w:pPr>
        <w:spacing w:after="60"/>
      </w:pPr>
      <w:r>
        <w:rPr>
          <w:rFonts w:ascii="Calibri" w:cs="Calibri" w:eastAsia="Calibri" w:hAnsi="Calibri"/>
          <w:b/>
          <w:bCs/>
          <w:color w:val="E0674A"/>
          <w:sz w:val="18"/>
          <w:szCs w:val="18"/>
        </w:rPr>
        <w:t xml:space="preserve">POLICY 3</w:t>
      </w:r>
    </w:p>
    <w:p>
      <w:pPr>
        <w:pStyle w:val="Heading1"/>
        <w:pBdr>
          <w:bottom w:val="single" w:color="1F7A7A" w:sz="8" w:space="4"/>
        </w:pBdr>
        <w:spacing w:after="200" w:before="400"/>
      </w:pPr>
      <w:r>
        <w:rPr>
          <w:rFonts w:ascii="Georgia" w:cs="Georgia" w:eastAsia="Georgia" w:hAnsi="Georgia"/>
          <w:b/>
          <w:bCs/>
          <w:color w:val="1B2A4A"/>
          <w:sz w:val="30"/>
          <w:szCs w:val="30"/>
        </w:rPr>
        <w:t xml:space="preserve">Access Control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val="clear"/>
          </w:tcPr>
          <w:p>
            <w:r>
              <w:rPr>
                <w:rFonts w:ascii="Calibri" w:cs="Calibri" w:eastAsia="Calibri" w:hAnsi="Calibri"/>
                <w:b/>
                <w:bCs/>
                <w:color w:val="1B2A4A"/>
                <w:sz w:val="20"/>
                <w:szCs w:val="20"/>
              </w:rPr>
              <w:t xml:space="preserve">Policy ID</w:t>
            </w:r>
          </w:p>
        </w:tc>
        <w:tc>
          <w:tcPr>
            <w:tcW w:type="dxa" w:w="6400"/>
          </w:tcPr>
          <w:p>
            <w:r>
              <w:rPr>
                <w:rFonts w:ascii="Calibri" w:cs="Calibri" w:eastAsia="Calibri" w:hAnsi="Calibri"/>
                <w:sz w:val="20"/>
                <w:szCs w:val="20"/>
              </w:rPr>
              <w:t xml:space="preserve">MER-ISP-003</w:t>
            </w:r>
          </w:p>
        </w:tc>
      </w:tr>
      <w:tr>
        <w:tc>
          <w:tcPr>
            <w:tcW w:type="dxa" w:w="2600"/>
            <w:shd w:fill="F2F2F2" w:val="clear"/>
          </w:tcPr>
          <w:p>
            <w:r>
              <w:rPr>
                <w:rFonts w:ascii="Calibri" w:cs="Calibri" w:eastAsia="Calibri" w:hAnsi="Calibri"/>
                <w:b/>
                <w:bCs/>
                <w:color w:val="1B2A4A"/>
                <w:sz w:val="20"/>
                <w:szCs w:val="20"/>
              </w:rPr>
              <w:t xml:space="preserve">Version</w:t>
            </w:r>
          </w:p>
        </w:tc>
        <w:tc>
          <w:tcPr>
            <w:tcW w:type="dxa" w:w="6400"/>
          </w:tcPr>
          <w:p>
            <w:r>
              <w:rPr>
                <w:rFonts w:ascii="Calibri" w:cs="Calibri" w:eastAsia="Calibri" w:hAnsi="Calibri"/>
                <w:sz w:val="20"/>
                <w:szCs w:val="20"/>
              </w:rPr>
              <w:t xml:space="preserve">1.0</w:t>
            </w:r>
          </w:p>
        </w:tc>
      </w:tr>
      <w:tr>
        <w:tc>
          <w:tcPr>
            <w:tcW w:type="dxa" w:w="2600"/>
            <w:shd w:fill="F2F2F2" w:val="clear"/>
          </w:tcPr>
          <w:p>
            <w:r>
              <w:rPr>
                <w:rFonts w:ascii="Calibri" w:cs="Calibri" w:eastAsia="Calibri" w:hAnsi="Calibri"/>
                <w:b/>
                <w:bCs/>
                <w:color w:val="1B2A4A"/>
                <w:sz w:val="20"/>
                <w:szCs w:val="20"/>
              </w:rPr>
              <w:t xml:space="preserve">Effective Date</w:t>
            </w:r>
          </w:p>
        </w:tc>
        <w:tc>
          <w:tcPr>
            <w:tcW w:type="dxa" w:w="6400"/>
          </w:tcPr>
          <w:p>
            <w:r>
              <w:rPr>
                <w:rFonts w:ascii="Calibri" w:cs="Calibri" w:eastAsia="Calibri" w:hAnsi="Calibri"/>
                <w:sz w:val="20"/>
                <w:szCs w:val="20"/>
              </w:rPr>
              <w:t xml:space="preserve">Upon Board Approval</w:t>
            </w:r>
          </w:p>
        </w:tc>
      </w:tr>
      <w:tr>
        <w:tc>
          <w:tcPr>
            <w:tcW w:type="dxa" w:w="2600"/>
            <w:shd w:fill="F2F2F2" w:val="clear"/>
          </w:tcPr>
          <w:p>
            <w:r>
              <w:rPr>
                <w:rFonts w:ascii="Calibri" w:cs="Calibri" w:eastAsia="Calibri" w:hAnsi="Calibri"/>
                <w:b/>
                <w:bCs/>
                <w:color w:val="1B2A4A"/>
                <w:sz w:val="20"/>
                <w:szCs w:val="20"/>
              </w:rPr>
              <w:t xml:space="preserve">Owner</w:t>
            </w:r>
          </w:p>
        </w:tc>
        <w:tc>
          <w:tcPr>
            <w:tcW w:type="dxa" w:w="6400"/>
          </w:tcPr>
          <w:p>
            <w:r>
              <w:rPr>
                <w:rFonts w:ascii="Calibri" w:cs="Calibri" w:eastAsia="Calibri" w:hAnsi="Calibri"/>
                <w:sz w:val="20"/>
                <w:szCs w:val="20"/>
              </w:rPr>
              <w:t xml:space="preserve">Chief Information Security Officer</w:t>
            </w:r>
          </w:p>
        </w:tc>
      </w:tr>
      <w:tr>
        <w:tc>
          <w:tcPr>
            <w:tcW w:type="dxa" w:w="2600"/>
            <w:shd w:fill="F2F2F2" w:val="clear"/>
          </w:tcPr>
          <w:p>
            <w:r>
              <w:rPr>
                <w:rFonts w:ascii="Calibri" w:cs="Calibri" w:eastAsia="Calibri" w:hAnsi="Calibri"/>
                <w:b/>
                <w:bCs/>
                <w:color w:val="1B2A4A"/>
                <w:sz w:val="20"/>
                <w:szCs w:val="20"/>
              </w:rPr>
              <w:t xml:space="preserve">Applies To</w:t>
            </w:r>
          </w:p>
        </w:tc>
        <w:tc>
          <w:tcPr>
            <w:tcW w:type="dxa" w:w="6400"/>
          </w:tcPr>
          <w:p>
            <w:r>
              <w:rPr>
                <w:rFonts w:ascii="Calibri" w:cs="Calibri" w:eastAsia="Calibri" w:hAnsi="Calibri"/>
                <w:sz w:val="20"/>
                <w:szCs w:val="20"/>
              </w:rPr>
              <w:t xml:space="preserve">All systems, applications, and data repositories, including production infrastructure processing PHI</w:t>
            </w:r>
          </w:p>
        </w:tc>
      </w:tr>
      <w:tr>
        <w:tc>
          <w:tcPr>
            <w:tcW w:type="dxa" w:w="2600"/>
            <w:shd w:fill="F2F2F2" w:val="clear"/>
          </w:tcPr>
          <w:p>
            <w:r>
              <w:rPr>
                <w:rFonts w:ascii="Calibri" w:cs="Calibri" w:eastAsia="Calibri" w:hAnsi="Calibri"/>
                <w:b/>
                <w:bCs/>
                <w:color w:val="1B2A4A"/>
                <w:sz w:val="20"/>
                <w:szCs w:val="20"/>
              </w:rPr>
              <w:t xml:space="preserve">Framework Mapping</w:t>
            </w:r>
          </w:p>
        </w:tc>
        <w:tc>
          <w:tcPr>
            <w:tcW w:type="dxa" w:w="6400"/>
          </w:tcPr>
          <w:p>
            <w:r>
              <w:rPr>
                <w:rFonts w:ascii="Calibri" w:cs="Calibri" w:eastAsia="Calibri" w:hAnsi="Calibri"/>
                <w:sz w:val="20"/>
                <w:szCs w:val="20"/>
              </w:rPr>
              <w:t xml:space="preserve">ISO/IEC 27001:2022 Annex A 5.15–5.18, 8.2–8.5  |  HIPAA §164.308(a)(3)-(4), §164.312(a)(1)-(2)(d)</w:t>
            </w:r>
          </w:p>
        </w:tc>
      </w:tr>
    </w:tbl>
    <w:p>
      <w:pPr>
        <w:spacing w:after="100"/>
      </w:pPr>
    </w:p>
    <w:p>
      <w:pPr>
        <w:pStyle w:val="Heading2"/>
        <w:spacing w:after="140" w:before="260"/>
      </w:pPr>
      <w:r>
        <w:rPr>
          <w:rFonts w:ascii="Georgia" w:cs="Georgia" w:eastAsia="Georgia" w:hAnsi="Georgia"/>
          <w:b/>
          <w:bCs/>
          <w:color w:val="1F7A7A"/>
          <w:sz w:val="24"/>
          <w:szCs w:val="24"/>
        </w:rPr>
        <w:t xml:space="preserve">1. Purpose</w:t>
      </w:r>
    </w:p>
    <w:p>
      <w:pPr>
        <w:spacing w:after="140"/>
      </w:pPr>
      <w:r>
        <w:rPr>
          <w:rFonts w:ascii="Calibri" w:cs="Calibri" w:eastAsia="Calibri" w:hAnsi="Calibri"/>
          <w:sz w:val="21"/>
          <w:szCs w:val="21"/>
        </w:rPr>
        <w:t xml:space="preserve">This policy defines how access to Meridian information systems and data is granted, reviewed, and revoked, ensuring that access is limited to what is necessary for an individual's role (least privilege) and that PHI is protected from unauthorized access in accordance with HIPAA's Access Control and Information Access Management standards.</w:t>
      </w:r>
    </w:p>
    <w:p>
      <w:pPr>
        <w:pStyle w:val="Heading2"/>
        <w:spacing w:after="140" w:before="260"/>
      </w:pPr>
      <w:r>
        <w:rPr>
          <w:rFonts w:ascii="Georgia" w:cs="Georgia" w:eastAsia="Georgia" w:hAnsi="Georgia"/>
          <w:b/>
          <w:bCs/>
          <w:color w:val="1F7A7A"/>
          <w:sz w:val="24"/>
          <w:szCs w:val="24"/>
        </w:rPr>
        <w:t xml:space="preserve">2. Scope</w:t>
      </w:r>
    </w:p>
    <w:p>
      <w:pPr>
        <w:spacing w:after="140"/>
      </w:pPr>
      <w:r>
        <w:rPr>
          <w:rFonts w:ascii="Calibri" w:cs="Calibri" w:eastAsia="Calibri" w:hAnsi="Calibri"/>
          <w:sz w:val="21"/>
          <w:szCs w:val="21"/>
        </w:rPr>
        <w:t xml:space="preserve">This policy applies to all user, service, and administrative accounts across corporate IT, the production AWS environment, source code repositories, and third-party SaaS platforms used to conduct Meridian business.</w:t>
      </w:r>
    </w:p>
    <w:p>
      <w:pPr>
        <w:pStyle w:val="Heading2"/>
        <w:spacing w:after="140" w:before="260"/>
      </w:pPr>
      <w:r>
        <w:rPr>
          <w:rFonts w:ascii="Georgia" w:cs="Georgia" w:eastAsia="Georgia" w:hAnsi="Georgia"/>
          <w:b/>
          <w:bCs/>
          <w:color w:val="1F7A7A"/>
          <w:sz w:val="24"/>
          <w:szCs w:val="24"/>
        </w:rPr>
        <w:t xml:space="preserve">3. Policy Statements</w:t>
      </w:r>
    </w:p>
    <w:p>
      <w:pPr>
        <w:spacing w:after="100" w:before="200"/>
      </w:pPr>
      <w:r>
        <w:rPr>
          <w:rFonts w:ascii="Calibri" w:cs="Calibri" w:eastAsia="Calibri" w:hAnsi="Calibri"/>
          <w:b/>
          <w:bCs/>
          <w:color w:val="1B2A4A"/>
          <w:sz w:val="22"/>
          <w:szCs w:val="22"/>
        </w:rPr>
        <w:t xml:space="preserve">3.1 Access Provisioning</w:t>
      </w:r>
    </w:p>
    <w:p>
      <w:pPr>
        <w:pStyle w:val="ListParagraph"/>
        <w:numPr>
          <w:ilvl w:val="0"/>
          <w:numId w:val="2"/>
        </w:numPr>
        <w:spacing w:after="60"/>
      </w:pPr>
      <w:r>
        <w:rPr>
          <w:rFonts w:ascii="Calibri" w:cs="Calibri" w:eastAsia="Calibri" w:hAnsi="Calibri"/>
          <w:sz w:val="21"/>
          <w:szCs w:val="21"/>
        </w:rPr>
        <w:t xml:space="preserve">Access is granted on a least-privilege, role-based access control (RBAC) basis, mapped to documented job roles; no standing access to PHI is granted without a documented business need approved by the data owner.</w:t>
      </w:r>
    </w:p>
    <w:p>
      <w:pPr>
        <w:pStyle w:val="ListParagraph"/>
        <w:numPr>
          <w:ilvl w:val="0"/>
          <w:numId w:val="2"/>
        </w:numPr>
        <w:spacing w:after="60"/>
      </w:pPr>
      <w:r>
        <w:rPr>
          <w:rFonts w:ascii="Calibri" w:cs="Calibri" w:eastAsia="Calibri" w:hAnsi="Calibri"/>
          <w:sz w:val="21"/>
          <w:szCs w:val="21"/>
        </w:rPr>
        <w:t xml:space="preserve">New-hire access is provisioned only after background check completion, signed confidentiality agreement, and required onboarding security training.</w:t>
      </w:r>
    </w:p>
    <w:p>
      <w:pPr>
        <w:pStyle w:val="ListParagraph"/>
        <w:numPr>
          <w:ilvl w:val="0"/>
          <w:numId w:val="2"/>
        </w:numPr>
        <w:spacing w:after="60"/>
      </w:pPr>
      <w:r>
        <w:rPr>
          <w:rFonts w:ascii="Calibri" w:cs="Calibri" w:eastAsia="Calibri" w:hAnsi="Calibri"/>
          <w:sz w:val="21"/>
          <w:szCs w:val="21"/>
        </w:rPr>
        <w:t xml:space="preserve">All requests for access beyond a user's default role profile require manager and data-owner approval, logged in the access management system.</w:t>
      </w:r>
    </w:p>
    <w:p>
      <w:pPr>
        <w:spacing w:after="100" w:before="200"/>
      </w:pPr>
      <w:r>
        <w:rPr>
          <w:rFonts w:ascii="Calibri" w:cs="Calibri" w:eastAsia="Calibri" w:hAnsi="Calibri"/>
          <w:b/>
          <w:bCs/>
          <w:color w:val="1B2A4A"/>
          <w:sz w:val="22"/>
          <w:szCs w:val="22"/>
        </w:rPr>
        <w:t xml:space="preserve">3.2 Authentication</w:t>
      </w:r>
    </w:p>
    <w:p>
      <w:pPr>
        <w:pStyle w:val="ListParagraph"/>
        <w:numPr>
          <w:ilvl w:val="0"/>
          <w:numId w:val="2"/>
        </w:numPr>
        <w:spacing w:after="60"/>
      </w:pPr>
      <w:r>
        <w:rPr>
          <w:rFonts w:ascii="Calibri" w:cs="Calibri" w:eastAsia="Calibri" w:hAnsi="Calibri"/>
          <w:sz w:val="21"/>
          <w:szCs w:val="21"/>
        </w:rPr>
        <w:t xml:space="preserve">Multi-factor authentication (MFA) is mandatory for all accounts with access to production systems, PHI repositories, cloud administration consoles, and VPN/ZTNA.</w:t>
      </w:r>
    </w:p>
    <w:p>
      <w:pPr>
        <w:pStyle w:val="ListParagraph"/>
        <w:numPr>
          <w:ilvl w:val="0"/>
          <w:numId w:val="2"/>
        </w:numPr>
        <w:spacing w:after="60"/>
      </w:pPr>
      <w:r>
        <w:rPr>
          <w:rFonts w:ascii="Calibri" w:cs="Calibri" w:eastAsia="Calibri" w:hAnsi="Calibri"/>
          <w:sz w:val="21"/>
          <w:szCs w:val="21"/>
        </w:rPr>
        <w:t xml:space="preserve">Passwords must meet a minimum of 14 characters or be replaced by passkeys/hardware security keys for privileged accounts; shared or generic accounts are prohibited except for documented, vaulted break-glass scenarios.</w:t>
      </w:r>
    </w:p>
    <w:p>
      <w:pPr>
        <w:pStyle w:val="ListParagraph"/>
        <w:numPr>
          <w:ilvl w:val="0"/>
          <w:numId w:val="2"/>
        </w:numPr>
        <w:spacing w:after="60"/>
      </w:pPr>
      <w:r>
        <w:rPr>
          <w:rFonts w:ascii="Calibri" w:cs="Calibri" w:eastAsia="Calibri" w:hAnsi="Calibri"/>
          <w:sz w:val="21"/>
          <w:szCs w:val="21"/>
        </w:rPr>
        <w:t xml:space="preserve">Privileged and administrative access uses a dedicated, separately-authenticated account distinct from the individual's standard user account.</w:t>
      </w:r>
    </w:p>
    <w:p>
      <w:pPr>
        <w:spacing w:after="100" w:before="200"/>
      </w:pPr>
      <w:r>
        <w:rPr>
          <w:rFonts w:ascii="Calibri" w:cs="Calibri" w:eastAsia="Calibri" w:hAnsi="Calibri"/>
          <w:b/>
          <w:bCs/>
          <w:color w:val="1B2A4A"/>
          <w:sz w:val="22"/>
          <w:szCs w:val="22"/>
        </w:rPr>
        <w:t xml:space="preserve">3.3 Access Review &amp; Recertification</w:t>
      </w:r>
    </w:p>
    <w:p>
      <w:pPr>
        <w:pStyle w:val="ListParagraph"/>
        <w:numPr>
          <w:ilvl w:val="0"/>
          <w:numId w:val="2"/>
        </w:numPr>
        <w:spacing w:after="60"/>
      </w:pPr>
      <w:r>
        <w:rPr>
          <w:rFonts w:ascii="Calibri" w:cs="Calibri" w:eastAsia="Calibri" w:hAnsi="Calibri"/>
          <w:sz w:val="21"/>
          <w:szCs w:val="21"/>
        </w:rPr>
        <w:t xml:space="preserve">Standard user access is recertified by data/system owners every 6 months; privileged and PHI-adjacent access is recertified quarterly.</w:t>
      </w:r>
    </w:p>
    <w:p>
      <w:pPr>
        <w:pStyle w:val="ListParagraph"/>
        <w:numPr>
          <w:ilvl w:val="0"/>
          <w:numId w:val="2"/>
        </w:numPr>
        <w:spacing w:after="60"/>
      </w:pPr>
      <w:r>
        <w:rPr>
          <w:rFonts w:ascii="Calibri" w:cs="Calibri" w:eastAsia="Calibri" w:hAnsi="Calibri"/>
          <w:sz w:val="21"/>
          <w:szCs w:val="21"/>
        </w:rPr>
        <w:t xml:space="preserve">Access for terminated employees and contractors is revoked within 4 business hours of the effective termination date, and immediately for involuntary terminations.</w:t>
      </w:r>
    </w:p>
    <w:p>
      <w:pPr>
        <w:pStyle w:val="ListParagraph"/>
        <w:numPr>
          <w:ilvl w:val="0"/>
          <w:numId w:val="2"/>
        </w:numPr>
        <w:spacing w:after="60"/>
      </w:pPr>
      <w:r>
        <w:rPr>
          <w:rFonts w:ascii="Calibri" w:cs="Calibri" w:eastAsia="Calibri" w:hAnsi="Calibri"/>
          <w:sz w:val="21"/>
          <w:szCs w:val="21"/>
        </w:rPr>
        <w:t xml:space="preserve">Dormant accounts with no activity for 45 days are automatically disabled pending manager confirmation.</w:t>
      </w:r>
    </w:p>
    <w:p>
      <w:pPr>
        <w:spacing w:after="100" w:before="200"/>
      </w:pPr>
      <w:r>
        <w:rPr>
          <w:rFonts w:ascii="Calibri" w:cs="Calibri" w:eastAsia="Calibri" w:hAnsi="Calibri"/>
          <w:b/>
          <w:bCs/>
          <w:color w:val="1B2A4A"/>
          <w:sz w:val="22"/>
          <w:szCs w:val="22"/>
        </w:rPr>
        <w:t xml:space="preserve">3.4 Privileged Access Management</w:t>
      </w:r>
    </w:p>
    <w:p>
      <w:pPr>
        <w:pStyle w:val="ListParagraph"/>
        <w:numPr>
          <w:ilvl w:val="0"/>
          <w:numId w:val="2"/>
        </w:numPr>
        <w:spacing w:after="60"/>
      </w:pPr>
      <w:r>
        <w:rPr>
          <w:rFonts w:ascii="Calibri" w:cs="Calibri" w:eastAsia="Calibri" w:hAnsi="Calibri"/>
          <w:sz w:val="21"/>
          <w:szCs w:val="21"/>
        </w:rPr>
        <w:t xml:space="preserve">All privileged and production administrative access is brokered through a Privileged Access Management (PAM) solution with session recording for systems in scope for PHI.</w:t>
      </w:r>
    </w:p>
    <w:p>
      <w:pPr>
        <w:pStyle w:val="ListParagraph"/>
        <w:numPr>
          <w:ilvl w:val="0"/>
          <w:numId w:val="2"/>
        </w:numPr>
        <w:spacing w:after="60"/>
      </w:pPr>
      <w:r>
        <w:rPr>
          <w:rFonts w:ascii="Calibri" w:cs="Calibri" w:eastAsia="Calibri" w:hAnsi="Calibri"/>
          <w:sz w:val="21"/>
          <w:szCs w:val="21"/>
        </w:rPr>
        <w:t xml:space="preserve">Just-in-time (JIT) elevation is used for production database and infrastructure access; standing privileged access to PHI data stores is prohibited outside approved break-glass procedures.</w:t>
      </w:r>
    </w:p>
    <w:p>
      <w:pPr>
        <w:spacing w:after="100" w:before="200"/>
      </w:pPr>
      <w:r>
        <w:rPr>
          <w:rFonts w:ascii="Calibri" w:cs="Calibri" w:eastAsia="Calibri" w:hAnsi="Calibri"/>
          <w:b/>
          <w:bCs/>
          <w:color w:val="1B2A4A"/>
          <w:sz w:val="22"/>
          <w:szCs w:val="22"/>
        </w:rPr>
        <w:t xml:space="preserve">3.5 Physical &amp; Remote Access</w:t>
      </w:r>
    </w:p>
    <w:p>
      <w:pPr>
        <w:pStyle w:val="ListParagraph"/>
        <w:numPr>
          <w:ilvl w:val="0"/>
          <w:numId w:val="2"/>
        </w:numPr>
        <w:spacing w:after="60"/>
      </w:pPr>
      <w:r>
        <w:rPr>
          <w:rFonts w:ascii="Calibri" w:cs="Calibri" w:eastAsia="Calibri" w:hAnsi="Calibri"/>
          <w:sz w:val="21"/>
          <w:szCs w:val="21"/>
        </w:rPr>
        <w:t xml:space="preserve">Data center and office access is controlled by badge and logged; visitor access requires escort and sign-in.</w:t>
      </w:r>
    </w:p>
    <w:p>
      <w:pPr>
        <w:pStyle w:val="ListParagraph"/>
        <w:numPr>
          <w:ilvl w:val="0"/>
          <w:numId w:val="2"/>
        </w:numPr>
        <w:spacing w:after="60"/>
      </w:pPr>
      <w:r>
        <w:rPr>
          <w:rFonts w:ascii="Calibri" w:cs="Calibri" w:eastAsia="Calibri" w:hAnsi="Calibri"/>
          <w:sz w:val="21"/>
          <w:szCs w:val="21"/>
        </w:rPr>
        <w:t xml:space="preserve">Remote access to any system in scope for PHI requires company-managed endpoints meeting minimum security posture (disk encryption, EDR, current patch level).</w:t>
      </w:r>
    </w:p>
    <w:p>
      <w:pPr>
        <w:pStyle w:val="Heading2"/>
        <w:spacing w:after="140" w:before="260"/>
      </w:pPr>
      <w:r>
        <w:rPr>
          <w:rFonts w:ascii="Georgia" w:cs="Georgia" w:eastAsia="Georgia" w:hAnsi="Georgia"/>
          <w:b/>
          <w:bCs/>
          <w:color w:val="1F7A7A"/>
          <w:sz w:val="24"/>
          <w:szCs w:val="24"/>
        </w:rPr>
        <w:t xml:space="preserve">4. Roles &amp; Responsibilities</w:t>
      </w:r>
    </w:p>
    <w:p>
      <w:pPr>
        <w:pStyle w:val="ListParagraph"/>
        <w:numPr>
          <w:ilvl w:val="0"/>
          <w:numId w:val="2"/>
        </w:numPr>
        <w:spacing w:after="60"/>
      </w:pPr>
      <w:r>
        <w:rPr>
          <w:rFonts w:ascii="Calibri" w:cs="Calibri" w:eastAsia="Calibri" w:hAnsi="Calibri"/>
          <w:sz w:val="21"/>
          <w:szCs w:val="21"/>
        </w:rPr>
        <w:t xml:space="preserve">Data / System Owners — Approve and periodically recertify access to the systems and data they own.</w:t>
      </w:r>
    </w:p>
    <w:p>
      <w:pPr>
        <w:pStyle w:val="ListParagraph"/>
        <w:numPr>
          <w:ilvl w:val="0"/>
          <w:numId w:val="2"/>
        </w:numPr>
        <w:spacing w:after="60"/>
      </w:pPr>
      <w:r>
        <w:rPr>
          <w:rFonts w:ascii="Calibri" w:cs="Calibri" w:eastAsia="Calibri" w:hAnsi="Calibri"/>
          <w:sz w:val="21"/>
          <w:szCs w:val="21"/>
        </w:rPr>
        <w:t xml:space="preserve">IT Operations / Identity Team — Administer the identity and access management platform, PAM tooling, and enforce automated provisioning/de-provisioning workflows.</w:t>
      </w:r>
    </w:p>
    <w:p>
      <w:pPr>
        <w:pStyle w:val="ListParagraph"/>
        <w:numPr>
          <w:ilvl w:val="0"/>
          <w:numId w:val="2"/>
        </w:numPr>
        <w:spacing w:after="60"/>
      </w:pPr>
      <w:r>
        <w:rPr>
          <w:rFonts w:ascii="Calibri" w:cs="Calibri" w:eastAsia="Calibri" w:hAnsi="Calibri"/>
          <w:sz w:val="21"/>
          <w:szCs w:val="21"/>
        </w:rPr>
        <w:t xml:space="preserve">People Operations — Notify IT of all hire, role-change, and termination events through the HR system of record within required SLAs.</w:t>
      </w:r>
    </w:p>
    <w:p>
      <w:pPr>
        <w:pStyle w:val="ListParagraph"/>
        <w:numPr>
          <w:ilvl w:val="0"/>
          <w:numId w:val="2"/>
        </w:numPr>
        <w:spacing w:after="60"/>
      </w:pPr>
      <w:r>
        <w:rPr>
          <w:rFonts w:ascii="Calibri" w:cs="Calibri" w:eastAsia="Calibri" w:hAnsi="Calibri"/>
          <w:sz w:val="21"/>
          <w:szCs w:val="21"/>
        </w:rPr>
        <w:t xml:space="preserve">Information Security — Audit access reviews for completeness, investigate access anomalies, and own this policy.</w:t>
      </w:r>
    </w:p>
    <w:p>
      <w:pPr>
        <w:pStyle w:val="Heading2"/>
        <w:spacing w:after="140" w:before="260"/>
      </w:pPr>
      <w:r>
        <w:rPr>
          <w:rFonts w:ascii="Georgia" w:cs="Georgia" w:eastAsia="Georgia" w:hAnsi="Georgia"/>
          <w:b/>
          <w:bCs/>
          <w:color w:val="1F7A7A"/>
          <w:sz w:val="24"/>
          <w:szCs w:val="24"/>
        </w:rPr>
        <w:t xml:space="preserve">5. Compliance &amp; Enforcement</w:t>
      </w:r>
    </w:p>
    <w:p>
      <w:pPr>
        <w:spacing w:after="140"/>
      </w:pPr>
      <w:r>
        <w:rPr>
          <w:rFonts w:ascii="Calibri" w:cs="Calibri" w:eastAsia="Calibri" w:hAnsi="Calibri"/>
          <w:sz w:val="21"/>
          <w:szCs w:val="21"/>
        </w:rPr>
        <w:t xml:space="preserve">Access granted outside documented approval workflows will be revoked upon discovery and reported as a policy exception; repeated violations by an approver are escalated to the CISO and People Operations.</w:t>
      </w:r>
    </w:p>
    <w:p>
      <w:pPr>
        <w:spacing w:after="140"/>
      </w:pPr>
      <w:r>
        <w:rPr>
          <w:rFonts w:ascii="Calibri" w:cs="Calibri" w:eastAsia="Calibri" w:hAnsi="Calibri"/>
          <w:sz w:val="21"/>
          <w:szCs w:val="21"/>
        </w:rPr>
        <w:t xml:space="preserve">Access control effectiveness is tested as part of the annual internal ISO 27001 audit and the SOC/penetration testing program.</w:t>
      </w:r>
    </w:p>
    <w:p>
      <w:pPr>
        <w:pStyle w:val="Heading2"/>
        <w:spacing w:after="140" w:before="260"/>
      </w:pPr>
      <w:r>
        <w:rPr>
          <w:rFonts w:ascii="Georgia" w:cs="Georgia" w:eastAsia="Georgia" w:hAnsi="Georgia"/>
          <w:b/>
          <w:bCs/>
          <w:color w:val="1F7A7A"/>
          <w:sz w:val="24"/>
          <w:szCs w:val="24"/>
        </w:rPr>
        <w:t xml:space="preserve">6. Review Cycle</w:t>
      </w:r>
    </w:p>
    <w:p>
      <w:pPr>
        <w:spacing w:after="140"/>
      </w:pPr>
      <w:r>
        <w:rPr>
          <w:rFonts w:ascii="Calibri" w:cs="Calibri" w:eastAsia="Calibri" w:hAnsi="Calibri"/>
          <w:sz w:val="21"/>
          <w:szCs w:val="21"/>
        </w:rPr>
        <w:t xml:space="preserve">This policy is reviewed at least annually and upon any material change to the identity and access management architecture. Next scheduled review: 12 months from effective date.</w:t>
      </w:r>
    </w:p>
    <w:p>
      <w:r>
        <w:br w:type="page"/>
      </w:r>
    </w:p>
    <w:p>
      <w:pPr>
        <w:spacing w:after="60"/>
      </w:pPr>
      <w:r>
        <w:rPr>
          <w:rFonts w:ascii="Calibri" w:cs="Calibri" w:eastAsia="Calibri" w:hAnsi="Calibri"/>
          <w:b/>
          <w:bCs/>
          <w:color w:val="E0674A"/>
          <w:sz w:val="18"/>
          <w:szCs w:val="18"/>
        </w:rPr>
        <w:t xml:space="preserve">POLICY 4</w:t>
      </w:r>
    </w:p>
    <w:p>
      <w:pPr>
        <w:pStyle w:val="Heading1"/>
        <w:pBdr>
          <w:bottom w:val="single" w:color="1F7A7A" w:sz="8" w:space="4"/>
        </w:pBdr>
        <w:spacing w:after="200" w:before="400"/>
      </w:pPr>
      <w:r>
        <w:rPr>
          <w:rFonts w:ascii="Georgia" w:cs="Georgia" w:eastAsia="Georgia" w:hAnsi="Georgia"/>
          <w:b/>
          <w:bCs/>
          <w:color w:val="1B2A4A"/>
          <w:sz w:val="30"/>
          <w:szCs w:val="30"/>
        </w:rPr>
        <w:t xml:space="preserve">Data Classification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val="clear"/>
          </w:tcPr>
          <w:p>
            <w:r>
              <w:rPr>
                <w:rFonts w:ascii="Calibri" w:cs="Calibri" w:eastAsia="Calibri" w:hAnsi="Calibri"/>
                <w:b/>
                <w:bCs/>
                <w:color w:val="1B2A4A"/>
                <w:sz w:val="20"/>
                <w:szCs w:val="20"/>
              </w:rPr>
              <w:t xml:space="preserve">Policy ID</w:t>
            </w:r>
          </w:p>
        </w:tc>
        <w:tc>
          <w:tcPr>
            <w:tcW w:type="dxa" w:w="6400"/>
          </w:tcPr>
          <w:p>
            <w:r>
              <w:rPr>
                <w:rFonts w:ascii="Calibri" w:cs="Calibri" w:eastAsia="Calibri" w:hAnsi="Calibri"/>
                <w:sz w:val="20"/>
                <w:szCs w:val="20"/>
              </w:rPr>
              <w:t xml:space="preserve">MER-ISP-004</w:t>
            </w:r>
          </w:p>
        </w:tc>
      </w:tr>
      <w:tr>
        <w:tc>
          <w:tcPr>
            <w:tcW w:type="dxa" w:w="2600"/>
            <w:shd w:fill="F2F2F2" w:val="clear"/>
          </w:tcPr>
          <w:p>
            <w:r>
              <w:rPr>
                <w:rFonts w:ascii="Calibri" w:cs="Calibri" w:eastAsia="Calibri" w:hAnsi="Calibri"/>
                <w:b/>
                <w:bCs/>
                <w:color w:val="1B2A4A"/>
                <w:sz w:val="20"/>
                <w:szCs w:val="20"/>
              </w:rPr>
              <w:t xml:space="preserve">Version</w:t>
            </w:r>
          </w:p>
        </w:tc>
        <w:tc>
          <w:tcPr>
            <w:tcW w:type="dxa" w:w="6400"/>
          </w:tcPr>
          <w:p>
            <w:r>
              <w:rPr>
                <w:rFonts w:ascii="Calibri" w:cs="Calibri" w:eastAsia="Calibri" w:hAnsi="Calibri"/>
                <w:sz w:val="20"/>
                <w:szCs w:val="20"/>
              </w:rPr>
              <w:t xml:space="preserve">1.0</w:t>
            </w:r>
          </w:p>
        </w:tc>
      </w:tr>
      <w:tr>
        <w:tc>
          <w:tcPr>
            <w:tcW w:type="dxa" w:w="2600"/>
            <w:shd w:fill="F2F2F2" w:val="clear"/>
          </w:tcPr>
          <w:p>
            <w:r>
              <w:rPr>
                <w:rFonts w:ascii="Calibri" w:cs="Calibri" w:eastAsia="Calibri" w:hAnsi="Calibri"/>
                <w:b/>
                <w:bCs/>
                <w:color w:val="1B2A4A"/>
                <w:sz w:val="20"/>
                <w:szCs w:val="20"/>
              </w:rPr>
              <w:t xml:space="preserve">Effective Date</w:t>
            </w:r>
          </w:p>
        </w:tc>
        <w:tc>
          <w:tcPr>
            <w:tcW w:type="dxa" w:w="6400"/>
          </w:tcPr>
          <w:p>
            <w:r>
              <w:rPr>
                <w:rFonts w:ascii="Calibri" w:cs="Calibri" w:eastAsia="Calibri" w:hAnsi="Calibri"/>
                <w:sz w:val="20"/>
                <w:szCs w:val="20"/>
              </w:rPr>
              <w:t xml:space="preserve">Upon Board Approval</w:t>
            </w:r>
          </w:p>
        </w:tc>
      </w:tr>
      <w:tr>
        <w:tc>
          <w:tcPr>
            <w:tcW w:type="dxa" w:w="2600"/>
            <w:shd w:fill="F2F2F2" w:val="clear"/>
          </w:tcPr>
          <w:p>
            <w:r>
              <w:rPr>
                <w:rFonts w:ascii="Calibri" w:cs="Calibri" w:eastAsia="Calibri" w:hAnsi="Calibri"/>
                <w:b/>
                <w:bCs/>
                <w:color w:val="1B2A4A"/>
                <w:sz w:val="20"/>
                <w:szCs w:val="20"/>
              </w:rPr>
              <w:t xml:space="preserve">Owner</w:t>
            </w:r>
          </w:p>
        </w:tc>
        <w:tc>
          <w:tcPr>
            <w:tcW w:type="dxa" w:w="6400"/>
          </w:tcPr>
          <w:p>
            <w:r>
              <w:rPr>
                <w:rFonts w:ascii="Calibri" w:cs="Calibri" w:eastAsia="Calibri" w:hAnsi="Calibri"/>
                <w:sz w:val="20"/>
                <w:szCs w:val="20"/>
              </w:rPr>
              <w:t xml:space="preserve">Chief Information Security Officer</w:t>
            </w:r>
          </w:p>
        </w:tc>
      </w:tr>
      <w:tr>
        <w:tc>
          <w:tcPr>
            <w:tcW w:type="dxa" w:w="2600"/>
            <w:shd w:fill="F2F2F2" w:val="clear"/>
          </w:tcPr>
          <w:p>
            <w:r>
              <w:rPr>
                <w:rFonts w:ascii="Calibri" w:cs="Calibri" w:eastAsia="Calibri" w:hAnsi="Calibri"/>
                <w:b/>
                <w:bCs/>
                <w:color w:val="1B2A4A"/>
                <w:sz w:val="20"/>
                <w:szCs w:val="20"/>
              </w:rPr>
              <w:t xml:space="preserve">Applies To</w:t>
            </w:r>
          </w:p>
        </w:tc>
        <w:tc>
          <w:tcPr>
            <w:tcW w:type="dxa" w:w="6400"/>
          </w:tcPr>
          <w:p>
            <w:r>
              <w:rPr>
                <w:rFonts w:ascii="Calibri" w:cs="Calibri" w:eastAsia="Calibri" w:hAnsi="Calibri"/>
                <w:sz w:val="20"/>
                <w:szCs w:val="20"/>
              </w:rPr>
              <w:t xml:space="preserve">All data created, processed, stored, or transmitted by or on behalf of Meridian HealthTech Solutions</w:t>
            </w:r>
          </w:p>
        </w:tc>
      </w:tr>
      <w:tr>
        <w:tc>
          <w:tcPr>
            <w:tcW w:type="dxa" w:w="2600"/>
            <w:shd w:fill="F2F2F2" w:val="clear"/>
          </w:tcPr>
          <w:p>
            <w:r>
              <w:rPr>
                <w:rFonts w:ascii="Calibri" w:cs="Calibri" w:eastAsia="Calibri" w:hAnsi="Calibri"/>
                <w:b/>
                <w:bCs/>
                <w:color w:val="1B2A4A"/>
                <w:sz w:val="20"/>
                <w:szCs w:val="20"/>
              </w:rPr>
              <w:t xml:space="preserve">Framework Mapping</w:t>
            </w:r>
          </w:p>
        </w:tc>
        <w:tc>
          <w:tcPr>
            <w:tcW w:type="dxa" w:w="6400"/>
          </w:tcPr>
          <w:p>
            <w:r>
              <w:rPr>
                <w:rFonts w:ascii="Calibri" w:cs="Calibri" w:eastAsia="Calibri" w:hAnsi="Calibri"/>
                <w:sz w:val="20"/>
                <w:szCs w:val="20"/>
              </w:rPr>
              <w:t xml:space="preserve">ISO/IEC 27001:2022 Annex A 5.9–5.13  |  HIPAA §164.308(a)(1), §164.312(a)(2)(iv)/(e)(2)(ii)</w:t>
            </w:r>
          </w:p>
        </w:tc>
      </w:tr>
    </w:tbl>
    <w:p>
      <w:pPr>
        <w:spacing w:after="100"/>
      </w:pPr>
    </w:p>
    <w:p>
      <w:pPr>
        <w:pStyle w:val="Heading2"/>
        <w:spacing w:after="140" w:before="260"/>
      </w:pPr>
      <w:r>
        <w:rPr>
          <w:rFonts w:ascii="Georgia" w:cs="Georgia" w:eastAsia="Georgia" w:hAnsi="Georgia"/>
          <w:b/>
          <w:bCs/>
          <w:color w:val="1F7A7A"/>
          <w:sz w:val="24"/>
          <w:szCs w:val="24"/>
        </w:rPr>
        <w:t xml:space="preserve">1. Purpose</w:t>
      </w:r>
    </w:p>
    <w:p>
      <w:pPr>
        <w:spacing w:after="140"/>
      </w:pPr>
      <w:r>
        <w:rPr>
          <w:rFonts w:ascii="Calibri" w:cs="Calibri" w:eastAsia="Calibri" w:hAnsi="Calibri"/>
          <w:sz w:val="21"/>
          <w:szCs w:val="21"/>
        </w:rPr>
        <w:t xml:space="preserve">This policy establishes a consistent classification scheme for all Meridian data so that handling, storage, transmission, and disposal controls are proportionate to sensitivity, with particular emphasis on Protected Health Information (PHI) and other regulated data.</w:t>
      </w:r>
    </w:p>
    <w:p>
      <w:pPr>
        <w:pStyle w:val="Heading2"/>
        <w:spacing w:after="140" w:before="260"/>
      </w:pPr>
      <w:r>
        <w:rPr>
          <w:rFonts w:ascii="Georgia" w:cs="Georgia" w:eastAsia="Georgia" w:hAnsi="Georgia"/>
          <w:b/>
          <w:bCs/>
          <w:color w:val="1F7A7A"/>
          <w:sz w:val="24"/>
          <w:szCs w:val="24"/>
        </w:rPr>
        <w:t xml:space="preserve">2. Scope</w:t>
      </w:r>
    </w:p>
    <w:p>
      <w:pPr>
        <w:spacing w:after="140"/>
      </w:pPr>
      <w:r>
        <w:rPr>
          <w:rFonts w:ascii="Calibri" w:cs="Calibri" w:eastAsia="Calibri" w:hAnsi="Calibri"/>
          <w:sz w:val="21"/>
          <w:szCs w:val="21"/>
        </w:rPr>
        <w:t xml:space="preserve">This policy applies to all data in any format — electronic, physical, or verbal — held by Meridian or its authorized processors, across all business functions and the production platform.</w:t>
      </w:r>
    </w:p>
    <w:p>
      <w:pPr>
        <w:pStyle w:val="Heading2"/>
        <w:spacing w:after="140" w:before="260"/>
      </w:pPr>
      <w:r>
        <w:rPr>
          <w:rFonts w:ascii="Georgia" w:cs="Georgia" w:eastAsia="Georgia" w:hAnsi="Georgia"/>
          <w:b/>
          <w:bCs/>
          <w:color w:val="1F7A7A"/>
          <w:sz w:val="24"/>
          <w:szCs w:val="24"/>
        </w:rPr>
        <w:t xml:space="preserve">3. Policy Statements</w:t>
      </w:r>
    </w:p>
    <w:p>
      <w:pPr>
        <w:spacing w:after="100" w:before="200"/>
      </w:pPr>
      <w:r>
        <w:rPr>
          <w:rFonts w:ascii="Calibri" w:cs="Calibri" w:eastAsia="Calibri" w:hAnsi="Calibri"/>
          <w:b/>
          <w:bCs/>
          <w:color w:val="1B2A4A"/>
          <w:sz w:val="22"/>
          <w:szCs w:val="22"/>
        </w:rPr>
        <w:t xml:space="preserve">3.1 Classification Levels</w:t>
      </w:r>
    </w:p>
    <w:p>
      <w:pPr>
        <w:pStyle w:val="ListParagraph"/>
        <w:numPr>
          <w:ilvl w:val="0"/>
          <w:numId w:val="2"/>
        </w:numPr>
        <w:spacing w:after="60"/>
      </w:pPr>
      <w:r>
        <w:rPr>
          <w:rFonts w:ascii="Calibri" w:cs="Calibri" w:eastAsia="Calibri" w:hAnsi="Calibri"/>
          <w:sz w:val="21"/>
          <w:szCs w:val="21"/>
        </w:rPr>
        <w:t xml:space="preserve">RESTRICTED — Protected Health Information (PHI), authentication secrets (passwords, private keys), and payment card data. Highest sensitivity; unauthorized disclosure creates legal, regulatory, and patient-safety impact.</w:t>
      </w:r>
    </w:p>
    <w:p>
      <w:pPr>
        <w:pStyle w:val="ListParagraph"/>
        <w:numPr>
          <w:ilvl w:val="0"/>
          <w:numId w:val="2"/>
        </w:numPr>
        <w:spacing w:after="60"/>
      </w:pPr>
      <w:r>
        <w:rPr>
          <w:rFonts w:ascii="Calibri" w:cs="Calibri" w:eastAsia="Calibri" w:hAnsi="Calibri"/>
          <w:sz w:val="21"/>
          <w:szCs w:val="21"/>
        </w:rPr>
        <w:t xml:space="preserve">CONFIDENTIAL — Business-sensitive data not classified as Restricted: customer contracts, employee PII, financial forecasts, source code, security assessment reports (including this document's supporting gap analysis and risk register).</w:t>
      </w:r>
    </w:p>
    <w:p>
      <w:pPr>
        <w:pStyle w:val="ListParagraph"/>
        <w:numPr>
          <w:ilvl w:val="0"/>
          <w:numId w:val="2"/>
        </w:numPr>
        <w:spacing w:after="60"/>
      </w:pPr>
      <w:r>
        <w:rPr>
          <w:rFonts w:ascii="Calibri" w:cs="Calibri" w:eastAsia="Calibri" w:hAnsi="Calibri"/>
          <w:sz w:val="21"/>
          <w:szCs w:val="21"/>
        </w:rPr>
        <w:t xml:space="preserve">INTERNAL — Data intended for use within Meridian but not damaging if disclosed to a business partner under NDA: internal policies, process documentation, org charts.</w:t>
      </w:r>
    </w:p>
    <w:p>
      <w:pPr>
        <w:pStyle w:val="ListParagraph"/>
        <w:numPr>
          <w:ilvl w:val="0"/>
          <w:numId w:val="2"/>
        </w:numPr>
        <w:spacing w:after="60"/>
      </w:pPr>
      <w:r>
        <w:rPr>
          <w:rFonts w:ascii="Calibri" w:cs="Calibri" w:eastAsia="Calibri" w:hAnsi="Calibri"/>
          <w:sz w:val="21"/>
          <w:szCs w:val="21"/>
        </w:rPr>
        <w:t xml:space="preserve">PUBLIC — Data explicitly approved for public release: marketing materials, published job postings, press releases.</w:t>
      </w:r>
    </w:p>
    <w:p>
      <w:pPr>
        <w:spacing w:after="100" w:before="200"/>
      </w:pPr>
      <w:r>
        <w:rPr>
          <w:rFonts w:ascii="Calibri" w:cs="Calibri" w:eastAsia="Calibri" w:hAnsi="Calibri"/>
          <w:b/>
          <w:bCs/>
          <w:color w:val="1B2A4A"/>
          <w:sz w:val="22"/>
          <w:szCs w:val="22"/>
        </w:rPr>
        <w:t xml:space="preserve">3.2 Handling Requirements by Classification</w:t>
      </w:r>
    </w:p>
    <w:p>
      <w:pPr>
        <w:pStyle w:val="ListParagraph"/>
        <w:numPr>
          <w:ilvl w:val="0"/>
          <w:numId w:val="2"/>
        </w:numPr>
        <w:spacing w:after="60"/>
      </w:pPr>
      <w:r>
        <w:rPr>
          <w:rFonts w:ascii="Calibri" w:cs="Calibri" w:eastAsia="Calibri" w:hAnsi="Calibri"/>
          <w:sz w:val="21"/>
          <w:szCs w:val="21"/>
        </w:rPr>
        <w:t xml:space="preserve">RESTRICTED: encryption at rest (AES-256) and in transit (TLS 1.2+) mandatory; access logged and reviewed quarterly; must not leave approved production or approved analytics environments; retained only per the data retention schedule and securely destroyed (crypto-shred or NIST 800-88 wipe) thereafter.</w:t>
      </w:r>
    </w:p>
    <w:p>
      <w:pPr>
        <w:pStyle w:val="ListParagraph"/>
        <w:numPr>
          <w:ilvl w:val="0"/>
          <w:numId w:val="2"/>
        </w:numPr>
        <w:spacing w:after="60"/>
      </w:pPr>
      <w:r>
        <w:rPr>
          <w:rFonts w:ascii="Calibri" w:cs="Calibri" w:eastAsia="Calibri" w:hAnsi="Calibri"/>
          <w:sz w:val="21"/>
          <w:szCs w:val="21"/>
        </w:rPr>
        <w:t xml:space="preserve">CONFIDENTIAL: encryption at rest and in transit required; shared externally only under an executed NDA/BAA; access limited to named roles.</w:t>
      </w:r>
    </w:p>
    <w:p>
      <w:pPr>
        <w:pStyle w:val="ListParagraph"/>
        <w:numPr>
          <w:ilvl w:val="0"/>
          <w:numId w:val="2"/>
        </w:numPr>
        <w:spacing w:after="60"/>
      </w:pPr>
      <w:r>
        <w:rPr>
          <w:rFonts w:ascii="Calibri" w:cs="Calibri" w:eastAsia="Calibri" w:hAnsi="Calibri"/>
          <w:sz w:val="21"/>
          <w:szCs w:val="21"/>
        </w:rPr>
        <w:t xml:space="preserve">INTERNAL: access limited to workforce members and approved contractors; may be shared with partners only under agreement.</w:t>
      </w:r>
    </w:p>
    <w:p>
      <w:pPr>
        <w:pStyle w:val="ListParagraph"/>
        <w:numPr>
          <w:ilvl w:val="0"/>
          <w:numId w:val="2"/>
        </w:numPr>
        <w:spacing w:after="60"/>
      </w:pPr>
      <w:r>
        <w:rPr>
          <w:rFonts w:ascii="Calibri" w:cs="Calibri" w:eastAsia="Calibri" w:hAnsi="Calibri"/>
          <w:sz w:val="21"/>
          <w:szCs w:val="21"/>
        </w:rPr>
        <w:t xml:space="preserve">PUBLIC: no handling restriction beyond standard change/review approval prior to release.</w:t>
      </w:r>
    </w:p>
    <w:p>
      <w:pPr>
        <w:spacing w:after="100" w:before="200"/>
      </w:pPr>
      <w:r>
        <w:rPr>
          <w:rFonts w:ascii="Calibri" w:cs="Calibri" w:eastAsia="Calibri" w:hAnsi="Calibri"/>
          <w:b/>
          <w:bCs/>
          <w:color w:val="1B2A4A"/>
          <w:sz w:val="22"/>
          <w:szCs w:val="22"/>
        </w:rPr>
        <w:t xml:space="preserve">3.3 Labeling &amp; Discovery</w:t>
      </w:r>
    </w:p>
    <w:p>
      <w:pPr>
        <w:pStyle w:val="ListParagraph"/>
        <w:numPr>
          <w:ilvl w:val="0"/>
          <w:numId w:val="2"/>
        </w:numPr>
        <w:spacing w:after="60"/>
      </w:pPr>
      <w:r>
        <w:rPr>
          <w:rFonts w:ascii="Calibri" w:cs="Calibri" w:eastAsia="Calibri" w:hAnsi="Calibri"/>
          <w:sz w:val="21"/>
          <w:szCs w:val="21"/>
        </w:rPr>
        <w:t xml:space="preserve">RESTRICTED and CONFIDENTIAL documents must be labeled in the document header/footer or system metadata.</w:t>
      </w:r>
    </w:p>
    <w:p>
      <w:pPr>
        <w:pStyle w:val="ListParagraph"/>
        <w:numPr>
          <w:ilvl w:val="0"/>
          <w:numId w:val="2"/>
        </w:numPr>
        <w:spacing w:after="60"/>
      </w:pPr>
      <w:r>
        <w:rPr>
          <w:rFonts w:ascii="Calibri" w:cs="Calibri" w:eastAsia="Calibri" w:hAnsi="Calibri"/>
          <w:sz w:val="21"/>
          <w:szCs w:val="21"/>
        </w:rPr>
        <w:t xml:space="preserve">Automated data-loss-prevention (DLP) and cloud data-discovery tooling scans production and collaboration platforms for unlabeled or misplaced RESTRICTED data (e.g., PHI in a ticketing system) on a continuous basis.</w:t>
      </w:r>
    </w:p>
    <w:p>
      <w:pPr>
        <w:spacing w:after="100" w:before="200"/>
      </w:pPr>
      <w:r>
        <w:rPr>
          <w:rFonts w:ascii="Calibri" w:cs="Calibri" w:eastAsia="Calibri" w:hAnsi="Calibri"/>
          <w:b/>
          <w:bCs/>
          <w:color w:val="1B2A4A"/>
          <w:sz w:val="22"/>
          <w:szCs w:val="22"/>
        </w:rPr>
        <w:t xml:space="preserve">3.4 Third-Party Data Sharing</w:t>
      </w:r>
    </w:p>
    <w:p>
      <w:pPr>
        <w:pStyle w:val="ListParagraph"/>
        <w:numPr>
          <w:ilvl w:val="0"/>
          <w:numId w:val="2"/>
        </w:numPr>
        <w:spacing w:after="60"/>
      </w:pPr>
      <w:r>
        <w:rPr>
          <w:rFonts w:ascii="Calibri" w:cs="Calibri" w:eastAsia="Calibri" w:hAnsi="Calibri"/>
          <w:sz w:val="21"/>
          <w:szCs w:val="21"/>
        </w:rPr>
        <w:t xml:space="preserve">RESTRICTED data may only be shared with a third party that has an executed Business Associate Agreement (BAA) and has passed the Third-Party Vendor Risk Assessment (see accompanying program documentation).</w:t>
      </w:r>
    </w:p>
    <w:p>
      <w:pPr>
        <w:pStyle w:val="ListParagraph"/>
        <w:numPr>
          <w:ilvl w:val="0"/>
          <w:numId w:val="2"/>
        </w:numPr>
        <w:spacing w:after="60"/>
      </w:pPr>
      <w:r>
        <w:rPr>
          <w:rFonts w:ascii="Calibri" w:cs="Calibri" w:eastAsia="Calibri" w:hAnsi="Calibri"/>
          <w:sz w:val="21"/>
          <w:szCs w:val="21"/>
        </w:rPr>
        <w:t xml:space="preserve">Sub-processor use of RESTRICTED data must be disclosed to affected customers per contractual obligations.</w:t>
      </w:r>
    </w:p>
    <w:p>
      <w:pPr>
        <w:pStyle w:val="Heading2"/>
        <w:spacing w:after="140" w:before="260"/>
      </w:pPr>
      <w:r>
        <w:rPr>
          <w:rFonts w:ascii="Georgia" w:cs="Georgia" w:eastAsia="Georgia" w:hAnsi="Georgia"/>
          <w:b/>
          <w:bCs/>
          <w:color w:val="1F7A7A"/>
          <w:sz w:val="24"/>
          <w:szCs w:val="24"/>
        </w:rPr>
        <w:t xml:space="preserve">4. Roles &amp; Responsibilities</w:t>
      </w:r>
    </w:p>
    <w:p>
      <w:pPr>
        <w:pStyle w:val="ListParagraph"/>
        <w:numPr>
          <w:ilvl w:val="0"/>
          <w:numId w:val="2"/>
        </w:numPr>
        <w:spacing w:after="60"/>
      </w:pPr>
      <w:r>
        <w:rPr>
          <w:rFonts w:ascii="Calibri" w:cs="Calibri" w:eastAsia="Calibri" w:hAnsi="Calibri"/>
          <w:sz w:val="21"/>
          <w:szCs w:val="21"/>
        </w:rPr>
        <w:t xml:space="preserve">Data Owners (function leads) — Classify data within their domain at creation and reclassify upon material change in sensitivity or use.</w:t>
      </w:r>
    </w:p>
    <w:p>
      <w:pPr>
        <w:pStyle w:val="ListParagraph"/>
        <w:numPr>
          <w:ilvl w:val="0"/>
          <w:numId w:val="2"/>
        </w:numPr>
        <w:spacing w:after="60"/>
      </w:pPr>
      <w:r>
        <w:rPr>
          <w:rFonts w:ascii="Calibri" w:cs="Calibri" w:eastAsia="Calibri" w:hAnsi="Calibri"/>
          <w:sz w:val="21"/>
          <w:szCs w:val="21"/>
        </w:rPr>
        <w:t xml:space="preserve">All Workforce Members — Handle data according to its classification; when in doubt, treat data as CONFIDENTIAL until classified.</w:t>
      </w:r>
    </w:p>
    <w:p>
      <w:pPr>
        <w:pStyle w:val="ListParagraph"/>
        <w:numPr>
          <w:ilvl w:val="0"/>
          <w:numId w:val="2"/>
        </w:numPr>
        <w:spacing w:after="60"/>
      </w:pPr>
      <w:r>
        <w:rPr>
          <w:rFonts w:ascii="Calibri" w:cs="Calibri" w:eastAsia="Calibri" w:hAnsi="Calibri"/>
          <w:sz w:val="21"/>
          <w:szCs w:val="21"/>
        </w:rPr>
        <w:t xml:space="preserve">Information Security — Maintain DLP/discovery tooling, publish the data retention and destruction schedule, and audit classification compliance.</w:t>
      </w:r>
    </w:p>
    <w:p>
      <w:pPr>
        <w:pStyle w:val="ListParagraph"/>
        <w:numPr>
          <w:ilvl w:val="0"/>
          <w:numId w:val="2"/>
        </w:numPr>
        <w:spacing w:after="60"/>
      </w:pPr>
      <w:r>
        <w:rPr>
          <w:rFonts w:ascii="Calibri" w:cs="Calibri" w:eastAsia="Calibri" w:hAnsi="Calibri"/>
          <w:sz w:val="21"/>
          <w:szCs w:val="21"/>
        </w:rPr>
        <w:t xml:space="preserve">Engineering — Implement encryption, access logging, and retention/destruction controls in production systems consistent with each classification tier.</w:t>
      </w:r>
    </w:p>
    <w:p>
      <w:pPr>
        <w:pStyle w:val="Heading2"/>
        <w:spacing w:after="140" w:before="260"/>
      </w:pPr>
      <w:r>
        <w:rPr>
          <w:rFonts w:ascii="Georgia" w:cs="Georgia" w:eastAsia="Georgia" w:hAnsi="Georgia"/>
          <w:b/>
          <w:bCs/>
          <w:color w:val="1F7A7A"/>
          <w:sz w:val="24"/>
          <w:szCs w:val="24"/>
        </w:rPr>
        <w:t xml:space="preserve">5. Compliance &amp; Enforcement</w:t>
      </w:r>
    </w:p>
    <w:p>
      <w:pPr>
        <w:spacing w:after="140"/>
      </w:pPr>
      <w:r>
        <w:rPr>
          <w:rFonts w:ascii="Calibri" w:cs="Calibri" w:eastAsia="Calibri" w:hAnsi="Calibri"/>
          <w:sz w:val="21"/>
          <w:szCs w:val="21"/>
        </w:rPr>
        <w:t xml:space="preserve">Mishandling of RESTRICTED data (e.g., transmitting PHI over an unapproved channel) is treated as a security incident under the Incident Response Policy (MER-ISP-002) and may result in disciplinary action.</w:t>
      </w:r>
    </w:p>
    <w:p>
      <w:pPr>
        <w:spacing w:after="140"/>
      </w:pPr>
      <w:r>
        <w:rPr>
          <w:rFonts w:ascii="Calibri" w:cs="Calibri" w:eastAsia="Calibri" w:hAnsi="Calibri"/>
          <w:sz w:val="21"/>
          <w:szCs w:val="21"/>
        </w:rPr>
        <w:t xml:space="preserve">Classification compliance is sampled quarterly by Information Security and reported to the Risk &amp; Audit Committee.</w:t>
      </w:r>
    </w:p>
    <w:p>
      <w:pPr>
        <w:pStyle w:val="Heading2"/>
        <w:spacing w:after="140" w:before="260"/>
      </w:pPr>
      <w:r>
        <w:rPr>
          <w:rFonts w:ascii="Georgia" w:cs="Georgia" w:eastAsia="Georgia" w:hAnsi="Georgia"/>
          <w:b/>
          <w:bCs/>
          <w:color w:val="1F7A7A"/>
          <w:sz w:val="24"/>
          <w:szCs w:val="24"/>
        </w:rPr>
        <w:t xml:space="preserve">6. Review Cycle</w:t>
      </w:r>
    </w:p>
    <w:p>
      <w:pPr>
        <w:spacing w:after="140"/>
      </w:pPr>
      <w:r>
        <w:rPr>
          <w:rFonts w:ascii="Calibri" w:cs="Calibri" w:eastAsia="Calibri" w:hAnsi="Calibri"/>
          <w:sz w:val="21"/>
          <w:szCs w:val="21"/>
        </w:rPr>
        <w:t xml:space="preserve">This policy is reviewed at least annually and whenever new data types or regulatory obligations are introduced. Next scheduled review: 12 months from effective date.</w:t>
      </w:r>
    </w:p>
    <w:p>
      <w:r>
        <w:br w:type="page"/>
      </w:r>
    </w:p>
    <w:p>
      <w:pPr>
        <w:pStyle w:val="Heading1"/>
        <w:pBdr>
          <w:bottom w:val="single" w:color="1F7A7A" w:sz="8" w:space="4"/>
        </w:pBdr>
        <w:spacing w:after="200" w:before="400"/>
      </w:pPr>
      <w:r>
        <w:rPr>
          <w:rFonts w:ascii="Georgia" w:cs="Georgia" w:eastAsia="Georgia" w:hAnsi="Georgia"/>
          <w:b/>
          <w:bCs/>
          <w:color w:val="1B2A4A"/>
          <w:sz w:val="30"/>
          <w:szCs w:val="30"/>
        </w:rPr>
        <w:t xml:space="preserve">Board Approval</w:t>
      </w:r>
    </w:p>
    <w:p>
      <w:pPr>
        <w:spacing w:after="140"/>
      </w:pPr>
      <w:r>
        <w:rPr>
          <w:rFonts w:ascii="Calibri" w:cs="Calibri" w:eastAsia="Calibri" w:hAnsi="Calibri"/>
          <w:sz w:val="21"/>
          <w:szCs w:val="21"/>
        </w:rPr>
        <w:t xml:space="preserve">By signing below, the Board of Directors approves the Information Security Policy Suite, Version 1.0, comprising the Acceptable Use Policy (MER-ISP-001), Incident Response Policy (MER-ISP-002), Access Control Policy (MER-ISP-003), and Data Classification Policy (MER-ISP-004), effective as of the date of signature.</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2A4A" w:val="clear"/>
          </w:tcPr>
          <w:p>
            <w:r>
              <w:rPr>
                <w:rFonts w:ascii="Calibri" w:cs="Calibri" w:eastAsia="Calibri" w:hAnsi="Calibri"/>
                <w:b/>
                <w:bCs/>
                <w:color w:val="FFFFFF"/>
                <w:sz w:val="20"/>
                <w:szCs w:val="20"/>
              </w:rPr>
              <w:t xml:space="preserve">Role</w:t>
            </w:r>
          </w:p>
        </w:tc>
        <w:tc>
          <w:tcPr>
            <w:tcW w:type="dxa" w:w="3000"/>
            <w:shd w:fill="1B2A4A" w:val="clear"/>
          </w:tcPr>
          <w:p>
            <w:r>
              <w:rPr>
                <w:rFonts w:ascii="Calibri" w:cs="Calibri" w:eastAsia="Calibri" w:hAnsi="Calibri"/>
                <w:b/>
                <w:bCs/>
                <w:color w:val="FFFFFF"/>
                <w:sz w:val="20"/>
                <w:szCs w:val="20"/>
              </w:rPr>
              <w:t xml:space="preserve">Name / Signature</w:t>
            </w:r>
          </w:p>
        </w:tc>
        <w:tc>
          <w:tcPr>
            <w:tcW w:type="dxa" w:w="3000"/>
            <w:shd w:fill="1B2A4A" w:val="clear"/>
          </w:tcPr>
          <w:p>
            <w:r>
              <w:rPr>
                <w:rFonts w:ascii="Calibri" w:cs="Calibri" w:eastAsia="Calibri" w:hAnsi="Calibri"/>
                <w:b/>
                <w:bCs/>
                <w:color w:val="FFFFFF"/>
                <w:sz w:val="20"/>
                <w:szCs w:val="20"/>
              </w:rPr>
              <w:t xml:space="preserve">Date</w:t>
            </w:r>
          </w:p>
        </w:tc>
      </w:tr>
      <w:tr>
        <w:tc>
          <w:tcPr>
            <w:tcW w:type="dxa" w:w="3000"/>
          </w:tcPr>
          <w:p>
            <w:pPr>
              <w:spacing w:after="140"/>
            </w:pPr>
            <w:r>
              <w:rPr>
                <w:rFonts w:ascii="Calibri" w:cs="Calibri" w:eastAsia="Calibri" w:hAnsi="Calibri"/>
                <w:sz w:val="21"/>
                <w:szCs w:val="21"/>
              </w:rPr>
              <w:t xml:space="preserve">Chief Executive Officer</w:t>
            </w:r>
          </w:p>
        </w:tc>
        <w:tc>
          <w:tcPr>
            <w:tcW w:type="dxa" w:w="3000"/>
          </w:tcPr>
          <w:p>
            <w:r>
              <w:rPr>
                <w:sz w:val="20"/>
                <w:szCs w:val="20"/>
              </w:rPr>
              <w:t xml:space="preserve"> </w:t>
            </w:r>
          </w:p>
          <w:p>
            <w:r>
              <w:rPr>
                <w:sz w:val="20"/>
                <w:szCs w:val="20"/>
              </w:rPr>
              <w:t xml:space="preserve"> </w:t>
            </w:r>
          </w:p>
        </w:tc>
        <w:tc>
          <w:tcPr>
            <w:tcW w:type="dxa" w:w="3000"/>
          </w:tcPr>
          <w:p>
            <w:r>
              <w:rPr>
                <w:sz w:val="20"/>
                <w:szCs w:val="20"/>
              </w:rPr>
              <w:t xml:space="preserve"> </w:t>
            </w:r>
          </w:p>
          <w:p>
            <w:r>
              <w:rPr>
                <w:sz w:val="20"/>
                <w:szCs w:val="20"/>
              </w:rPr>
              <w:t xml:space="preserve"> </w:t>
            </w:r>
          </w:p>
        </w:tc>
      </w:tr>
      <w:tr>
        <w:tc>
          <w:tcPr>
            <w:tcW w:type="dxa" w:w="3000"/>
          </w:tcPr>
          <w:p>
            <w:pPr>
              <w:spacing w:after="140"/>
            </w:pPr>
            <w:r>
              <w:rPr>
                <w:rFonts w:ascii="Calibri" w:cs="Calibri" w:eastAsia="Calibri" w:hAnsi="Calibri"/>
                <w:sz w:val="21"/>
                <w:szCs w:val="21"/>
              </w:rPr>
              <w:t xml:space="preserve">Chief Information Security Officer</w:t>
            </w:r>
          </w:p>
        </w:tc>
        <w:tc>
          <w:tcPr>
            <w:tcW w:type="dxa" w:w="3000"/>
          </w:tcPr>
          <w:p>
            <w:r>
              <w:rPr>
                <w:sz w:val="20"/>
                <w:szCs w:val="20"/>
              </w:rPr>
              <w:t xml:space="preserve"> </w:t>
            </w:r>
          </w:p>
          <w:p>
            <w:r>
              <w:rPr>
                <w:sz w:val="20"/>
                <w:szCs w:val="20"/>
              </w:rPr>
              <w:t xml:space="preserve"> </w:t>
            </w:r>
          </w:p>
        </w:tc>
        <w:tc>
          <w:tcPr>
            <w:tcW w:type="dxa" w:w="3000"/>
          </w:tcPr>
          <w:p>
            <w:r>
              <w:rPr>
                <w:sz w:val="20"/>
                <w:szCs w:val="20"/>
              </w:rPr>
              <w:t xml:space="preserve"> </w:t>
            </w:r>
          </w:p>
          <w:p>
            <w:r>
              <w:rPr>
                <w:sz w:val="20"/>
                <w:szCs w:val="20"/>
              </w:rPr>
              <w:t xml:space="preserve"> </w:t>
            </w:r>
          </w:p>
        </w:tc>
      </w:tr>
      <w:tr>
        <w:tc>
          <w:tcPr>
            <w:tcW w:type="dxa" w:w="3000"/>
          </w:tcPr>
          <w:p>
            <w:pPr>
              <w:spacing w:after="140"/>
            </w:pPr>
            <w:r>
              <w:rPr>
                <w:rFonts w:ascii="Calibri" w:cs="Calibri" w:eastAsia="Calibri" w:hAnsi="Calibri"/>
                <w:sz w:val="21"/>
                <w:szCs w:val="21"/>
              </w:rPr>
              <w:t xml:space="preserve">Board Risk &amp; Audit Committee Chair</w:t>
            </w:r>
          </w:p>
        </w:tc>
        <w:tc>
          <w:tcPr>
            <w:tcW w:type="dxa" w:w="3000"/>
          </w:tcPr>
          <w:p>
            <w:r>
              <w:rPr>
                <w:sz w:val="20"/>
                <w:szCs w:val="20"/>
              </w:rPr>
              <w:t xml:space="preserve"> </w:t>
            </w:r>
          </w:p>
          <w:p>
            <w:r>
              <w:rPr>
                <w:sz w:val="20"/>
                <w:szCs w:val="20"/>
              </w:rPr>
              <w:t xml:space="preserve"> </w:t>
            </w:r>
          </w:p>
        </w:tc>
        <w:tc>
          <w:tcPr>
            <w:tcW w:type="dxa" w:w="3000"/>
          </w:tcPr>
          <w:p>
            <w:r>
              <w:rPr>
                <w:sz w:val="20"/>
                <w:szCs w:val="20"/>
              </w:rPr>
              <w:t xml:space="preserve"> </w:t>
            </w:r>
          </w:p>
          <w:p>
            <w:r>
              <w:rPr>
                <w:sz w:val="20"/>
                <w:szCs w:val="20"/>
              </w:rPr>
              <w:t xml:space="preserve">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Internal &amp; Board Use Only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7A" w:sz="4" w:space="2"/>
      </w:pBdr>
      <w:jc w:val="right"/>
    </w:pPr>
    <w:r>
      <w:rPr>
        <w:rFonts w:ascii="Calibri" w:cs="Calibri" w:eastAsia="Calibri" w:hAnsi="Calibri"/>
        <w:i/>
        <w:iCs/>
        <w:color w:val="1B2A4A"/>
        <w:sz w:val="16"/>
        <w:szCs w:val="16"/>
      </w:rPr>
      <w:t xml:space="preserve">Meridian HealthTech Solutions — Information Security Policy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2026-09-10T08:35:15.121Z</dcterms:created>
  <dcterms:modified xsi:type="dcterms:W3CDTF">2026-09-10T08:35:15.131Z</dcterms:modified>
</cp:coreProperties>
</file>

<file path=docProps/custom.xml><?xml version="1.0" encoding="utf-8"?>
<Properties xmlns="http://schemas.openxmlformats.org/officeDocument/2006/custom-properties" xmlns:vt="http://schemas.openxmlformats.org/officeDocument/2006/docPropsVTypes"/>
</file>