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Georgia" w:cs="Georgia" w:eastAsia="Georgia" w:hAnsi="Georgia"/>
          <w:b/>
          <w:bCs/>
          <w:color w:val="1B2A4A"/>
          <w:sz w:val="64"/>
          <w:szCs w:val="64"/>
        </w:rPr>
        <w:t xml:space="preserve">DPDPA 2023</w:t>
      </w:r>
    </w:p>
    <w:p>
      <w:pPr>
        <w:spacing w:after="100" w:before="200"/>
        <w:jc w:val="center"/>
      </w:pPr>
      <w:r>
        <w:rPr>
          <w:rFonts w:ascii="Georgia" w:cs="Georgia" w:eastAsia="Georgia" w:hAnsi="Georgia"/>
          <w:i/>
          <w:iCs/>
          <w:color w:val="0F7C82"/>
          <w:sz w:val="32"/>
          <w:szCs w:val="32"/>
        </w:rPr>
        <w:t xml:space="preserve">Digital Personal Data Protection Act — Study Notes</w:t>
      </w:r>
    </w:p>
    <w:p>
      <w:pPr>
        <w:pBdr>
          <w:top w:val="single" w:color="C79A3C" w:sz="8" w:space="8"/>
        </w:pBdr>
        <w:spacing w:after="100" w:before="100"/>
        <w:jc w:val="center"/>
      </w:pPr>
    </w:p>
    <w:p>
      <w:pPr>
        <w:spacing w:before="400"/>
        <w:jc w:val="center"/>
      </w:pPr>
      <w:r>
        <w:rPr>
          <w:rFonts w:ascii="Calibri" w:cs="Calibri" w:eastAsia="Calibri" w:hAnsi="Calibri"/>
          <w:b/>
          <w:bCs/>
          <w:color w:val="1B2A4A"/>
          <w:sz w:val="24"/>
          <w:szCs w:val="24"/>
        </w:rPr>
        <w:t xml:space="preserve">Prepared by Meer Saifulla</w:t>
      </w:r>
    </w:p>
    <w:p>
      <w:pPr>
        <w:spacing w:before="40"/>
        <w:jc w:val="center"/>
      </w:pPr>
      <w:r>
        <w:rPr>
          <w:rFonts w:ascii="Calibri" w:cs="Calibri" w:eastAsia="Calibri" w:hAnsi="Calibri"/>
          <w:color w:val="666666"/>
          <w:sz w:val="20"/>
          <w:szCs w:val="20"/>
        </w:rPr>
        <w:t xml:space="preserve">Senior Cybersecurity Consultant &amp; Solution Architect | Ausan Tech Solutions</w:t>
      </w:r>
    </w:p>
    <w:p>
      <w:pPr>
        <w:spacing w:before="300"/>
        <w:jc w:val="center"/>
      </w:pPr>
      <w:r>
        <w:rPr>
          <w:rFonts w:ascii="Calibri" w:cs="Calibri" w:eastAsia="Calibri" w:hAnsi="Calibri"/>
          <w:i/>
          <w:iCs/>
          <w:color w:val="E1604B"/>
          <w:sz w:val="18"/>
          <w:szCs w:val="18"/>
        </w:rPr>
        <w:t xml:space="preserve">GRC Study Guide Series</w:t>
      </w:r>
    </w:p>
    <w:p>
      <w:r>
        <w:br w:type="page"/>
      </w:r>
    </w:p>
    <w:p>
      <w:pPr>
        <w:pStyle w:val="Heading1"/>
        <w:pBdr>
          <w:bottom w:val="single" w:color="1B2A4A" w:sz="12" w:space="4"/>
        </w:pBdr>
        <w:spacing w:after="200" w:before="400"/>
      </w:pPr>
      <w:r>
        <w:rPr>
          <w:rFonts w:ascii="Georgia" w:cs="Georgia" w:eastAsia="Georgia" w:hAnsi="Georgia"/>
          <w:b/>
          <w:bCs/>
          <w:color w:val="1B2A4A"/>
          <w:sz w:val="32"/>
          <w:szCs w:val="32"/>
        </w:rPr>
        <w:t xml:space="preserve">📑 Table of Contents</w:t>
      </w:r>
    </w:p>
    <w:tbl>
      <w:tblPr>
        <w:tblW w:type="pct" w:w="100%"/>
        <w:tblBorders>
          <w:top w:val="none" w:color="FFFFFF" w:sz="0"/>
          <w:left w:val="none" w:color="FFFFFF" w:sz="0"/>
          <w:bottom w:val="single" w:color="D9E2EC" w:sz="4"/>
          <w:right w:val="none" w:color="FFFFFF" w:sz="0"/>
          <w:insideH w:val="single" w:color="auto" w:sz="4"/>
          <w:insideV w:val="single" w:color="auto" w:sz="4"/>
        </w:tblBorders>
      </w:tblPr>
      <w:tblGrid>
        <w:gridCol w:w="100"/>
      </w:tblGrid>
      <w:tr>
        <w:tc>
          <w:tcPr>
            <w:shd w:fill="EAF2FA" w:val="clear"/>
            <w:tcMar>
              <w:top w:type="dxa" w:w="140"/>
              <w:left w:type="dxa" w:w="200"/>
              <w:bottom w:type="dxa" w:w="140"/>
              <w:right w:type="dxa" w:w="200"/>
            </w:tcMar>
          </w:tcPr>
          <w:p>
            <w:r>
              <w:rPr>
                <w:rFonts w:ascii="Calibri" w:cs="Calibri" w:eastAsia="Calibri" w:hAnsi="Calibri"/>
                <w:b/>
                <w:bCs/>
                <w:color w:val="1B2A4A"/>
                <w:sz w:val="22"/>
                <w:szCs w:val="22"/>
              </w:rPr>
              <w:t xml:space="preserve">1. Introduction to DPDPA 2023</w:t>
            </w:r>
          </w:p>
        </w:tc>
      </w:tr>
    </w:tbl>
    <w:p>
      <w:pPr>
        <w:spacing w:after="60"/>
      </w:pPr>
    </w:p>
    <w:tbl>
      <w:tblPr>
        <w:tblW w:type="pct" w:w="100%"/>
        <w:tblBorders>
          <w:top w:val="none" w:color="FFFFFF" w:sz="0"/>
          <w:left w:val="none" w:color="FFFFFF" w:sz="0"/>
          <w:bottom w:val="single" w:color="D9E2EC" w:sz="4"/>
          <w:right w:val="none" w:color="FFFFFF" w:sz="0"/>
          <w:insideH w:val="single" w:color="auto" w:sz="4"/>
          <w:insideV w:val="single" w:color="auto" w:sz="4"/>
        </w:tblBorders>
      </w:tblPr>
      <w:tblGrid>
        <w:gridCol w:w="100"/>
      </w:tblGrid>
      <w:tr>
        <w:tc>
          <w:tcPr>
            <w:shd w:fill="EAF2FA" w:val="clear"/>
            <w:tcMar>
              <w:top w:type="dxa" w:w="140"/>
              <w:left w:type="dxa" w:w="200"/>
              <w:bottom w:type="dxa" w:w="140"/>
              <w:right w:type="dxa" w:w="200"/>
            </w:tcMar>
          </w:tcPr>
          <w:p>
            <w:r>
              <w:rPr>
                <w:rFonts w:ascii="Calibri" w:cs="Calibri" w:eastAsia="Calibri" w:hAnsi="Calibri"/>
                <w:b/>
                <w:bCs/>
                <w:color w:val="1B2A4A"/>
                <w:sz w:val="22"/>
                <w:szCs w:val="22"/>
              </w:rPr>
              <w:t xml:space="preserve">2. Legislative Background &amp; Philosophy</w:t>
            </w:r>
          </w:p>
        </w:tc>
      </w:tr>
    </w:tbl>
    <w:p>
      <w:pPr>
        <w:spacing w:after="60"/>
      </w:pPr>
    </w:p>
    <w:tbl>
      <w:tblPr>
        <w:tblW w:type="pct" w:w="100%"/>
        <w:tblBorders>
          <w:top w:val="none" w:color="FFFFFF" w:sz="0"/>
          <w:left w:val="none" w:color="FFFFFF" w:sz="0"/>
          <w:bottom w:val="single" w:color="D9E2EC" w:sz="4"/>
          <w:right w:val="none" w:color="FFFFFF" w:sz="0"/>
          <w:insideH w:val="single" w:color="auto" w:sz="4"/>
          <w:insideV w:val="single" w:color="auto" w:sz="4"/>
        </w:tblBorders>
      </w:tblPr>
      <w:tblGrid>
        <w:gridCol w:w="100"/>
      </w:tblGrid>
      <w:tr>
        <w:tc>
          <w:tcPr>
            <w:shd w:fill="EAF2FA" w:val="clear"/>
            <w:tcMar>
              <w:top w:type="dxa" w:w="140"/>
              <w:left w:type="dxa" w:w="200"/>
              <w:bottom w:type="dxa" w:w="140"/>
              <w:right w:type="dxa" w:w="200"/>
            </w:tcMar>
          </w:tcPr>
          <w:p>
            <w:r>
              <w:rPr>
                <w:rFonts w:ascii="Calibri" w:cs="Calibri" w:eastAsia="Calibri" w:hAnsi="Calibri"/>
                <w:b/>
                <w:bCs/>
                <w:color w:val="1B2A4A"/>
                <w:sz w:val="22"/>
                <w:szCs w:val="22"/>
              </w:rPr>
              <w:t xml:space="preserve">3. Key Definitions &amp; Terminology</w:t>
            </w:r>
          </w:p>
        </w:tc>
      </w:tr>
    </w:tbl>
    <w:p>
      <w:pPr>
        <w:spacing w:after="60"/>
      </w:pPr>
    </w:p>
    <w:tbl>
      <w:tblPr>
        <w:tblW w:type="pct" w:w="100%"/>
        <w:tblBorders>
          <w:top w:val="none" w:color="FFFFFF" w:sz="0"/>
          <w:left w:val="none" w:color="FFFFFF" w:sz="0"/>
          <w:bottom w:val="single" w:color="D9E2EC" w:sz="4"/>
          <w:right w:val="none" w:color="FFFFFF" w:sz="0"/>
          <w:insideH w:val="single" w:color="auto" w:sz="4"/>
          <w:insideV w:val="single" w:color="auto" w:sz="4"/>
        </w:tblBorders>
      </w:tblPr>
      <w:tblGrid>
        <w:gridCol w:w="100"/>
      </w:tblGrid>
      <w:tr>
        <w:tc>
          <w:tcPr>
            <w:shd w:fill="EAF2FA" w:val="clear"/>
            <w:tcMar>
              <w:top w:type="dxa" w:w="140"/>
              <w:left w:type="dxa" w:w="200"/>
              <w:bottom w:type="dxa" w:w="140"/>
              <w:right w:type="dxa" w:w="200"/>
            </w:tcMar>
          </w:tcPr>
          <w:p>
            <w:r>
              <w:rPr>
                <w:rFonts w:ascii="Calibri" w:cs="Calibri" w:eastAsia="Calibri" w:hAnsi="Calibri"/>
                <w:b/>
                <w:bCs/>
                <w:color w:val="1B2A4A"/>
                <w:sz w:val="22"/>
                <w:szCs w:val="22"/>
              </w:rPr>
              <w:t xml:space="preserve">4. Scope and Applicability</w:t>
            </w:r>
          </w:p>
        </w:tc>
      </w:tr>
    </w:tbl>
    <w:p>
      <w:pPr>
        <w:spacing w:after="60"/>
      </w:pPr>
    </w:p>
    <w:tbl>
      <w:tblPr>
        <w:tblW w:type="pct" w:w="100%"/>
        <w:tblBorders>
          <w:top w:val="none" w:color="FFFFFF" w:sz="0"/>
          <w:left w:val="none" w:color="FFFFFF" w:sz="0"/>
          <w:bottom w:val="single" w:color="D9E2EC" w:sz="4"/>
          <w:right w:val="none" w:color="FFFFFF" w:sz="0"/>
          <w:insideH w:val="single" w:color="auto" w:sz="4"/>
          <w:insideV w:val="single" w:color="auto" w:sz="4"/>
        </w:tblBorders>
      </w:tblPr>
      <w:tblGrid>
        <w:gridCol w:w="100"/>
      </w:tblGrid>
      <w:tr>
        <w:tc>
          <w:tcPr>
            <w:shd w:fill="EAF2FA" w:val="clear"/>
            <w:tcMar>
              <w:top w:type="dxa" w:w="140"/>
              <w:left w:type="dxa" w:w="200"/>
              <w:bottom w:type="dxa" w:w="140"/>
              <w:right w:type="dxa" w:w="200"/>
            </w:tcMar>
          </w:tcPr>
          <w:p>
            <w:r>
              <w:rPr>
                <w:rFonts w:ascii="Calibri" w:cs="Calibri" w:eastAsia="Calibri" w:hAnsi="Calibri"/>
                <w:b/>
                <w:bCs/>
                <w:color w:val="1B2A4A"/>
                <w:sz w:val="22"/>
                <w:szCs w:val="22"/>
              </w:rPr>
              <w:t xml:space="preserve">5. Comparison with Global Laws</w:t>
            </w:r>
          </w:p>
        </w:tc>
      </w:tr>
    </w:tbl>
    <w:p>
      <w:pPr>
        <w:spacing w:after="60"/>
      </w:pPr>
    </w:p>
    <w:p>
      <w:r>
        <w:br w:type="page"/>
      </w:r>
    </w:p>
    <w:p>
      <w:pPr>
        <w:pStyle w:val="Heading1"/>
        <w:pBdr>
          <w:bottom w:val="single" w:color="1B2A4A" w:sz="12" w:space="4"/>
        </w:pBdr>
        <w:spacing w:after="200" w:before="400"/>
      </w:pPr>
      <w:r>
        <w:rPr>
          <w:rFonts w:ascii="Georgia" w:cs="Georgia" w:eastAsia="Georgia" w:hAnsi="Georgia"/>
          <w:b/>
          <w:bCs/>
          <w:color w:val="1B2A4A"/>
          <w:sz w:val="32"/>
          <w:szCs w:val="32"/>
        </w:rPr>
        <w:t xml:space="preserve">1. Introduction to DPDPA 2023</w:t>
      </w:r>
    </w:p>
    <w:p>
      <w:pPr>
        <w:spacing w:after="120"/>
      </w:pPr>
      <w:r>
        <w:rPr>
          <w:rFonts w:ascii="Calibri" w:cs="Calibri" w:eastAsia="Calibri" w:hAnsi="Calibri"/>
          <w:sz w:val="22"/>
          <w:szCs w:val="22"/>
        </w:rPr>
        <w:t xml:space="preserve">The Digital Personal Data Protection Act, 2023 (DPDPA) represents a watershed moment in India's journey toward comprehensive data protection. In an era where over 800 million Indians are online and digital transactions have become the norm, the need for robust data protection legislation has never been more critical.</w:t>
      </w:r>
    </w:p>
    <w:p>
      <w:pPr>
        <w:spacing w:after="100"/>
      </w:pPr>
    </w:p>
    <w:tbl>
      <w:tblPr>
        <w:tblW w:type="pct" w:w="100%"/>
        <w:tblBorders>
          <w:top w:val="single" w:color="C79A3C" w:sz="6"/>
          <w:left w:val="single" w:color="C79A3C" w:sz="24"/>
          <w:bottom w:val="single" w:color="C79A3C" w:sz="6"/>
          <w:right w:val="single" w:color="C79A3C" w:sz="6"/>
          <w:insideH w:val="single" w:color="auto" w:sz="4"/>
          <w:insideV w:val="single" w:color="auto" w:sz="4"/>
        </w:tblBorders>
      </w:tblPr>
      <w:tblGrid>
        <w:gridCol w:w="100"/>
      </w:tblGrid>
      <w:tr>
        <w:tc>
          <w:tcPr>
            <w:shd w:fill="FBF3DF" w:val="clear"/>
            <w:tcMar>
              <w:top w:type="dxa" w:w="150"/>
              <w:left w:type="dxa" w:w="200"/>
              <w:bottom w:type="dxa" w:w="150"/>
              <w:right w:type="dxa" w:w="200"/>
            </w:tcMar>
          </w:tcPr>
          <w:p>
            <w:pPr>
              <w:spacing w:after="100"/>
            </w:pPr>
            <w:r>
              <w:rPr>
                <w:rFonts w:ascii="Georgia" w:cs="Georgia" w:eastAsia="Georgia" w:hAnsi="Georgia"/>
                <w:b/>
                <w:bCs/>
                <w:color w:val="8A6D1E"/>
                <w:sz w:val="22"/>
                <w:szCs w:val="22"/>
              </w:rPr>
              <w:t xml:space="preserve">💡 Key Insight</w:t>
            </w:r>
          </w:p>
          <w:p>
            <w:pPr>
              <w:spacing w:after="120"/>
            </w:pPr>
            <w:r>
              <w:rPr>
                <w:rFonts w:ascii="Calibri" w:cs="Calibri" w:eastAsia="Calibri" w:hAnsi="Calibri"/>
                <w:sz w:val="22"/>
                <w:szCs w:val="22"/>
              </w:rPr>
              <w:t xml:space="preserve">DPDPA 2023 is India's first comprehensive data protection law, designed specifically for the digital age. Unlike previous IT Act provisions, DPDPA is principle-based, consent-driven, and applies extraterritorially to protect Indian data principals globally.</w:t>
            </w:r>
          </w:p>
        </w:tc>
      </w:tr>
    </w:tbl>
    <w:p>
      <w:pPr>
        <w:spacing w:after="200"/>
      </w:pPr>
    </w:p>
    <w:p>
      <w:pPr>
        <w:pStyle w:val="Heading2"/>
        <w:spacing w:after="150" w:before="300"/>
      </w:pPr>
      <w:r>
        <w:rPr>
          <w:rFonts w:ascii="Georgia" w:cs="Georgia" w:eastAsia="Georgia" w:hAnsi="Georgia"/>
          <w:b/>
          <w:bCs/>
          <w:color w:val="0F7C82"/>
          <w:sz w:val="26"/>
          <w:szCs w:val="26"/>
        </w:rPr>
        <w:t xml:space="preserve">Genesis of India's Data Protection Framework</w:t>
      </w:r>
    </w:p>
    <w:p>
      <w:pPr>
        <w:spacing w:after="120"/>
      </w:pPr>
      <w:r>
        <w:rPr>
          <w:rFonts w:ascii="Calibri" w:cs="Calibri" w:eastAsia="Calibri" w:hAnsi="Calibri"/>
          <w:sz w:val="22"/>
          <w:szCs w:val="22"/>
        </w:rPr>
        <w:t xml:space="preserve">India's data protection journey began long before the DPDPA was enacted. The path was paved by judicial pronouncements recognizing privacy as a fundamental right, followed by legislative efforts to codify these protections into law.</w:t>
      </w:r>
    </w:p>
    <w:p>
      <w:pPr>
        <w:spacing w:after="100"/>
      </w:pPr>
    </w:p>
    <w:p>
      <w:pPr>
        <w:spacing w:after="20" w:before="120"/>
      </w:pPr>
      <w:r>
        <w:rPr>
          <w:b/>
          <w:bCs/>
          <w:color w:val="C79A3C"/>
          <w:sz w:val="22"/>
          <w:szCs w:val="22"/>
        </w:rPr>
        <w:t xml:space="preserve">●  </w:t>
      </w:r>
      <w:r>
        <w:rPr>
          <w:rFonts w:ascii="Calibri" w:cs="Calibri" w:eastAsia="Calibri" w:hAnsi="Calibri"/>
          <w:b/>
          <w:bCs/>
          <w:color w:val="0F7C82"/>
          <w:sz w:val="22"/>
          <w:szCs w:val="22"/>
        </w:rPr>
        <w:t xml:space="preserve">August 24, 2017</w:t>
      </w:r>
    </w:p>
    <w:p>
      <w:pPr>
        <w:spacing w:after="40"/>
        <w:ind w:left="300"/>
      </w:pPr>
      <w:r>
        <w:rPr>
          <w:rFonts w:ascii="Calibri" w:cs="Calibri" w:eastAsia="Calibri" w:hAnsi="Calibri"/>
          <w:b/>
          <w:bCs/>
          <w:sz w:val="21"/>
          <w:szCs w:val="21"/>
        </w:rPr>
        <w:t xml:space="preserve">Justice K.S. Puttaswamy v. Union of India</w:t>
      </w:r>
    </w:p>
    <w:p>
      <w:pPr>
        <w:spacing w:after="100"/>
        <w:ind w:left="300"/>
      </w:pPr>
      <w:r>
        <w:rPr>
          <w:rFonts w:ascii="Calibri" w:cs="Calibri" w:eastAsia="Calibri" w:hAnsi="Calibri"/>
          <w:color w:val="666666"/>
          <w:sz w:val="20"/>
          <w:szCs w:val="20"/>
        </w:rPr>
        <w:t xml:space="preserve">Supreme Court declares Right to Privacy as a fundamental right under Article 21</w:t>
      </w:r>
    </w:p>
    <w:p>
      <w:pPr>
        <w:spacing w:after="20" w:before="120"/>
      </w:pPr>
      <w:r>
        <w:rPr>
          <w:b/>
          <w:bCs/>
          <w:color w:val="C79A3C"/>
          <w:sz w:val="22"/>
          <w:szCs w:val="22"/>
        </w:rPr>
        <w:t xml:space="preserve">●  </w:t>
      </w:r>
      <w:r>
        <w:rPr>
          <w:rFonts w:ascii="Calibri" w:cs="Calibri" w:eastAsia="Calibri" w:hAnsi="Calibri"/>
          <w:b/>
          <w:bCs/>
          <w:color w:val="0F7C82"/>
          <w:sz w:val="22"/>
          <w:szCs w:val="22"/>
        </w:rPr>
        <w:t xml:space="preserve">July 27, 2018</w:t>
      </w:r>
    </w:p>
    <w:p>
      <w:pPr>
        <w:spacing w:after="40"/>
        <w:ind w:left="300"/>
      </w:pPr>
      <w:r>
        <w:rPr>
          <w:rFonts w:ascii="Calibri" w:cs="Calibri" w:eastAsia="Calibri" w:hAnsi="Calibri"/>
          <w:b/>
          <w:bCs/>
          <w:sz w:val="21"/>
          <w:szCs w:val="21"/>
        </w:rPr>
        <w:t xml:space="preserve">Justice Srikrishna Committee Report</w:t>
      </w:r>
    </w:p>
    <w:p>
      <w:pPr>
        <w:spacing w:after="100"/>
        <w:ind w:left="300"/>
      </w:pPr>
      <w:r>
        <w:rPr>
          <w:rFonts w:ascii="Calibri" w:cs="Calibri" w:eastAsia="Calibri" w:hAnsi="Calibri"/>
          <w:color w:val="666666"/>
          <w:sz w:val="20"/>
          <w:szCs w:val="20"/>
        </w:rPr>
        <w:t xml:space="preserve">Committee submits "A Free and Fair Digital Economy: Protecting Privacy, Empowering Indians" with draft Personal Data Protection Bill</w:t>
      </w:r>
    </w:p>
    <w:p>
      <w:pPr>
        <w:spacing w:after="20" w:before="120"/>
      </w:pPr>
      <w:r>
        <w:rPr>
          <w:b/>
          <w:bCs/>
          <w:color w:val="C79A3C"/>
          <w:sz w:val="22"/>
          <w:szCs w:val="22"/>
        </w:rPr>
        <w:t xml:space="preserve">●  </w:t>
      </w:r>
      <w:r>
        <w:rPr>
          <w:rFonts w:ascii="Calibri" w:cs="Calibri" w:eastAsia="Calibri" w:hAnsi="Calibri"/>
          <w:b/>
          <w:bCs/>
          <w:color w:val="0F7C82"/>
          <w:sz w:val="22"/>
          <w:szCs w:val="22"/>
        </w:rPr>
        <w:t xml:space="preserve">December 11, 2019</w:t>
      </w:r>
    </w:p>
    <w:p>
      <w:pPr>
        <w:spacing w:after="40"/>
        <w:ind w:left="300"/>
      </w:pPr>
      <w:r>
        <w:rPr>
          <w:rFonts w:ascii="Calibri" w:cs="Calibri" w:eastAsia="Calibri" w:hAnsi="Calibri"/>
          <w:b/>
          <w:bCs/>
          <w:sz w:val="21"/>
          <w:szCs w:val="21"/>
        </w:rPr>
        <w:t xml:space="preserve">First Draft Bill</w:t>
      </w:r>
    </w:p>
    <w:p>
      <w:pPr>
        <w:spacing w:after="100"/>
        <w:ind w:left="300"/>
      </w:pPr>
      <w:r>
        <w:rPr>
          <w:rFonts w:ascii="Calibri" w:cs="Calibri" w:eastAsia="Calibri" w:hAnsi="Calibri"/>
          <w:color w:val="666666"/>
          <w:sz w:val="20"/>
          <w:szCs w:val="20"/>
        </w:rPr>
        <w:t xml:space="preserve">Personal Data Protection Bill, 2019 introduced in Lok Sabha</w:t>
      </w:r>
    </w:p>
    <w:p>
      <w:pPr>
        <w:spacing w:after="20" w:before="120"/>
      </w:pPr>
      <w:r>
        <w:rPr>
          <w:b/>
          <w:bCs/>
          <w:color w:val="C79A3C"/>
          <w:sz w:val="22"/>
          <w:szCs w:val="22"/>
        </w:rPr>
        <w:t xml:space="preserve">●  </w:t>
      </w:r>
      <w:r>
        <w:rPr>
          <w:rFonts w:ascii="Calibri" w:cs="Calibri" w:eastAsia="Calibri" w:hAnsi="Calibri"/>
          <w:b/>
          <w:bCs/>
          <w:color w:val="0F7C82"/>
          <w:sz w:val="22"/>
          <w:szCs w:val="22"/>
        </w:rPr>
        <w:t xml:space="preserve">August 3, 2023</w:t>
      </w:r>
    </w:p>
    <w:p>
      <w:pPr>
        <w:spacing w:after="40"/>
        <w:ind w:left="300"/>
      </w:pPr>
      <w:r>
        <w:rPr>
          <w:rFonts w:ascii="Calibri" w:cs="Calibri" w:eastAsia="Calibri" w:hAnsi="Calibri"/>
          <w:b/>
          <w:bCs/>
          <w:sz w:val="21"/>
          <w:szCs w:val="21"/>
        </w:rPr>
        <w:t xml:space="preserve">Parliament Passage</w:t>
      </w:r>
    </w:p>
    <w:p>
      <w:pPr>
        <w:spacing w:after="100"/>
        <w:ind w:left="300"/>
      </w:pPr>
      <w:r>
        <w:rPr>
          <w:rFonts w:ascii="Calibri" w:cs="Calibri" w:eastAsia="Calibri" w:hAnsi="Calibri"/>
          <w:color w:val="666666"/>
          <w:sz w:val="20"/>
          <w:szCs w:val="20"/>
        </w:rPr>
        <w:t xml:space="preserve">Digital Personal Data Protection Bill, 2023 passed by both houses of Parliament</w:t>
      </w:r>
    </w:p>
    <w:p>
      <w:pPr>
        <w:spacing w:after="20" w:before="120"/>
      </w:pPr>
      <w:r>
        <w:rPr>
          <w:b/>
          <w:bCs/>
          <w:color w:val="C79A3C"/>
          <w:sz w:val="22"/>
          <w:szCs w:val="22"/>
        </w:rPr>
        <w:t xml:space="preserve">●  </w:t>
      </w:r>
      <w:r>
        <w:rPr>
          <w:rFonts w:ascii="Calibri" w:cs="Calibri" w:eastAsia="Calibri" w:hAnsi="Calibri"/>
          <w:b/>
          <w:bCs/>
          <w:color w:val="0F7C82"/>
          <w:sz w:val="22"/>
          <w:szCs w:val="22"/>
        </w:rPr>
        <w:t xml:space="preserve">August 11, 2023</w:t>
      </w:r>
    </w:p>
    <w:p>
      <w:pPr>
        <w:spacing w:after="40"/>
        <w:ind w:left="300"/>
      </w:pPr>
      <w:r>
        <w:rPr>
          <w:rFonts w:ascii="Calibri" w:cs="Calibri" w:eastAsia="Calibri" w:hAnsi="Calibri"/>
          <w:b/>
          <w:bCs/>
          <w:sz w:val="21"/>
          <w:szCs w:val="21"/>
        </w:rPr>
        <w:t xml:space="preserve">Presidential Assent</w:t>
      </w:r>
    </w:p>
    <w:p>
      <w:pPr>
        <w:spacing w:after="100"/>
        <w:ind w:left="300"/>
      </w:pPr>
      <w:r>
        <w:rPr>
          <w:rFonts w:ascii="Calibri" w:cs="Calibri" w:eastAsia="Calibri" w:hAnsi="Calibri"/>
          <w:color w:val="666666"/>
          <w:sz w:val="20"/>
          <w:szCs w:val="20"/>
        </w:rPr>
        <w:t xml:space="preserve">DPDPA 2023 receives Presidential assent and becomes law</w:t>
      </w:r>
    </w:p>
    <w:p>
      <w:pPr>
        <w:spacing w:after="20" w:before="120"/>
      </w:pPr>
      <w:r>
        <w:rPr>
          <w:b/>
          <w:bCs/>
          <w:color w:val="C79A3C"/>
          <w:sz w:val="22"/>
          <w:szCs w:val="22"/>
        </w:rPr>
        <w:t xml:space="preserve">●  </w:t>
      </w:r>
      <w:r>
        <w:rPr>
          <w:rFonts w:ascii="Calibri" w:cs="Calibri" w:eastAsia="Calibri" w:hAnsi="Calibri"/>
          <w:b/>
          <w:bCs/>
          <w:color w:val="0F7C82"/>
          <w:sz w:val="22"/>
          <w:szCs w:val="22"/>
        </w:rPr>
        <w:t xml:space="preserve">November 13, 2025</w:t>
      </w:r>
    </w:p>
    <w:p>
      <w:pPr>
        <w:spacing w:after="40"/>
        <w:ind w:left="300"/>
      </w:pPr>
      <w:r>
        <w:rPr>
          <w:rFonts w:ascii="Calibri" w:cs="Calibri" w:eastAsia="Calibri" w:hAnsi="Calibri"/>
          <w:b/>
          <w:bCs/>
          <w:sz w:val="21"/>
          <w:szCs w:val="21"/>
        </w:rPr>
        <w:t xml:space="preserve">Final DPDP Rules 2025</w:t>
      </w:r>
    </w:p>
    <w:p>
      <w:pPr>
        <w:spacing w:after="100"/>
        <w:ind w:left="300"/>
      </w:pPr>
      <w:r>
        <w:rPr>
          <w:rFonts w:ascii="Calibri" w:cs="Calibri" w:eastAsia="Calibri" w:hAnsi="Calibri"/>
          <w:color w:val="666666"/>
          <w:sz w:val="20"/>
          <w:szCs w:val="20"/>
        </w:rPr>
        <w:t xml:space="preserve">Ministry of Electronics and IT notifies DPDPA 2023 and DPDP Rules for phased enforcement and implementation</w:t>
      </w:r>
    </w:p>
    <w:p>
      <w:pPr>
        <w:spacing w:after="200"/>
      </w:pPr>
    </w:p>
    <w:p>
      <w:pPr>
        <w:pStyle w:val="Heading2"/>
        <w:spacing w:after="150" w:before="300"/>
      </w:pPr>
      <w:r>
        <w:rPr>
          <w:rFonts w:ascii="Georgia" w:cs="Georgia" w:eastAsia="Georgia" w:hAnsi="Georgia"/>
          <w:b/>
          <w:bCs/>
          <w:color w:val="0F7C82"/>
          <w:sz w:val="26"/>
          <w:szCs w:val="26"/>
        </w:rPr>
        <w:t xml:space="preserve">Need for Legislation in the Digital Economy</w:t>
      </w:r>
    </w:p>
    <w:p>
      <w:pPr>
        <w:spacing w:after="120"/>
      </w:pPr>
      <w:r>
        <w:rPr>
          <w:rFonts w:ascii="Calibri" w:cs="Calibri" w:eastAsia="Calibri" w:hAnsi="Calibri"/>
          <w:sz w:val="22"/>
          <w:szCs w:val="22"/>
        </w:rPr>
        <w:t xml:space="preserve">India's digital economy is growing at an unprecedented pace. With 850+ million internet users, the country generates massive volumes of personal data daily through:</w:t>
      </w:r>
    </w:p>
    <w:p>
      <w:pPr>
        <w:pStyle w:val="ListParagraph"/>
        <w:numPr>
          <w:ilvl w:val="0"/>
          <w:numId w:val="2"/>
        </w:numPr>
        <w:spacing w:after="80"/>
      </w:pPr>
      <w:r>
        <w:rPr>
          <w:rFonts w:ascii="Calibri" w:cs="Calibri" w:eastAsia="Calibri" w:hAnsi="Calibri"/>
          <w:sz w:val="22"/>
          <w:szCs w:val="22"/>
        </w:rPr>
        <w:t xml:space="preserve">E-commerce transactions worth over $100 billion annually</w:t>
      </w:r>
    </w:p>
    <w:p>
      <w:pPr>
        <w:pStyle w:val="ListParagraph"/>
        <w:numPr>
          <w:ilvl w:val="0"/>
          <w:numId w:val="2"/>
        </w:numPr>
        <w:spacing w:after="80"/>
      </w:pPr>
      <w:r>
        <w:rPr>
          <w:rFonts w:ascii="Calibri" w:cs="Calibri" w:eastAsia="Calibri" w:hAnsi="Calibri"/>
          <w:sz w:val="22"/>
          <w:szCs w:val="22"/>
        </w:rPr>
        <w:t xml:space="preserve">Digital payment systems processing billions of transactions</w:t>
      </w:r>
    </w:p>
    <w:p>
      <w:pPr>
        <w:pStyle w:val="ListParagraph"/>
        <w:numPr>
          <w:ilvl w:val="0"/>
          <w:numId w:val="2"/>
        </w:numPr>
        <w:spacing w:after="80"/>
      </w:pPr>
      <w:r>
        <w:rPr>
          <w:rFonts w:ascii="Calibri" w:cs="Calibri" w:eastAsia="Calibri" w:hAnsi="Calibri"/>
          <w:sz w:val="22"/>
          <w:szCs w:val="22"/>
        </w:rPr>
        <w:t xml:space="preserve">Social media platforms with hundreds of millions of Indian users</w:t>
      </w:r>
    </w:p>
    <w:p>
      <w:pPr>
        <w:pStyle w:val="ListParagraph"/>
        <w:numPr>
          <w:ilvl w:val="0"/>
          <w:numId w:val="2"/>
        </w:numPr>
        <w:spacing w:after="80"/>
      </w:pPr>
      <w:r>
        <w:rPr>
          <w:rFonts w:ascii="Calibri" w:cs="Calibri" w:eastAsia="Calibri" w:hAnsi="Calibri"/>
          <w:sz w:val="22"/>
          <w:szCs w:val="22"/>
        </w:rPr>
        <w:t xml:space="preserve">Healthcare digitization through Ayushman Bharat and telemedicine</w:t>
      </w:r>
    </w:p>
    <w:p>
      <w:pPr>
        <w:pStyle w:val="ListParagraph"/>
        <w:numPr>
          <w:ilvl w:val="0"/>
          <w:numId w:val="2"/>
        </w:numPr>
        <w:spacing w:after="80"/>
      </w:pPr>
      <w:r>
        <w:rPr>
          <w:rFonts w:ascii="Calibri" w:cs="Calibri" w:eastAsia="Calibri" w:hAnsi="Calibri"/>
          <w:sz w:val="22"/>
          <w:szCs w:val="22"/>
        </w:rPr>
        <w:t xml:space="preserve">EdTech platforms serving millions of students</w:t>
      </w:r>
    </w:p>
    <w:p>
      <w:pPr>
        <w:pStyle w:val="ListParagraph"/>
        <w:numPr>
          <w:ilvl w:val="0"/>
          <w:numId w:val="2"/>
        </w:numPr>
        <w:spacing w:after="80"/>
      </w:pPr>
      <w:r>
        <w:rPr>
          <w:rFonts w:ascii="Calibri" w:cs="Calibri" w:eastAsia="Calibri" w:hAnsi="Calibri"/>
          <w:sz w:val="22"/>
          <w:szCs w:val="22"/>
        </w:rPr>
        <w:t xml:space="preserve">Government digital services (DigiLocker, Aadhaar, etc.)</w:t>
      </w:r>
    </w:p>
    <w:p>
      <w:pPr>
        <w:spacing w:after="150"/>
      </w:pP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 Real-World Example: The Need for DPDPA</w:t>
            </w:r>
          </w:p>
          <w:p>
            <w:pPr>
              <w:spacing w:after="80"/>
            </w:pPr>
            <w:r>
              <w:rPr>
                <w:rFonts w:ascii="Calibri" w:cs="Calibri" w:eastAsia="Calibri" w:hAnsi="Calibri"/>
                <w:b/>
                <w:bCs/>
                <w:sz w:val="22"/>
                <w:szCs w:val="22"/>
              </w:rPr>
              <w:t xml:space="preserve">Scenario: </w:t>
            </w:r>
            <w:r>
              <w:rPr>
                <w:rFonts w:ascii="Calibri" w:cs="Calibri" w:eastAsia="Calibri" w:hAnsi="Calibri"/>
                <w:sz w:val="22"/>
                <w:szCs w:val="22"/>
              </w:rPr>
              <w:t xml:space="preserve">Priya downloads a fitness app on her smartphone. The app requests access to her location, contacts, camera, and health data.</w:t>
            </w:r>
          </w:p>
          <w:p>
            <w:pPr>
              <w:spacing w:after="80"/>
            </w:pPr>
            <w:r>
              <w:rPr>
                <w:rFonts w:ascii="Calibri" w:cs="Calibri" w:eastAsia="Calibri" w:hAnsi="Calibri"/>
                <w:b/>
                <w:bCs/>
                <w:sz w:val="22"/>
                <w:szCs w:val="22"/>
              </w:rPr>
              <w:t xml:space="preserve">Without DPDPA: </w:t>
            </w:r>
            <w:r>
              <w:rPr>
                <w:rFonts w:ascii="Calibri" w:cs="Calibri" w:eastAsia="Calibri" w:hAnsi="Calibri"/>
                <w:sz w:val="22"/>
                <w:szCs w:val="22"/>
              </w:rPr>
              <w:t xml:space="preserve">The app could collect far more data than needed, share her health data with insurance companies without her knowledge, sell her location data to advertisers, and transfer her data to countries with weak privacy laws.</w:t>
            </w:r>
          </w:p>
          <w:p>
            <w:pPr>
              <w:spacing w:after="80"/>
            </w:pPr>
            <w:r>
              <w:rPr>
                <w:rFonts w:ascii="Calibri" w:cs="Calibri" w:eastAsia="Calibri" w:hAnsi="Calibri"/>
                <w:b/>
                <w:bCs/>
                <w:sz w:val="22"/>
                <w:szCs w:val="22"/>
              </w:rPr>
              <w:t xml:space="preserve">With DPDPA: </w:t>
            </w:r>
            <w:r>
              <w:rPr>
                <w:rFonts w:ascii="Calibri" w:cs="Calibri" w:eastAsia="Calibri" w:hAnsi="Calibri"/>
                <w:sz w:val="22"/>
                <w:szCs w:val="22"/>
              </w:rPr>
              <w:t xml:space="preserve">The app must obtain clear, informed consent, use data only for stated purposes, implement security measures, and give Priya rights to access, correct, and delete her data.</w:t>
            </w:r>
          </w:p>
        </w:tc>
      </w:tr>
    </w:tbl>
    <w:p>
      <w:pPr>
        <w:spacing w:after="200"/>
      </w:pPr>
    </w:p>
    <w:p>
      <w:pPr>
        <w:pStyle w:val="Heading2"/>
        <w:spacing w:after="150" w:before="300"/>
      </w:pPr>
      <w:r>
        <w:rPr>
          <w:rFonts w:ascii="Georgia" w:cs="Georgia" w:eastAsia="Georgia" w:hAnsi="Georgia"/>
          <w:b/>
          <w:bCs/>
          <w:color w:val="0F7C82"/>
          <w:sz w:val="26"/>
          <w:szCs w:val="26"/>
        </w:rPr>
        <w:t xml:space="preserve">Key Objectives and Vision of DPDPA</w:t>
      </w:r>
    </w:p>
    <w:p>
      <w:pPr>
        <w:spacing w:after="120"/>
      </w:pPr>
      <w:r>
        <w:rPr>
          <w:rFonts w:ascii="Calibri" w:cs="Calibri" w:eastAsia="Calibri" w:hAnsi="Calibri"/>
          <w:sz w:val="22"/>
          <w:szCs w:val="22"/>
        </w:rPr>
        <w:t xml:space="preserve">The DPDPA 2023 has been designed with five core objectives:</w:t>
      </w:r>
    </w:p>
    <w:p>
      <w:pPr>
        <w:spacing w:after="80"/>
      </w:pPr>
      <w:r>
        <w:rPr>
          <w:rFonts w:ascii="Calibri" w:cs="Calibri" w:eastAsia="Calibri" w:hAnsi="Calibri"/>
          <w:b/>
          <w:bCs/>
          <w:sz w:val="22"/>
          <w:szCs w:val="22"/>
        </w:rPr>
        <w:t xml:space="preserve">1. Individual Empowerment: </w:t>
      </w:r>
      <w:r>
        <w:rPr>
          <w:rFonts w:ascii="Calibri" w:cs="Calibri" w:eastAsia="Calibri" w:hAnsi="Calibri"/>
          <w:sz w:val="22"/>
          <w:szCs w:val="22"/>
        </w:rPr>
        <w:t xml:space="preserve">Give data principals control over their personal data through rights and consent mechanisms</w:t>
      </w:r>
    </w:p>
    <w:p>
      <w:pPr>
        <w:spacing w:after="80"/>
      </w:pPr>
      <w:r>
        <w:rPr>
          <w:rFonts w:ascii="Calibri" w:cs="Calibri" w:eastAsia="Calibri" w:hAnsi="Calibri"/>
          <w:b/>
          <w:bCs/>
          <w:sz w:val="22"/>
          <w:szCs w:val="22"/>
        </w:rPr>
        <w:t xml:space="preserve">2. Trust Building: </w:t>
      </w:r>
      <w:r>
        <w:rPr>
          <w:rFonts w:ascii="Calibri" w:cs="Calibri" w:eastAsia="Calibri" w:hAnsi="Calibri"/>
          <w:sz w:val="22"/>
          <w:szCs w:val="22"/>
        </w:rPr>
        <w:t xml:space="preserve">Create a framework that enables Indians to trust digital services with their personal information</w:t>
      </w:r>
    </w:p>
    <w:p>
      <w:pPr>
        <w:spacing w:after="80"/>
      </w:pPr>
      <w:r>
        <w:rPr>
          <w:rFonts w:ascii="Calibri" w:cs="Calibri" w:eastAsia="Calibri" w:hAnsi="Calibri"/>
          <w:b/>
          <w:bCs/>
          <w:sz w:val="22"/>
          <w:szCs w:val="22"/>
        </w:rPr>
        <w:t xml:space="preserve">3. Innovation Balance: </w:t>
      </w:r>
      <w:r>
        <w:rPr>
          <w:rFonts w:ascii="Calibri" w:cs="Calibri" w:eastAsia="Calibri" w:hAnsi="Calibri"/>
          <w:sz w:val="22"/>
          <w:szCs w:val="22"/>
        </w:rPr>
        <w:t xml:space="preserve">Protect privacy without stifling digital innovation and economic growth</w:t>
      </w:r>
    </w:p>
    <w:p>
      <w:pPr>
        <w:spacing w:after="80"/>
      </w:pPr>
      <w:r>
        <w:rPr>
          <w:rFonts w:ascii="Calibri" w:cs="Calibri" w:eastAsia="Calibri" w:hAnsi="Calibri"/>
          <w:b/>
          <w:bCs/>
          <w:sz w:val="22"/>
          <w:szCs w:val="22"/>
        </w:rPr>
        <w:t xml:space="preserve">4. Global Standards: </w:t>
      </w:r>
      <w:r>
        <w:rPr>
          <w:rFonts w:ascii="Calibri" w:cs="Calibri" w:eastAsia="Calibri" w:hAnsi="Calibri"/>
          <w:sz w:val="22"/>
          <w:szCs w:val="22"/>
        </w:rPr>
        <w:t xml:space="preserve">Align with international best practices while respecting India's unique context</w:t>
      </w:r>
    </w:p>
    <w:p>
      <w:pPr>
        <w:spacing w:after="80"/>
      </w:pPr>
      <w:r>
        <w:rPr>
          <w:rFonts w:ascii="Calibri" w:cs="Calibri" w:eastAsia="Calibri" w:hAnsi="Calibri"/>
          <w:b/>
          <w:bCs/>
          <w:sz w:val="22"/>
          <w:szCs w:val="22"/>
        </w:rPr>
        <w:t xml:space="preserve">5. Accountability: </w:t>
      </w:r>
      <w:r>
        <w:rPr>
          <w:rFonts w:ascii="Calibri" w:cs="Calibri" w:eastAsia="Calibri" w:hAnsi="Calibri"/>
          <w:sz w:val="22"/>
          <w:szCs w:val="22"/>
        </w:rPr>
        <w:t xml:space="preserve">Establish clear responsibilities for organizations handling personal data</w:t>
      </w:r>
    </w:p>
    <w:p>
      <w:pPr>
        <w:spacing w:after="150"/>
      </w:pP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 Key Takeaways</w:t>
            </w:r>
          </w:p>
          <w:p>
            <w:pPr>
              <w:pStyle w:val="ListParagraph"/>
              <w:numPr>
                <w:ilvl w:val="0"/>
                <w:numId w:val="2"/>
              </w:numPr>
              <w:spacing w:after="60"/>
            </w:pPr>
            <w:r>
              <w:rPr>
                <w:rFonts w:ascii="Calibri" w:cs="Calibri" w:eastAsia="Calibri" w:hAnsi="Calibri"/>
                <w:sz w:val="21"/>
                <w:szCs w:val="21"/>
              </w:rPr>
              <w:t xml:space="preserve">DPDPA 2023 is India's first comprehensive data protection law</w:t>
            </w:r>
          </w:p>
          <w:p>
            <w:pPr>
              <w:pStyle w:val="ListParagraph"/>
              <w:numPr>
                <w:ilvl w:val="0"/>
                <w:numId w:val="2"/>
              </w:numPr>
              <w:spacing w:after="60"/>
            </w:pPr>
            <w:r>
              <w:rPr>
                <w:rFonts w:ascii="Calibri" w:cs="Calibri" w:eastAsia="Calibri" w:hAnsi="Calibri"/>
                <w:sz w:val="21"/>
                <w:szCs w:val="21"/>
              </w:rPr>
              <w:t xml:space="preserve">It received Presidential assent on August 11, 2023</w:t>
            </w:r>
          </w:p>
          <w:p>
            <w:pPr>
              <w:pStyle w:val="ListParagraph"/>
              <w:numPr>
                <w:ilvl w:val="0"/>
                <w:numId w:val="2"/>
              </w:numPr>
              <w:spacing w:after="60"/>
            </w:pPr>
            <w:r>
              <w:rPr>
                <w:rFonts w:ascii="Calibri" w:cs="Calibri" w:eastAsia="Calibri" w:hAnsi="Calibri"/>
                <w:sz w:val="21"/>
                <w:szCs w:val="21"/>
              </w:rPr>
              <w:t xml:space="preserve">The Act evolved from the 2018 Justice Srikrishna Committee Report</w:t>
            </w:r>
          </w:p>
          <w:p>
            <w:pPr>
              <w:pStyle w:val="ListParagraph"/>
              <w:numPr>
                <w:ilvl w:val="0"/>
                <w:numId w:val="2"/>
              </w:numPr>
              <w:spacing w:after="60"/>
            </w:pPr>
            <w:r>
              <w:rPr>
                <w:rFonts w:ascii="Calibri" w:cs="Calibri" w:eastAsia="Calibri" w:hAnsi="Calibri"/>
                <w:sz w:val="21"/>
                <w:szCs w:val="21"/>
              </w:rPr>
              <w:t xml:space="preserve">The DPDP Rules 2025 provide detailed implementation guidelines</w:t>
            </w:r>
          </w:p>
          <w:p>
            <w:pPr>
              <w:pStyle w:val="ListParagraph"/>
              <w:numPr>
                <w:ilvl w:val="0"/>
                <w:numId w:val="2"/>
              </w:numPr>
              <w:spacing w:after="60"/>
            </w:pPr>
            <w:r>
              <w:rPr>
                <w:rFonts w:ascii="Calibri" w:cs="Calibri" w:eastAsia="Calibri" w:hAnsi="Calibri"/>
                <w:sz w:val="21"/>
                <w:szCs w:val="21"/>
              </w:rPr>
              <w:t xml:space="preserve">The law balances individual privacy rights with digital economy growth</w:t>
            </w:r>
          </w:p>
        </w:tc>
      </w:tr>
    </w:tbl>
    <w:p>
      <w:r>
        <w:br w:type="page"/>
      </w:r>
    </w:p>
    <w:p>
      <w:pPr>
        <w:pStyle w:val="Heading1"/>
        <w:pBdr>
          <w:bottom w:val="single" w:color="1B2A4A" w:sz="12" w:space="4"/>
        </w:pBdr>
        <w:spacing w:after="200" w:before="400"/>
      </w:pPr>
      <w:r>
        <w:rPr>
          <w:rFonts w:ascii="Georgia" w:cs="Georgia" w:eastAsia="Georgia" w:hAnsi="Georgia"/>
          <w:b/>
          <w:bCs/>
          <w:color w:val="1B2A4A"/>
          <w:sz w:val="32"/>
          <w:szCs w:val="32"/>
        </w:rPr>
        <w:t xml:space="preserve">2. Legislative Background &amp; Philosophy</w:t>
      </w:r>
    </w:p>
    <w:p>
      <w:pPr>
        <w:pStyle w:val="Heading2"/>
        <w:spacing w:after="150" w:before="300"/>
      </w:pPr>
      <w:r>
        <w:rPr>
          <w:rFonts w:ascii="Georgia" w:cs="Georgia" w:eastAsia="Georgia" w:hAnsi="Georgia"/>
          <w:b/>
          <w:bCs/>
          <w:color w:val="0F7C82"/>
          <w:sz w:val="26"/>
          <w:szCs w:val="26"/>
        </w:rPr>
        <w:t xml:space="preserve">Constitutional Foundations</w:t>
      </w:r>
    </w:p>
    <w:p>
      <w:pPr>
        <w:spacing w:after="120"/>
      </w:pPr>
      <w:r>
        <w:rPr>
          <w:rFonts w:ascii="Calibri" w:cs="Calibri" w:eastAsia="Calibri" w:hAnsi="Calibri"/>
          <w:sz w:val="22"/>
          <w:szCs w:val="22"/>
        </w:rPr>
        <w:t xml:space="preserve">The DPDPA 2023 rests on the constitutional bedrock established by the Supreme Court's landmark ruling in </w:t>
      </w:r>
      <w:r>
        <w:rPr>
          <w:rFonts w:ascii="Calibri" w:cs="Calibri" w:eastAsia="Calibri" w:hAnsi="Calibri"/>
          <w:i/>
          <w:iCs/>
          <w:sz w:val="22"/>
          <w:szCs w:val="22"/>
        </w:rPr>
        <w:t xml:space="preserve">Justice K.S. Puttaswamy v. Union of India</w:t>
      </w:r>
      <w:r>
        <w:rPr>
          <w:rFonts w:ascii="Calibri" w:cs="Calibri" w:eastAsia="Calibri" w:hAnsi="Calibri"/>
          <w:sz w:val="22"/>
          <w:szCs w:val="22"/>
        </w:rPr>
        <w:t xml:space="preserve">. This nine-judge bench decision fundamentally reshaped India's understanding of privacy.</w:t>
      </w:r>
    </w:p>
    <w:p>
      <w:pPr>
        <w:spacing w:after="10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EAF2FA"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 Landmark Case: Justice K.S. Puttaswamy v. Union of India (2017) 10 SCC 1</w:t>
            </w:r>
          </w:p>
          <w:p>
            <w:pPr>
              <w:spacing w:after="80"/>
            </w:pPr>
            <w:r>
              <w:rPr>
                <w:rFonts w:ascii="Calibri" w:cs="Calibri" w:eastAsia="Calibri" w:hAnsi="Calibri"/>
                <w:b/>
                <w:bCs/>
                <w:sz w:val="22"/>
                <w:szCs w:val="22"/>
              </w:rPr>
              <w:t xml:space="preserve">Court: </w:t>
            </w:r>
            <w:r>
              <w:rPr>
                <w:rFonts w:ascii="Calibri" w:cs="Calibri" w:eastAsia="Calibri" w:hAnsi="Calibri"/>
                <w:sz w:val="22"/>
                <w:szCs w:val="22"/>
              </w:rPr>
              <w:t xml:space="preserve">Supreme Court of India (Nine-Judge Constitutional Bench)</w:t>
            </w:r>
          </w:p>
          <w:p>
            <w:pPr>
              <w:spacing w:after="80"/>
            </w:pPr>
            <w:r>
              <w:rPr>
                <w:rFonts w:ascii="Calibri" w:cs="Calibri" w:eastAsia="Calibri" w:hAnsi="Calibri"/>
                <w:b/>
                <w:bCs/>
                <w:sz w:val="22"/>
                <w:szCs w:val="22"/>
              </w:rPr>
              <w:t xml:space="preserve">Date: </w:t>
            </w:r>
            <w:r>
              <w:rPr>
                <w:rFonts w:ascii="Calibri" w:cs="Calibri" w:eastAsia="Calibri" w:hAnsi="Calibri"/>
                <w:sz w:val="22"/>
                <w:szCs w:val="22"/>
              </w:rPr>
              <w:t xml:space="preserve">August 24, 2017</w:t>
            </w:r>
          </w:p>
          <w:p>
            <w:pPr>
              <w:spacing w:after="100" w:before="200"/>
            </w:pPr>
            <w:r>
              <w:rPr>
                <w:rFonts w:ascii="Georgia" w:cs="Georgia" w:eastAsia="Georgia" w:hAnsi="Georgia"/>
                <w:b/>
                <w:bCs/>
                <w:color w:val="1B2A4A"/>
                <w:sz w:val="22"/>
                <w:szCs w:val="22"/>
              </w:rPr>
              <w:t xml:space="preserve">Key Holdings:</w:t>
            </w:r>
          </w:p>
          <w:p>
            <w:pPr>
              <w:pStyle w:val="ListParagraph"/>
              <w:numPr>
                <w:ilvl w:val="0"/>
                <w:numId w:val="2"/>
              </w:numPr>
              <w:spacing w:after="80"/>
            </w:pPr>
            <w:r>
              <w:rPr>
                <w:rFonts w:ascii="Calibri" w:cs="Calibri" w:eastAsia="Calibri" w:hAnsi="Calibri"/>
                <w:sz w:val="22"/>
                <w:szCs w:val="22"/>
              </w:rPr>
              <w:t xml:space="preserve">Privacy as Fundamental Right: The Court unanimously held that the right to privacy is a fundamental right under Article 21 (Right to Life and Personal Liberty)</w:t>
            </w:r>
          </w:p>
          <w:p>
            <w:pPr>
              <w:pStyle w:val="ListParagraph"/>
              <w:numPr>
                <w:ilvl w:val="0"/>
                <w:numId w:val="2"/>
              </w:numPr>
              <w:spacing w:after="80"/>
            </w:pPr>
            <w:r>
              <w:rPr>
                <w:rFonts w:ascii="Calibri" w:cs="Calibri" w:eastAsia="Calibri" w:hAnsi="Calibri"/>
                <w:sz w:val="22"/>
                <w:szCs w:val="22"/>
              </w:rPr>
              <w:t xml:space="preserve">Informational Privacy: Privacy includes informational self-determination — the right to control dissemination of personal information</w:t>
            </w:r>
          </w:p>
          <w:p>
            <w:pPr>
              <w:pStyle w:val="ListParagraph"/>
              <w:numPr>
                <w:ilvl w:val="0"/>
                <w:numId w:val="2"/>
              </w:numPr>
              <w:spacing w:after="80"/>
            </w:pPr>
            <w:r>
              <w:rPr>
                <w:rFonts w:ascii="Calibri" w:cs="Calibri" w:eastAsia="Calibri" w:hAnsi="Calibri"/>
                <w:sz w:val="22"/>
                <w:szCs w:val="22"/>
              </w:rPr>
              <w:t xml:space="preserve">Three-fold Test: Any legal interference with privacy must satisfy: (1) Legality (must be by law), (2) Legitimate aim (must serve a legitimate state interest), (3) Proportionality (means must be proportionate to the object)</w:t>
            </w:r>
          </w:p>
          <w:p>
            <w:pPr>
              <w:spacing w:after="80"/>
            </w:pPr>
          </w:p>
          <w:p>
            <w:pPr>
              <w:spacing w:after="60"/>
            </w:pPr>
            <w:r>
              <w:rPr>
                <w:rFonts w:ascii="Calibri" w:cs="Calibri" w:eastAsia="Calibri" w:hAnsi="Calibri"/>
                <w:b/>
                <w:bCs/>
                <w:sz w:val="22"/>
                <w:szCs w:val="22"/>
              </w:rPr>
              <w:t xml:space="preserve">Judicial Observation: </w:t>
            </w:r>
            <w:r>
              <w:rPr>
                <w:rFonts w:ascii="Calibri" w:cs="Calibri" w:eastAsia="Calibri" w:hAnsi="Calibri"/>
                <w:i/>
                <w:iCs/>
                <w:sz w:val="22"/>
                <w:szCs w:val="22"/>
              </w:rPr>
              <w:t xml:space="preserve">“Privacy includes at its core the preservation of personal intimacies, the sanctity of family life, marriage, procreation, the home and sexual orientation. Privacy also connotes a right to be left alone.”</w:t>
            </w:r>
          </w:p>
        </w:tc>
      </w:tr>
    </w:tbl>
    <w:p>
      <w:pPr>
        <w:spacing w:after="200"/>
      </w:pPr>
    </w:p>
    <w:p>
      <w:pPr>
        <w:pStyle w:val="Heading2"/>
        <w:spacing w:after="150" w:before="300"/>
      </w:pPr>
      <w:r>
        <w:rPr>
          <w:rFonts w:ascii="Georgia" w:cs="Georgia" w:eastAsia="Georgia" w:hAnsi="Georgia"/>
          <w:b/>
          <w:bCs/>
          <w:color w:val="0F7C82"/>
          <w:sz w:val="26"/>
          <w:szCs w:val="26"/>
        </w:rPr>
        <w:t xml:space="preserve">Philosophical Foundations</w:t>
      </w: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EAF2FA"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
            </w:r>
          </w:p>
          <w:p>
            <w:pPr>
              <w:spacing w:after="120"/>
            </w:pPr>
            <w:r>
              <w:rPr>
                <w:rFonts w:ascii="Calibri" w:cs="Calibri" w:eastAsia="Calibri" w:hAnsi="Calibri"/>
                <w:i/>
                <w:iCs/>
                <w:sz w:val="22"/>
                <w:szCs w:val="22"/>
              </w:rPr>
              <w:t xml:space="preserve">“The beginning of wisdom is the definition of terms.” </w:t>
            </w:r>
            <w:r>
              <w:rPr>
                <w:rFonts w:ascii="Calibri" w:cs="Calibri" w:eastAsia="Calibri" w:hAnsi="Calibri"/>
                <w:b/>
                <w:bCs/>
                <w:sz w:val="22"/>
                <w:szCs w:val="22"/>
              </w:rPr>
              <w:t xml:space="preserve">— Socrates (470-399 BCE)</w:t>
            </w:r>
          </w:p>
        </w:tc>
      </w:tr>
    </w:tbl>
    <w:p>
      <w:pPr>
        <w:spacing w:after="150"/>
      </w:pPr>
    </w:p>
    <w:p>
      <w:pPr>
        <w:spacing w:after="120"/>
      </w:pPr>
      <w:r>
        <w:rPr>
          <w:rFonts w:ascii="Calibri" w:cs="Calibri" w:eastAsia="Calibri" w:hAnsi="Calibri"/>
          <w:sz w:val="22"/>
          <w:szCs w:val="22"/>
        </w:rPr>
        <w:t xml:space="preserve">DPDPA 2023 embodies several philosophical principles:</w:t>
      </w:r>
    </w:p>
    <w:p>
      <w:pPr>
        <w:spacing w:after="100" w:before="200"/>
      </w:pPr>
      <w:r>
        <w:rPr>
          <w:rFonts w:ascii="Georgia" w:cs="Georgia" w:eastAsia="Georgia" w:hAnsi="Georgia"/>
          <w:b/>
          <w:bCs/>
          <w:color w:val="0F7C82"/>
          <w:sz w:val="22"/>
          <w:szCs w:val="22"/>
        </w:rPr>
        <w:t xml:space="preserve">1. Individual Autonomy (Kantian Ethics)</w:t>
      </w:r>
    </w:p>
    <w:p>
      <w:pPr>
        <w:spacing w:after="120"/>
      </w:pPr>
      <w:r>
        <w:rPr>
          <w:rFonts w:ascii="Calibri" w:cs="Calibri" w:eastAsia="Calibri" w:hAnsi="Calibri"/>
          <w:sz w:val="22"/>
          <w:szCs w:val="22"/>
        </w:rPr>
        <w:t xml:space="preserve">The Act treats data principals as autonomous agents capable of making informed decisions about their personal data. This reflects Immanuel Kant's principle that individuals should be treated as ends in themselves, not merely as means.</w:t>
      </w:r>
    </w:p>
    <w:p>
      <w:pPr>
        <w:spacing w:after="100" w:before="200"/>
      </w:pPr>
      <w:r>
        <w:rPr>
          <w:rFonts w:ascii="Georgia" w:cs="Georgia" w:eastAsia="Georgia" w:hAnsi="Georgia"/>
          <w:b/>
          <w:bCs/>
          <w:color w:val="0F7C82"/>
          <w:sz w:val="22"/>
          <w:szCs w:val="22"/>
        </w:rPr>
        <w:t xml:space="preserve">2. Consent as Cornerstone (Social Contract Theory)</w:t>
      </w:r>
    </w:p>
    <w:p>
      <w:pPr>
        <w:spacing w:after="120"/>
      </w:pPr>
      <w:r>
        <w:rPr>
          <w:rFonts w:ascii="Calibri" w:cs="Calibri" w:eastAsia="Calibri" w:hAnsi="Calibri"/>
          <w:sz w:val="22"/>
          <w:szCs w:val="22"/>
        </w:rPr>
        <w:t xml:space="preserve">Following John Locke's social contract philosophy, DPDPA requires explicit consent for data processing. Just as Locke argued that political authority requires consent of the governed, DPDPA establishes that data processing requires consent of the data principal.</w:t>
      </w:r>
    </w:p>
    <w:p>
      <w:pPr>
        <w:spacing w:after="100" w:before="200"/>
      </w:pPr>
      <w:r>
        <w:rPr>
          <w:rFonts w:ascii="Georgia" w:cs="Georgia" w:eastAsia="Georgia" w:hAnsi="Georgia"/>
          <w:b/>
          <w:bCs/>
          <w:color w:val="0F7C82"/>
          <w:sz w:val="22"/>
          <w:szCs w:val="22"/>
        </w:rPr>
        <w:t xml:space="preserve">3. Harm Prevention (Mill's Harm Principle)</w:t>
      </w:r>
    </w:p>
    <w:p>
      <w:pPr>
        <w:spacing w:after="120"/>
      </w:pPr>
      <w:r>
        <w:rPr>
          <w:rFonts w:ascii="Calibri" w:cs="Calibri" w:eastAsia="Calibri" w:hAnsi="Calibri"/>
          <w:sz w:val="22"/>
          <w:szCs w:val="22"/>
        </w:rPr>
        <w:t xml:space="preserve">The Act's framework for penalties and enforcement echoes John Stuart Mill's harm principle: “The only purpose for which power can be rightfully exercised over any member of a civilized community, against his will, is to prevent harm to others.”</w:t>
      </w:r>
    </w:p>
    <w:p>
      <w:pPr>
        <w:spacing w:after="150"/>
      </w:pP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 Key Takeaways</w:t>
            </w:r>
          </w:p>
          <w:p>
            <w:pPr>
              <w:pStyle w:val="ListParagraph"/>
              <w:numPr>
                <w:ilvl w:val="0"/>
                <w:numId w:val="2"/>
              </w:numPr>
              <w:spacing w:after="60"/>
            </w:pPr>
            <w:r>
              <w:rPr>
                <w:rFonts w:ascii="Calibri" w:cs="Calibri" w:eastAsia="Calibri" w:hAnsi="Calibri"/>
                <w:sz w:val="21"/>
                <w:szCs w:val="21"/>
              </w:rPr>
              <w:t xml:space="preserve">DPDPA is constitutionally grounded in Article 21's Right to Privacy</w:t>
            </w:r>
          </w:p>
          <w:p>
            <w:pPr>
              <w:pStyle w:val="ListParagraph"/>
              <w:numPr>
                <w:ilvl w:val="0"/>
                <w:numId w:val="2"/>
              </w:numPr>
              <w:spacing w:after="60"/>
            </w:pPr>
            <w:r>
              <w:rPr>
                <w:rFonts w:ascii="Calibri" w:cs="Calibri" w:eastAsia="Calibri" w:hAnsi="Calibri"/>
                <w:sz w:val="21"/>
                <w:szCs w:val="21"/>
              </w:rPr>
              <w:t xml:space="preserve">The Act embodies principles of individual autonomy, informed consent, and harm prevention</w:t>
            </w:r>
          </w:p>
          <w:p>
            <w:pPr>
              <w:pStyle w:val="ListParagraph"/>
              <w:numPr>
                <w:ilvl w:val="0"/>
                <w:numId w:val="2"/>
              </w:numPr>
              <w:spacing w:after="60"/>
            </w:pPr>
            <w:r>
              <w:rPr>
                <w:rFonts w:ascii="Calibri" w:cs="Calibri" w:eastAsia="Calibri" w:hAnsi="Calibri"/>
                <w:sz w:val="21"/>
                <w:szCs w:val="21"/>
              </w:rPr>
              <w:t xml:space="preserve">Parliamentary debates shaped key provisions like data localization and government exemptions</w:t>
            </w:r>
          </w:p>
          <w:p>
            <w:pPr>
              <w:pStyle w:val="ListParagraph"/>
              <w:numPr>
                <w:ilvl w:val="0"/>
                <w:numId w:val="2"/>
              </w:numPr>
              <w:spacing w:after="60"/>
            </w:pPr>
            <w:r>
              <w:rPr>
                <w:rFonts w:ascii="Calibri" w:cs="Calibri" w:eastAsia="Calibri" w:hAnsi="Calibri"/>
                <w:sz w:val="21"/>
                <w:szCs w:val="21"/>
              </w:rPr>
              <w:t xml:space="preserve">DPDPA balances privacy protection with digital innovation through proportionate compliance</w:t>
            </w:r>
          </w:p>
          <w:p>
            <w:pPr>
              <w:pStyle w:val="ListParagraph"/>
              <w:numPr>
                <w:ilvl w:val="0"/>
                <w:numId w:val="2"/>
              </w:numPr>
              <w:spacing w:after="60"/>
            </w:pPr>
            <w:r>
              <w:rPr>
                <w:rFonts w:ascii="Calibri" w:cs="Calibri" w:eastAsia="Calibri" w:hAnsi="Calibri"/>
                <w:sz w:val="21"/>
                <w:szCs w:val="21"/>
              </w:rPr>
              <w:t xml:space="preserve">The 2017 Puttaswamy judgment provides judicial foundation</w:t>
            </w:r>
          </w:p>
        </w:tc>
      </w:tr>
    </w:tbl>
    <w:p>
      <w:r>
        <w:br w:type="page"/>
      </w:r>
    </w:p>
    <w:p>
      <w:pPr>
        <w:pStyle w:val="Heading1"/>
        <w:pBdr>
          <w:bottom w:val="single" w:color="1B2A4A" w:sz="12" w:space="4"/>
        </w:pBdr>
        <w:spacing w:after="200" w:before="400"/>
      </w:pPr>
      <w:r>
        <w:rPr>
          <w:rFonts w:ascii="Georgia" w:cs="Georgia" w:eastAsia="Georgia" w:hAnsi="Georgia"/>
          <w:b/>
          <w:bCs/>
          <w:color w:val="1B2A4A"/>
          <w:sz w:val="32"/>
          <w:szCs w:val="32"/>
        </w:rPr>
        <w:t xml:space="preserve">3. Key Definitions &amp; Terminology</w:t>
      </w:r>
    </w:p>
    <w:p>
      <w:pPr>
        <w:spacing w:after="120"/>
      </w:pPr>
      <w:r>
        <w:rPr>
          <w:rFonts w:ascii="Calibri" w:cs="Calibri" w:eastAsia="Calibri" w:hAnsi="Calibri"/>
          <w:sz w:val="22"/>
          <w:szCs w:val="22"/>
        </w:rPr>
        <w:t xml:space="preserve">Understanding DPDPA begins with mastering its core terminology. Section 2 of the Act provides definitions that form the foundation of the entire data protection framework.</w:t>
      </w:r>
    </w:p>
    <w:p>
      <w:pPr>
        <w:spacing w:after="100"/>
      </w:pPr>
    </w:p>
    <w:p>
      <w:pPr>
        <w:pStyle w:val="Heading2"/>
        <w:spacing w:after="150" w:before="300"/>
      </w:pPr>
      <w:r>
        <w:rPr>
          <w:rFonts w:ascii="Georgia" w:cs="Georgia" w:eastAsia="Georgia" w:hAnsi="Georgia"/>
          <w:b/>
          <w:bCs/>
          <w:color w:val="0F7C82"/>
          <w:sz w:val="26"/>
          <w:szCs w:val="26"/>
        </w:rPr>
        <w:t xml:space="preserve">Core Definitions Explained</w:t>
      </w: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EAF2FA"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1. Data Fiduciary [Section 2(i)]</w:t>
            </w:r>
          </w:p>
          <w:p>
            <w:pPr>
              <w:spacing w:after="80"/>
            </w:pPr>
            <w:r>
              <w:rPr>
                <w:rFonts w:ascii="Calibri" w:cs="Calibri" w:eastAsia="Calibri" w:hAnsi="Calibri"/>
                <w:b/>
                <w:bCs/>
                <w:sz w:val="22"/>
                <w:szCs w:val="22"/>
              </w:rPr>
              <w:t xml:space="preserve">Legal Definition: </w:t>
            </w:r>
            <w:r>
              <w:rPr>
                <w:rFonts w:ascii="Calibri" w:cs="Calibri" w:eastAsia="Calibri" w:hAnsi="Calibri"/>
                <w:sz w:val="22"/>
                <w:szCs w:val="22"/>
              </w:rPr>
              <w:t xml:space="preserve">Any person who alone or in conjunction with other persons determines the purpose and means of processing personal data.</w:t>
            </w:r>
          </w:p>
          <w:p>
            <w:pPr>
              <w:spacing w:after="80"/>
            </w:pPr>
            <w:r>
              <w:rPr>
                <w:rFonts w:ascii="Calibri" w:cs="Calibri" w:eastAsia="Calibri" w:hAnsi="Calibri"/>
                <w:b/>
                <w:bCs/>
                <w:sz w:val="22"/>
                <w:szCs w:val="22"/>
              </w:rPr>
              <w:t xml:space="preserve">Plain English: </w:t>
            </w:r>
            <w:r>
              <w:rPr>
                <w:rFonts w:ascii="Calibri" w:cs="Calibri" w:eastAsia="Calibri" w:hAnsi="Calibri"/>
                <w:sz w:val="22"/>
                <w:szCs w:val="22"/>
              </w:rPr>
              <w:t xml:space="preserve">A Data Fiduciary is the organization or person that decides WHY and HOW personal data will be used. They are the “controller” of the data.</w:t>
            </w:r>
          </w:p>
          <w:p>
            <w:pPr>
              <w:spacing w:after="100" w:before="200"/>
            </w:pPr>
            <w:r>
              <w:rPr>
                <w:rFonts w:ascii="Georgia" w:cs="Georgia" w:eastAsia="Georgia" w:hAnsi="Georgia"/>
                <w:b/>
                <w:bCs/>
                <w:color w:val="0F7C82"/>
                <w:sz w:val="22"/>
                <w:szCs w:val="22"/>
              </w:rPr>
              <w:t xml:space="preserve">Examples:</w:t>
            </w:r>
          </w:p>
          <w:p>
            <w:pPr>
              <w:pStyle w:val="ListParagraph"/>
              <w:numPr>
                <w:ilvl w:val="0"/>
                <w:numId w:val="2"/>
              </w:numPr>
              <w:spacing w:after="80"/>
            </w:pPr>
            <w:r>
              <w:rPr>
                <w:rFonts w:ascii="Calibri" w:cs="Calibri" w:eastAsia="Calibri" w:hAnsi="Calibri"/>
                <w:sz w:val="22"/>
                <w:szCs w:val="22"/>
              </w:rPr>
              <w:t xml:space="preserve">Google: Decides to collect search history to improve services (purpose) using automated algorithms (means)</w:t>
            </w:r>
          </w:p>
          <w:p>
            <w:pPr>
              <w:pStyle w:val="ListParagraph"/>
              <w:numPr>
                <w:ilvl w:val="0"/>
                <w:numId w:val="2"/>
              </w:numPr>
              <w:spacing w:after="80"/>
            </w:pPr>
            <w:r>
              <w:rPr>
                <w:rFonts w:ascii="Calibri" w:cs="Calibri" w:eastAsia="Calibri" w:hAnsi="Calibri"/>
                <w:sz w:val="22"/>
                <w:szCs w:val="22"/>
              </w:rPr>
              <w:t xml:space="preserve">Hospital: Collects patient data for treatment (purpose) through electronic health records (means)</w:t>
            </w:r>
          </w:p>
          <w:p>
            <w:pPr>
              <w:pStyle w:val="ListParagraph"/>
              <w:numPr>
                <w:ilvl w:val="0"/>
                <w:numId w:val="2"/>
              </w:numPr>
              <w:spacing w:after="80"/>
            </w:pPr>
            <w:r>
              <w:rPr>
                <w:rFonts w:ascii="Calibri" w:cs="Calibri" w:eastAsia="Calibri" w:hAnsi="Calibri"/>
                <w:sz w:val="22"/>
                <w:szCs w:val="22"/>
              </w:rPr>
              <w:t xml:space="preserve">E-commerce Site: Gathers purchase data to fulfill orders (purpose) via its website and app (means)</w:t>
            </w:r>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EAF2FA"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2. Data Principal [Section 2(j)]</w:t>
            </w:r>
          </w:p>
          <w:p>
            <w:pPr>
              <w:spacing w:after="80"/>
            </w:pPr>
            <w:r>
              <w:rPr>
                <w:rFonts w:ascii="Calibri" w:cs="Calibri" w:eastAsia="Calibri" w:hAnsi="Calibri"/>
                <w:b/>
                <w:bCs/>
                <w:sz w:val="22"/>
                <w:szCs w:val="22"/>
              </w:rPr>
              <w:t xml:space="preserve">Legal Definition: </w:t>
            </w:r>
            <w:r>
              <w:rPr>
                <w:rFonts w:ascii="Calibri" w:cs="Calibri" w:eastAsia="Calibri" w:hAnsi="Calibri"/>
                <w:sz w:val="22"/>
                <w:szCs w:val="22"/>
              </w:rPr>
              <w:t xml:space="preserve">The individual to whom the personal data relates.</w:t>
            </w:r>
          </w:p>
          <w:p>
            <w:pPr>
              <w:spacing w:after="80"/>
            </w:pPr>
            <w:r>
              <w:rPr>
                <w:rFonts w:ascii="Calibri" w:cs="Calibri" w:eastAsia="Calibri" w:hAnsi="Calibri"/>
                <w:b/>
                <w:bCs/>
                <w:sz w:val="22"/>
                <w:szCs w:val="22"/>
              </w:rPr>
              <w:t xml:space="preserve">Plain English: </w:t>
            </w:r>
            <w:r>
              <w:rPr>
                <w:rFonts w:ascii="Calibri" w:cs="Calibri" w:eastAsia="Calibri" w:hAnsi="Calibri"/>
                <w:sz w:val="22"/>
                <w:szCs w:val="22"/>
              </w:rPr>
              <w:t xml:space="preserve">The Data Principal is YOU — the person whose data is being collected, stored, or used. Every Indian whose personal data is processed has rights under DPDPA.</w:t>
            </w:r>
          </w:p>
          <w:p>
            <w:pPr>
              <w:spacing w:after="100" w:before="200"/>
            </w:pPr>
            <w:r>
              <w:rPr>
                <w:rFonts w:ascii="Georgia" w:cs="Georgia" w:eastAsia="Georgia" w:hAnsi="Georgia"/>
                <w:b/>
                <w:bCs/>
                <w:color w:val="0F7C82"/>
                <w:sz w:val="22"/>
                <w:szCs w:val="22"/>
              </w:rPr>
              <w:t xml:space="preserve">Examples:</w:t>
            </w:r>
          </w:p>
          <w:p>
            <w:pPr>
              <w:pStyle w:val="ListParagraph"/>
              <w:numPr>
                <w:ilvl w:val="0"/>
                <w:numId w:val="2"/>
              </w:numPr>
              <w:spacing w:after="80"/>
            </w:pPr>
            <w:r>
              <w:rPr>
                <w:rFonts w:ascii="Calibri" w:cs="Calibri" w:eastAsia="Calibri" w:hAnsi="Calibri"/>
                <w:sz w:val="22"/>
                <w:szCs w:val="22"/>
              </w:rPr>
              <w:t xml:space="preserve">Rajesh: Books a flight online → He is the Data Principal; the airline is the Data Fiduciary</w:t>
            </w:r>
          </w:p>
          <w:p>
            <w:pPr>
              <w:pStyle w:val="ListParagraph"/>
              <w:numPr>
                <w:ilvl w:val="0"/>
                <w:numId w:val="2"/>
              </w:numPr>
              <w:spacing w:after="80"/>
            </w:pPr>
            <w:r>
              <w:rPr>
                <w:rFonts w:ascii="Calibri" w:cs="Calibri" w:eastAsia="Calibri" w:hAnsi="Calibri"/>
                <w:sz w:val="22"/>
                <w:szCs w:val="22"/>
              </w:rPr>
              <w:t xml:space="preserve">Priya: Uploads her KYC documents to a fintech app → She is the Data Principal; the fintech company is the Data Fiduciary</w:t>
            </w:r>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EAF2FA"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3. Personal Data [Section 2(t)]</w:t>
            </w:r>
          </w:p>
          <w:p>
            <w:pPr>
              <w:spacing w:after="80"/>
            </w:pPr>
            <w:r>
              <w:rPr>
                <w:rFonts w:ascii="Calibri" w:cs="Calibri" w:eastAsia="Calibri" w:hAnsi="Calibri"/>
                <w:b/>
                <w:bCs/>
                <w:sz w:val="22"/>
                <w:szCs w:val="22"/>
              </w:rPr>
              <w:t xml:space="preserve">Legal Definition: </w:t>
            </w:r>
            <w:r>
              <w:rPr>
                <w:rFonts w:ascii="Calibri" w:cs="Calibri" w:eastAsia="Calibri" w:hAnsi="Calibri"/>
                <w:sz w:val="22"/>
                <w:szCs w:val="22"/>
              </w:rPr>
              <w:t xml:space="preserve">Data about an individual who is identifiable by or in relation to such data.</w:t>
            </w:r>
          </w:p>
          <w:p>
            <w:pPr>
              <w:spacing w:after="80"/>
            </w:pPr>
            <w:r>
              <w:rPr>
                <w:rFonts w:ascii="Calibri" w:cs="Calibri" w:eastAsia="Calibri" w:hAnsi="Calibri"/>
                <w:b/>
                <w:bCs/>
                <w:sz w:val="22"/>
                <w:szCs w:val="22"/>
              </w:rPr>
              <w:t xml:space="preserve">Plain English: </w:t>
            </w:r>
            <w:r>
              <w:rPr>
                <w:rFonts w:ascii="Calibri" w:cs="Calibri" w:eastAsia="Calibri" w:hAnsi="Calibri"/>
                <w:sz w:val="22"/>
                <w:szCs w:val="22"/>
              </w:rPr>
              <w:t xml:space="preserve">Any information that can identify a specific person, either directly (name, photo) or indirectly (IP address, device ID).</w:t>
            </w:r>
          </w:p>
          <w:p>
            <w:pPr>
              <w:spacing w:after="100" w:before="200"/>
            </w:pPr>
            <w:r>
              <w:rPr>
                <w:rFonts w:ascii="Georgia" w:cs="Georgia" w:eastAsia="Georgia" w:hAnsi="Georgia"/>
                <w:b/>
                <w:bCs/>
                <w:color w:val="0F7C82"/>
                <w:sz w:val="22"/>
                <w:szCs w:val="22"/>
              </w:rPr>
              <w:t xml:space="preserve">What is Personal Data:</w:t>
            </w:r>
          </w:p>
          <w:p>
            <w:pPr>
              <w:pStyle w:val="ListParagraph"/>
              <w:numPr>
                <w:ilvl w:val="0"/>
                <w:numId w:val="2"/>
              </w:numPr>
              <w:spacing w:after="80"/>
            </w:pPr>
            <w:r>
              <w:rPr>
                <w:rFonts w:ascii="Calibri" w:cs="Calibri" w:eastAsia="Calibri" w:hAnsi="Calibri"/>
                <w:sz w:val="22"/>
                <w:szCs w:val="22"/>
              </w:rPr>
              <w:t xml:space="preserve">Name, address, phone number, email</w:t>
            </w:r>
          </w:p>
          <w:p>
            <w:pPr>
              <w:pStyle w:val="ListParagraph"/>
              <w:numPr>
                <w:ilvl w:val="0"/>
                <w:numId w:val="2"/>
              </w:numPr>
              <w:spacing w:after="80"/>
            </w:pPr>
            <w:r>
              <w:rPr>
                <w:rFonts w:ascii="Calibri" w:cs="Calibri" w:eastAsia="Calibri" w:hAnsi="Calibri"/>
                <w:sz w:val="22"/>
                <w:szCs w:val="22"/>
              </w:rPr>
              <w:t xml:space="preserve">Aadhaar number, PAN card, passport number</w:t>
            </w:r>
          </w:p>
          <w:p>
            <w:pPr>
              <w:pStyle w:val="ListParagraph"/>
              <w:numPr>
                <w:ilvl w:val="0"/>
                <w:numId w:val="2"/>
              </w:numPr>
              <w:spacing w:after="80"/>
            </w:pPr>
            <w:r>
              <w:rPr>
                <w:rFonts w:ascii="Calibri" w:cs="Calibri" w:eastAsia="Calibri" w:hAnsi="Calibri"/>
                <w:sz w:val="22"/>
                <w:szCs w:val="22"/>
              </w:rPr>
              <w:t xml:space="preserve">Photographs, biometric data (fingerprints, iris scans)</w:t>
            </w:r>
          </w:p>
          <w:p>
            <w:pPr>
              <w:pStyle w:val="ListParagraph"/>
              <w:numPr>
                <w:ilvl w:val="0"/>
                <w:numId w:val="2"/>
              </w:numPr>
              <w:spacing w:after="80"/>
            </w:pPr>
            <w:r>
              <w:rPr>
                <w:rFonts w:ascii="Calibri" w:cs="Calibri" w:eastAsia="Calibri" w:hAnsi="Calibri"/>
                <w:sz w:val="22"/>
                <w:szCs w:val="22"/>
              </w:rPr>
              <w:t xml:space="preserve">IP addresses, device IDs, cookies</w:t>
            </w:r>
          </w:p>
          <w:p>
            <w:pPr>
              <w:pStyle w:val="ListParagraph"/>
              <w:numPr>
                <w:ilvl w:val="0"/>
                <w:numId w:val="2"/>
              </w:numPr>
              <w:spacing w:after="80"/>
            </w:pPr>
            <w:r>
              <w:rPr>
                <w:rFonts w:ascii="Calibri" w:cs="Calibri" w:eastAsia="Calibri" w:hAnsi="Calibri"/>
                <w:sz w:val="22"/>
                <w:szCs w:val="22"/>
              </w:rPr>
              <w:t xml:space="preserve">Location data, GPS coordinates</w:t>
            </w:r>
          </w:p>
          <w:p>
            <w:pPr>
              <w:pStyle w:val="ListParagraph"/>
              <w:numPr>
                <w:ilvl w:val="0"/>
                <w:numId w:val="2"/>
              </w:numPr>
              <w:spacing w:after="80"/>
            </w:pPr>
            <w:r>
              <w:rPr>
                <w:rFonts w:ascii="Calibri" w:cs="Calibri" w:eastAsia="Calibri" w:hAnsi="Calibri"/>
                <w:sz w:val="22"/>
                <w:szCs w:val="22"/>
              </w:rPr>
              <w:t xml:space="preserve">Health records, medical history</w:t>
            </w:r>
          </w:p>
          <w:p>
            <w:pPr>
              <w:pStyle w:val="ListParagraph"/>
              <w:numPr>
                <w:ilvl w:val="0"/>
                <w:numId w:val="2"/>
              </w:numPr>
              <w:spacing w:after="80"/>
            </w:pPr>
            <w:r>
              <w:rPr>
                <w:rFonts w:ascii="Calibri" w:cs="Calibri" w:eastAsia="Calibri" w:hAnsi="Calibri"/>
                <w:sz w:val="22"/>
                <w:szCs w:val="22"/>
              </w:rPr>
              <w:t xml:space="preserve">Financial information, bank account details</w:t>
            </w:r>
          </w:p>
        </w:tc>
      </w:tr>
    </w:tbl>
    <w:p>
      <w:pPr>
        <w:spacing w:after="150"/>
      </w:pPr>
    </w:p>
    <w:tbl>
      <w:tblPr>
        <w:tblW w:type="pct" w:w="100%"/>
        <w:tblBorders>
          <w:top w:val="single" w:color="C79A3C" w:sz="6"/>
          <w:left w:val="single" w:color="C79A3C" w:sz="24"/>
          <w:bottom w:val="single" w:color="C79A3C" w:sz="6"/>
          <w:right w:val="single" w:color="C79A3C" w:sz="6"/>
          <w:insideH w:val="single" w:color="auto" w:sz="4"/>
          <w:insideV w:val="single" w:color="auto" w:sz="4"/>
        </w:tblBorders>
      </w:tblPr>
      <w:tblGrid>
        <w:gridCol w:w="100"/>
      </w:tblGrid>
      <w:tr>
        <w:tc>
          <w:tcPr>
            <w:shd w:fill="FBF3DF" w:val="clear"/>
            <w:tcMar>
              <w:top w:type="dxa" w:w="150"/>
              <w:left w:type="dxa" w:w="200"/>
              <w:bottom w:type="dxa" w:w="150"/>
              <w:right w:type="dxa" w:w="200"/>
            </w:tcMar>
          </w:tcPr>
          <w:p>
            <w:pPr>
              <w:spacing w:after="100"/>
            </w:pPr>
            <w:r>
              <w:rPr>
                <w:rFonts w:ascii="Georgia" w:cs="Georgia" w:eastAsia="Georgia" w:hAnsi="Georgia"/>
                <w:b/>
                <w:bCs/>
                <w:color w:val="8A6D1E"/>
                <w:sz w:val="22"/>
                <w:szCs w:val="22"/>
              </w:rPr>
              <w:t xml:space="preserve">💡 Important Note: Sensitive Personal Data</w:t>
            </w:r>
          </w:p>
          <w:p>
            <w:pPr>
              <w:spacing w:after="120"/>
            </w:pPr>
            <w:r>
              <w:rPr>
                <w:rFonts w:ascii="Calibri" w:cs="Calibri" w:eastAsia="Calibri" w:hAnsi="Calibri"/>
                <w:sz w:val="22"/>
                <w:szCs w:val="22"/>
              </w:rPr>
              <w:t xml:space="preserve">Unlike the earlier IT Act 2000 and some global laws, DPDPA 2023 does NOT have a separate category for “Sensitive Personal Data.” All personal data receives the same level of protection, though Data Protection Board can issue sector-specific guidelines.</w:t>
            </w:r>
          </w:p>
        </w:tc>
      </w:tr>
    </w:tbl>
    <w:p>
      <w:r>
        <w:br w:type="page"/>
      </w: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EAF2FA"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4. Processing [Section 2(x)]</w:t>
            </w:r>
          </w:p>
          <w:p>
            <w:pPr>
              <w:spacing w:after="80"/>
            </w:pPr>
            <w:r>
              <w:rPr>
                <w:rFonts w:ascii="Calibri" w:cs="Calibri" w:eastAsia="Calibri" w:hAnsi="Calibri"/>
                <w:b/>
                <w:bCs/>
                <w:sz w:val="22"/>
                <w:szCs w:val="22"/>
              </w:rPr>
              <w:t xml:space="preserve">Legal Definition: </w:t>
            </w:r>
            <w:r>
              <w:rPr>
                <w:rFonts w:ascii="Calibri" w:cs="Calibri" w:eastAsia="Calibri" w:hAnsi="Calibri"/>
                <w:sz w:val="22"/>
                <w:szCs w:val="22"/>
              </w:rPr>
              <w:t xml:space="preserve">A wholly or partly automated operation or set of operations performed on digital personal data, including collection, recording, organization, structuring, storage, adaptation, alteration, retrieval, use, alignment, combination, indexing, disclosure by transmission, dissemination or otherwise making available, restriction, erasure or destruction.</w:t>
            </w:r>
          </w:p>
          <w:p>
            <w:pPr>
              <w:spacing w:after="80"/>
            </w:pPr>
            <w:r>
              <w:rPr>
                <w:rFonts w:ascii="Calibri" w:cs="Calibri" w:eastAsia="Calibri" w:hAnsi="Calibri"/>
                <w:b/>
                <w:bCs/>
                <w:sz w:val="22"/>
                <w:szCs w:val="22"/>
              </w:rPr>
              <w:t xml:space="preserve">Plain English: </w:t>
            </w:r>
            <w:r>
              <w:rPr>
                <w:rFonts w:ascii="Calibri" w:cs="Calibri" w:eastAsia="Calibri" w:hAnsi="Calibri"/>
                <w:sz w:val="22"/>
                <w:szCs w:val="22"/>
              </w:rPr>
              <w:t xml:space="preserve">Processing means ANYTHING you do with personal data — from the moment you collect it until you delete it.</w:t>
            </w:r>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EAF2FA"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5. Consent [Not defined in DPDPA but in The Indian Contract Act, 1872]</w:t>
            </w:r>
          </w:p>
          <w:p>
            <w:pPr>
              <w:spacing w:after="80"/>
            </w:pPr>
            <w:r>
              <w:rPr>
                <w:rFonts w:ascii="Calibri" w:cs="Calibri" w:eastAsia="Calibri" w:hAnsi="Calibri"/>
                <w:b/>
                <w:bCs/>
                <w:sz w:val="22"/>
                <w:szCs w:val="22"/>
              </w:rPr>
              <w:t xml:space="preserve">Legal Terminology: </w:t>
            </w:r>
            <w:r>
              <w:rPr>
                <w:rFonts w:ascii="Calibri" w:cs="Calibri" w:eastAsia="Calibri" w:hAnsi="Calibri"/>
                <w:sz w:val="22"/>
                <w:szCs w:val="22"/>
              </w:rPr>
              <w:t xml:space="preserve">(as construed from Section 6(1) of DPDPA) A freely given, specific, informed and unambiguous indication of the Data Principal's wishes by which she, by a statement or by a clear affirmative action, signifies agreement to the processing of her personal data. Section 13 of the Indian Contract Act, 1872, defines “Consent” as two or more persons agreeing upon the same thing in the same sense (consensus ad idem)</w:t>
            </w:r>
          </w:p>
          <w:p>
            <w:pPr>
              <w:spacing w:after="100" w:before="200"/>
            </w:pPr>
            <w:r>
              <w:rPr>
                <w:rFonts w:ascii="Georgia" w:cs="Georgia" w:eastAsia="Georgia" w:hAnsi="Georgia"/>
                <w:b/>
                <w:bCs/>
                <w:color w:val="1E7A3D"/>
                <w:sz w:val="22"/>
                <w:szCs w:val="22"/>
              </w:rPr>
              <w:t xml:space="preserve">Valid Consent Examples:</w:t>
            </w:r>
          </w:p>
          <w:p>
            <w:pPr>
              <w:pStyle w:val="ListParagraph"/>
              <w:numPr>
                <w:ilvl w:val="0"/>
                <w:numId w:val="2"/>
              </w:numPr>
              <w:spacing w:after="80"/>
            </w:pPr>
            <w:r>
              <w:rPr>
                <w:rFonts w:ascii="Calibri" w:cs="Calibri" w:eastAsia="Calibri" w:hAnsi="Calibri"/>
                <w:sz w:val="22"/>
                <w:szCs w:val="22"/>
              </w:rPr>
              <w:t xml:space="preserve">Checkbox (unchecked by default) with clear explanation: “I consent to ABC Company using my email for marketing newsletters”</w:t>
            </w:r>
          </w:p>
          <w:p>
            <w:pPr>
              <w:pStyle w:val="ListParagraph"/>
              <w:numPr>
                <w:ilvl w:val="0"/>
                <w:numId w:val="2"/>
              </w:numPr>
              <w:spacing w:after="80"/>
            </w:pPr>
            <w:r>
              <w:rPr>
                <w:rFonts w:ascii="Calibri" w:cs="Calibri" w:eastAsia="Calibri" w:hAnsi="Calibri"/>
                <w:sz w:val="22"/>
                <w:szCs w:val="22"/>
              </w:rPr>
              <w:t xml:space="preserve">Toggle switch with layered information: “Allow app to access location for delivery tracking”</w:t>
            </w:r>
          </w:p>
          <w:p>
            <w:pPr>
              <w:spacing w:after="100" w:before="200"/>
            </w:pPr>
            <w:r>
              <w:rPr>
                <w:rFonts w:ascii="Georgia" w:cs="Georgia" w:eastAsia="Georgia" w:hAnsi="Georgia"/>
                <w:b/>
                <w:bCs/>
                <w:color w:val="E1604B"/>
                <w:sz w:val="22"/>
                <w:szCs w:val="22"/>
              </w:rPr>
              <w:t xml:space="preserve">Invalid Consent Examples:</w:t>
            </w:r>
          </w:p>
          <w:p>
            <w:pPr>
              <w:pStyle w:val="ListParagraph"/>
              <w:numPr>
                <w:ilvl w:val="0"/>
                <w:numId w:val="2"/>
              </w:numPr>
              <w:spacing w:after="80"/>
            </w:pPr>
            <w:r>
              <w:rPr>
                <w:rFonts w:ascii="Calibri" w:cs="Calibri" w:eastAsia="Calibri" w:hAnsi="Calibri"/>
                <w:sz w:val="22"/>
                <w:szCs w:val="22"/>
              </w:rPr>
              <w:t xml:space="preserve">Pre-checked boxes (not freely given)</w:t>
            </w:r>
          </w:p>
          <w:p>
            <w:pPr>
              <w:pStyle w:val="ListParagraph"/>
              <w:numPr>
                <w:ilvl w:val="0"/>
                <w:numId w:val="2"/>
              </w:numPr>
              <w:spacing w:after="80"/>
            </w:pPr>
            <w:r>
              <w:rPr>
                <w:rFonts w:ascii="Calibri" w:cs="Calibri" w:eastAsia="Calibri" w:hAnsi="Calibri"/>
                <w:sz w:val="22"/>
                <w:szCs w:val="22"/>
              </w:rPr>
              <w:t xml:space="preserve">“Accept all or leave” scenarios (coercion)</w:t>
            </w:r>
          </w:p>
          <w:p>
            <w:pPr>
              <w:pStyle w:val="ListParagraph"/>
              <w:numPr>
                <w:ilvl w:val="0"/>
                <w:numId w:val="2"/>
              </w:numPr>
              <w:spacing w:after="80"/>
            </w:pPr>
            <w:r>
              <w:rPr>
                <w:rFonts w:ascii="Calibri" w:cs="Calibri" w:eastAsia="Calibri" w:hAnsi="Calibri"/>
                <w:sz w:val="22"/>
                <w:szCs w:val="22"/>
              </w:rPr>
              <w:t xml:space="preserve">Vague statements like “We may use your data for various purposes” (not specific)</w:t>
            </w:r>
          </w:p>
          <w:p>
            <w:pPr>
              <w:pStyle w:val="ListParagraph"/>
              <w:numPr>
                <w:ilvl w:val="0"/>
                <w:numId w:val="2"/>
              </w:numPr>
              <w:spacing w:after="80"/>
            </w:pPr>
            <w:r>
              <w:rPr>
                <w:rFonts w:ascii="Calibri" w:cs="Calibri" w:eastAsia="Calibri" w:hAnsi="Calibri"/>
                <w:sz w:val="22"/>
                <w:szCs w:val="22"/>
              </w:rPr>
              <w:t xml:space="preserve">Buried in lengthy terms and conditions (not informed)</w:t>
            </w:r>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EAF2FA"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6. Significant Data Fiduciary [Section 10]</w:t>
            </w:r>
          </w:p>
          <w:p>
            <w:pPr>
              <w:spacing w:after="80"/>
            </w:pPr>
            <w:r>
              <w:rPr>
                <w:rFonts w:ascii="Calibri" w:cs="Calibri" w:eastAsia="Calibri" w:hAnsi="Calibri"/>
                <w:b/>
                <w:bCs/>
                <w:sz w:val="22"/>
                <w:szCs w:val="22"/>
              </w:rPr>
              <w:t xml:space="preserve">Legal Definition: </w:t>
            </w:r>
            <w:r>
              <w:rPr>
                <w:rFonts w:ascii="Calibri" w:cs="Calibri" w:eastAsia="Calibri" w:hAnsi="Calibri"/>
                <w:sz w:val="22"/>
                <w:szCs w:val="22"/>
              </w:rPr>
              <w:t xml:space="preserve">A Data Fiduciary or class of Data Fiduciaries as may be notified by the Central Government based on specified criteria.</w:t>
            </w:r>
          </w:p>
          <w:p>
            <w:pPr>
              <w:spacing w:after="80"/>
            </w:pPr>
            <w:r>
              <w:rPr>
                <w:rFonts w:ascii="Calibri" w:cs="Calibri" w:eastAsia="Calibri" w:hAnsi="Calibri"/>
                <w:b/>
                <w:bCs/>
                <w:sz w:val="22"/>
                <w:szCs w:val="22"/>
              </w:rPr>
              <w:t xml:space="preserve">Plain English: </w:t>
            </w:r>
            <w:r>
              <w:rPr>
                <w:rFonts w:ascii="Calibri" w:cs="Calibri" w:eastAsia="Calibri" w:hAnsi="Calibri"/>
                <w:sz w:val="22"/>
                <w:szCs w:val="22"/>
              </w:rPr>
              <w:t xml:space="preserve"/>
            </w:r>
          </w:p>
          <w:p>
            <w:pPr>
              <w:spacing w:after="100" w:before="200"/>
            </w:pPr>
            <w:r>
              <w:rPr>
                <w:rFonts w:ascii="Georgia" w:cs="Georgia" w:eastAsia="Georgia" w:hAnsi="Georgia"/>
                <w:b/>
                <w:bCs/>
                <w:color w:val="0F7C82"/>
                <w:sz w:val="22"/>
                <w:szCs w:val="22"/>
              </w:rPr>
              <w:t xml:space="preserve">Criteria for SDF Designation:</w:t>
            </w:r>
          </w:p>
          <w:p>
            <w:pPr>
              <w:pStyle w:val="ListParagraph"/>
              <w:numPr>
                <w:ilvl w:val="0"/>
                <w:numId w:val="2"/>
              </w:numPr>
              <w:spacing w:after="80"/>
            </w:pPr>
            <w:r>
              <w:rPr>
                <w:rFonts w:ascii="Calibri" w:cs="Calibri" w:eastAsia="Calibri" w:hAnsi="Calibri"/>
                <w:sz w:val="22"/>
                <w:szCs w:val="22"/>
              </w:rPr>
              <w:t xml:space="preserve">Volume and sensitivity of personal data processed</w:t>
            </w:r>
          </w:p>
          <w:p>
            <w:pPr>
              <w:pStyle w:val="ListParagraph"/>
              <w:numPr>
                <w:ilvl w:val="0"/>
                <w:numId w:val="2"/>
              </w:numPr>
              <w:spacing w:after="80"/>
            </w:pPr>
            <w:r>
              <w:rPr>
                <w:rFonts w:ascii="Calibri" w:cs="Calibri" w:eastAsia="Calibri" w:hAnsi="Calibri"/>
                <w:sz w:val="22"/>
                <w:szCs w:val="22"/>
              </w:rPr>
              <w:t xml:space="preserve">Risk to rights of Data Principals</w:t>
            </w:r>
          </w:p>
          <w:p>
            <w:pPr>
              <w:pStyle w:val="ListParagraph"/>
              <w:numPr>
                <w:ilvl w:val="0"/>
                <w:numId w:val="2"/>
              </w:numPr>
              <w:spacing w:after="80"/>
            </w:pPr>
            <w:r>
              <w:rPr>
                <w:rFonts w:ascii="Calibri" w:cs="Calibri" w:eastAsia="Calibri" w:hAnsi="Calibri"/>
                <w:sz w:val="22"/>
                <w:szCs w:val="22"/>
              </w:rPr>
              <w:t xml:space="preserve">Potential impact on sovereignty and integrity of India</w:t>
            </w:r>
          </w:p>
          <w:p>
            <w:pPr>
              <w:pStyle w:val="ListParagraph"/>
              <w:numPr>
                <w:ilvl w:val="0"/>
                <w:numId w:val="2"/>
              </w:numPr>
              <w:spacing w:after="80"/>
            </w:pPr>
            <w:r>
              <w:rPr>
                <w:rFonts w:ascii="Calibri" w:cs="Calibri" w:eastAsia="Calibri" w:hAnsi="Calibri"/>
                <w:sz w:val="22"/>
                <w:szCs w:val="22"/>
              </w:rPr>
              <w:t xml:space="preserve">Risk to electoral democracy</w:t>
            </w:r>
          </w:p>
          <w:p>
            <w:pPr>
              <w:pStyle w:val="ListParagraph"/>
              <w:numPr>
                <w:ilvl w:val="0"/>
                <w:numId w:val="2"/>
              </w:numPr>
              <w:spacing w:after="80"/>
            </w:pPr>
            <w:r>
              <w:rPr>
                <w:rFonts w:ascii="Calibri" w:cs="Calibri" w:eastAsia="Calibri" w:hAnsi="Calibri"/>
                <w:sz w:val="22"/>
                <w:szCs w:val="22"/>
              </w:rPr>
              <w:t xml:space="preserve">Security of the State</w:t>
            </w:r>
          </w:p>
          <w:p>
            <w:pPr>
              <w:pStyle w:val="ListParagraph"/>
              <w:numPr>
                <w:ilvl w:val="0"/>
                <w:numId w:val="2"/>
              </w:numPr>
              <w:spacing w:after="80"/>
            </w:pPr>
            <w:r>
              <w:rPr>
                <w:rFonts w:ascii="Calibri" w:cs="Calibri" w:eastAsia="Calibri" w:hAnsi="Calibri"/>
                <w:sz w:val="22"/>
                <w:szCs w:val="22"/>
              </w:rPr>
              <w:t xml:space="preserve">Public order</w:t>
            </w:r>
          </w:p>
        </w:tc>
      </w:tr>
    </w:tbl>
    <w:p>
      <w:pPr>
        <w:spacing w:after="150"/>
      </w:pP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 Comprehensive Real-World Example</w:t>
            </w:r>
          </w:p>
          <w:p>
            <w:pPr>
              <w:spacing w:after="100" w:before="200"/>
            </w:pPr>
            <w:r>
              <w:rPr>
                <w:rFonts w:ascii="Georgia" w:cs="Georgia" w:eastAsia="Georgia" w:hAnsi="Georgia"/>
                <w:b/>
                <w:bCs/>
                <w:color w:val="1E7A3D"/>
                <w:sz w:val="22"/>
                <w:szCs w:val="22"/>
              </w:rPr>
              <w:t xml:space="preserve">Scenario: Online Shopping</w:t>
            </w:r>
          </w:p>
          <w:p>
            <w:pPr>
              <w:spacing w:after="80"/>
            </w:pPr>
            <w:r>
              <w:rPr>
                <w:rFonts w:ascii="Calibri" w:cs="Calibri" w:eastAsia="Calibri" w:hAnsi="Calibri"/>
                <w:b/>
                <w:bCs/>
                <w:sz w:val="22"/>
                <w:szCs w:val="22"/>
              </w:rPr>
              <w:t xml:space="preserve">Data Principal: </w:t>
            </w:r>
            <w:r>
              <w:rPr>
                <w:rFonts w:ascii="Calibri" w:cs="Calibri" w:eastAsia="Calibri" w:hAnsi="Calibri"/>
                <w:sz w:val="22"/>
                <w:szCs w:val="22"/>
              </w:rPr>
              <w:t xml:space="preserve">Meera (the customer)</w:t>
            </w:r>
          </w:p>
          <w:p>
            <w:pPr>
              <w:spacing w:after="80"/>
            </w:pPr>
            <w:r>
              <w:rPr>
                <w:rFonts w:ascii="Calibri" w:cs="Calibri" w:eastAsia="Calibri" w:hAnsi="Calibri"/>
                <w:b/>
                <w:bCs/>
                <w:sz w:val="22"/>
                <w:szCs w:val="22"/>
              </w:rPr>
              <w:t xml:space="preserve">Personal Data: </w:t>
            </w:r>
            <w:r>
              <w:rPr>
                <w:rFonts w:ascii="Calibri" w:cs="Calibri" w:eastAsia="Calibri" w:hAnsi="Calibri"/>
                <w:sz w:val="22"/>
                <w:szCs w:val="22"/>
              </w:rPr>
              <w:t xml:space="preserve">Name, address, phone, email, payment details, browsing history</w:t>
            </w:r>
          </w:p>
          <w:p>
            <w:pPr>
              <w:spacing w:after="80"/>
            </w:pPr>
            <w:r>
              <w:rPr>
                <w:rFonts w:ascii="Calibri" w:cs="Calibri" w:eastAsia="Calibri" w:hAnsi="Calibri"/>
                <w:b/>
                <w:bCs/>
                <w:sz w:val="22"/>
                <w:szCs w:val="22"/>
              </w:rPr>
              <w:t xml:space="preserve">Data Fiduciary: </w:t>
            </w:r>
            <w:r>
              <w:rPr>
                <w:rFonts w:ascii="Calibri" w:cs="Calibri" w:eastAsia="Calibri" w:hAnsi="Calibri"/>
                <w:sz w:val="22"/>
                <w:szCs w:val="22"/>
              </w:rPr>
              <w:t xml:space="preserve">Amazon India (the e-commerce platform)</w:t>
            </w:r>
          </w:p>
          <w:p>
            <w:pPr>
              <w:spacing w:after="80"/>
            </w:pPr>
            <w:r>
              <w:rPr>
                <w:rFonts w:ascii="Calibri" w:cs="Calibri" w:eastAsia="Calibri" w:hAnsi="Calibri"/>
                <w:b/>
                <w:bCs/>
                <w:sz w:val="22"/>
                <w:szCs w:val="22"/>
              </w:rPr>
              <w:t xml:space="preserve">Data Processor: </w:t>
            </w:r>
            <w:r>
              <w:rPr>
                <w:rFonts w:ascii="Calibri" w:cs="Calibri" w:eastAsia="Calibri" w:hAnsi="Calibri"/>
                <w:sz w:val="22"/>
                <w:szCs w:val="22"/>
              </w:rPr>
              <w:t xml:space="preserve">Razorpay (payment gateway), AWS (cloud storage)</w:t>
            </w:r>
          </w:p>
          <w:p>
            <w:pPr>
              <w:spacing w:after="80"/>
            </w:pPr>
            <w:r>
              <w:rPr>
                <w:rFonts w:ascii="Calibri" w:cs="Calibri" w:eastAsia="Calibri" w:hAnsi="Calibri"/>
                <w:b/>
                <w:bCs/>
                <w:sz w:val="22"/>
                <w:szCs w:val="22"/>
              </w:rPr>
              <w:t xml:space="preserve">Processing: </w:t>
            </w:r>
            <w:r>
              <w:rPr>
                <w:rFonts w:ascii="Calibri" w:cs="Calibri" w:eastAsia="Calibri" w:hAnsi="Calibri"/>
                <w:sz w:val="22"/>
                <w:szCs w:val="22"/>
              </w:rPr>
              <w:t xml:space="preserve">Collection (order form), storage (database), use (order fulfillment), sharing (with delivery partner)</w:t>
            </w:r>
          </w:p>
          <w:p>
            <w:pPr>
              <w:spacing w:after="80"/>
            </w:pPr>
            <w:r>
              <w:rPr>
                <w:rFonts w:ascii="Calibri" w:cs="Calibri" w:eastAsia="Calibri" w:hAnsi="Calibri"/>
                <w:b/>
                <w:bCs/>
                <w:sz w:val="22"/>
                <w:szCs w:val="22"/>
              </w:rPr>
              <w:t xml:space="preserve">Consent: </w:t>
            </w:r>
            <w:r>
              <w:rPr>
                <w:rFonts w:ascii="Calibri" w:cs="Calibri" w:eastAsia="Calibri" w:hAnsi="Calibri"/>
                <w:sz w:val="22"/>
                <w:szCs w:val="22"/>
              </w:rPr>
              <w:t xml:space="preserve">Meera checks box: “I agree to Amazon processing my data for order delivery”</w:t>
            </w:r>
          </w:p>
        </w:tc>
      </w:tr>
    </w:tbl>
    <w:p>
      <w:pPr>
        <w:spacing w:after="150"/>
      </w:pP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 Key Takeaways</w:t>
            </w:r>
          </w:p>
          <w:p>
            <w:pPr>
              <w:pStyle w:val="ListParagraph"/>
              <w:numPr>
                <w:ilvl w:val="0"/>
                <w:numId w:val="2"/>
              </w:numPr>
              <w:spacing w:after="60"/>
            </w:pPr>
            <w:r>
              <w:rPr>
                <w:rFonts w:ascii="Calibri" w:cs="Calibri" w:eastAsia="Calibri" w:hAnsi="Calibri"/>
                <w:sz w:val="21"/>
                <w:szCs w:val="21"/>
              </w:rPr>
              <w:t xml:space="preserve">Data Fiduciary = Organization that controls data (decides why and how)</w:t>
            </w:r>
          </w:p>
          <w:p>
            <w:pPr>
              <w:pStyle w:val="ListParagraph"/>
              <w:numPr>
                <w:ilvl w:val="0"/>
                <w:numId w:val="2"/>
              </w:numPr>
              <w:spacing w:after="60"/>
            </w:pPr>
            <w:r>
              <w:rPr>
                <w:rFonts w:ascii="Calibri" w:cs="Calibri" w:eastAsia="Calibri" w:hAnsi="Calibri"/>
                <w:sz w:val="21"/>
                <w:szCs w:val="21"/>
              </w:rPr>
              <w:t xml:space="preserve">Data Principal = Individual whose data is processed (has rights)</w:t>
            </w:r>
          </w:p>
          <w:p>
            <w:pPr>
              <w:pStyle w:val="ListParagraph"/>
              <w:numPr>
                <w:ilvl w:val="0"/>
                <w:numId w:val="2"/>
              </w:numPr>
              <w:spacing w:after="60"/>
            </w:pPr>
            <w:r>
              <w:rPr>
                <w:rFonts w:ascii="Calibri" w:cs="Calibri" w:eastAsia="Calibri" w:hAnsi="Calibri"/>
                <w:sz w:val="21"/>
                <w:szCs w:val="21"/>
              </w:rPr>
              <w:t xml:space="preserve">Personal Data = Any information that can identify a person</w:t>
            </w:r>
          </w:p>
          <w:p>
            <w:pPr>
              <w:pStyle w:val="ListParagraph"/>
              <w:numPr>
                <w:ilvl w:val="0"/>
                <w:numId w:val="2"/>
              </w:numPr>
              <w:spacing w:after="60"/>
            </w:pPr>
            <w:r>
              <w:rPr>
                <w:rFonts w:ascii="Calibri" w:cs="Calibri" w:eastAsia="Calibri" w:hAnsi="Calibri"/>
                <w:sz w:val="21"/>
                <w:szCs w:val="21"/>
              </w:rPr>
              <w:t xml:space="preserve">Processing = Everything from collection to deletion</w:t>
            </w:r>
          </w:p>
          <w:p>
            <w:pPr>
              <w:pStyle w:val="ListParagraph"/>
              <w:numPr>
                <w:ilvl w:val="0"/>
                <w:numId w:val="2"/>
              </w:numPr>
              <w:spacing w:after="60"/>
            </w:pPr>
            <w:r>
              <w:rPr>
                <w:rFonts w:ascii="Calibri" w:cs="Calibri" w:eastAsia="Calibri" w:hAnsi="Calibri"/>
                <w:sz w:val="21"/>
                <w:szCs w:val="21"/>
              </w:rPr>
              <w:t xml:space="preserve">Consent must be freely given, specific, informed, and unambiguous</w:t>
            </w:r>
          </w:p>
          <w:p>
            <w:pPr>
              <w:pStyle w:val="ListParagraph"/>
              <w:numPr>
                <w:ilvl w:val="0"/>
                <w:numId w:val="2"/>
              </w:numPr>
              <w:spacing w:after="60"/>
            </w:pPr>
            <w:r>
              <w:rPr>
                <w:rFonts w:ascii="Calibri" w:cs="Calibri" w:eastAsia="Calibri" w:hAnsi="Calibri"/>
                <w:sz w:val="21"/>
                <w:szCs w:val="21"/>
              </w:rPr>
              <w:t xml:space="preserve">DPDPA does NOT separately define “sensitive” personal data</w:t>
            </w:r>
          </w:p>
        </w:tc>
      </w:tr>
    </w:tbl>
    <w:p>
      <w:r>
        <w:br w:type="page"/>
      </w:r>
    </w:p>
    <w:p>
      <w:pPr>
        <w:pStyle w:val="Heading1"/>
        <w:pBdr>
          <w:bottom w:val="single" w:color="1B2A4A" w:sz="12" w:space="4"/>
        </w:pBdr>
        <w:spacing w:after="200" w:before="400"/>
      </w:pPr>
      <w:r>
        <w:rPr>
          <w:rFonts w:ascii="Georgia" w:cs="Georgia" w:eastAsia="Georgia" w:hAnsi="Georgia"/>
          <w:b/>
          <w:bCs/>
          <w:color w:val="1B2A4A"/>
          <w:sz w:val="32"/>
          <w:szCs w:val="32"/>
        </w:rPr>
        <w:t xml:space="preserve">4. Scope and Applicability</w:t>
      </w:r>
    </w:p>
    <w:p>
      <w:pPr>
        <w:spacing w:after="120"/>
      </w:pPr>
      <w:r>
        <w:rPr>
          <w:rFonts w:ascii="Calibri" w:cs="Calibri" w:eastAsia="Calibri" w:hAnsi="Calibri"/>
          <w:sz w:val="22"/>
          <w:szCs w:val="22"/>
        </w:rPr>
        <w:t xml:space="preserve">Understanding WHERE and WHEN DPDPA applies is crucial for compliance. The Act has both territorial and extraterritorial application, making it relevant not just for Indian companies but also for global organizations serving Indian customers.</w:t>
      </w:r>
    </w:p>
    <w:p>
      <w:pPr>
        <w:spacing w:after="150"/>
      </w:pPr>
    </w:p>
    <w:p>
      <w:pPr>
        <w:pStyle w:val="Heading2"/>
        <w:spacing w:after="150" w:before="300"/>
      </w:pPr>
      <w:r>
        <w:rPr>
          <w:rFonts w:ascii="Georgia" w:cs="Georgia" w:eastAsia="Georgia" w:hAnsi="Georgia"/>
          <w:b/>
          <w:bCs/>
          <w:color w:val="0F7C82"/>
          <w:sz w:val="26"/>
          <w:szCs w:val="26"/>
        </w:rPr>
        <w:t xml:space="preserve">Territorial Jurisdiction</w:t>
      </w:r>
    </w:p>
    <w:p>
      <w:pPr>
        <w:spacing w:after="120"/>
      </w:pPr>
      <w:r>
        <w:rPr>
          <w:rFonts w:ascii="Calibri" w:cs="Calibri" w:eastAsia="Calibri" w:hAnsi="Calibri"/>
          <w:b/>
          <w:bCs/>
          <w:sz w:val="22"/>
          <w:szCs w:val="22"/>
        </w:rPr>
        <w:t xml:space="preserve">Section 3 of DPDPA </w:t>
      </w:r>
      <w:r>
        <w:rPr>
          <w:rFonts w:ascii="Calibri" w:cs="Calibri" w:eastAsia="Calibri" w:hAnsi="Calibri"/>
          <w:sz w:val="22"/>
          <w:szCs w:val="22"/>
        </w:rPr>
        <w:t xml:space="preserve">establishes the territorial scope: DPDPA applies to the processing of digital personal data within the territory of India.</w:t>
      </w:r>
    </w:p>
    <w:p>
      <w:pPr>
        <w:spacing w:after="150"/>
      </w:pPr>
    </w:p>
    <w:p>
      <w:pPr>
        <w:pStyle w:val="Heading2"/>
        <w:spacing w:after="150" w:before="300"/>
      </w:pPr>
      <w:r>
        <w:rPr>
          <w:rFonts w:ascii="Georgia" w:cs="Georgia" w:eastAsia="Georgia" w:hAnsi="Georgia"/>
          <w:b/>
          <w:bCs/>
          <w:color w:val="0F7C82"/>
          <w:sz w:val="26"/>
          <w:szCs w:val="26"/>
        </w:rPr>
        <w:t xml:space="preserve">Extraterritorial Application</w:t>
      </w:r>
    </w:p>
    <w:p>
      <w:pPr>
        <w:spacing w:after="120"/>
      </w:pPr>
      <w:r>
        <w:rPr>
          <w:rFonts w:ascii="Calibri" w:cs="Calibri" w:eastAsia="Calibri" w:hAnsi="Calibri"/>
          <w:b/>
          <w:bCs/>
          <w:sz w:val="22"/>
          <w:szCs w:val="22"/>
        </w:rPr>
        <w:t xml:space="preserve">This is the game-changer: </w:t>
      </w:r>
      <w:r>
        <w:rPr>
          <w:rFonts w:ascii="Calibri" w:cs="Calibri" w:eastAsia="Calibri" w:hAnsi="Calibri"/>
          <w:sz w:val="22"/>
          <w:szCs w:val="22"/>
        </w:rPr>
        <w:t xml:space="preserve">DPDPA applies even to processing outside India if it relates to offering goods or services to Data Principals in India.</w:t>
      </w:r>
    </w:p>
    <w:p>
      <w:pPr>
        <w:spacing w:after="100"/>
      </w:pP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 Extraterritorial Application Examples</w:t>
            </w:r>
          </w:p>
          <w:p>
            <w:pPr>
              <w:spacing w:after="100" w:before="200"/>
            </w:pPr>
            <w:r>
              <w:rPr>
                <w:rFonts w:ascii="Georgia" w:cs="Georgia" w:eastAsia="Georgia" w:hAnsi="Georgia"/>
                <w:b/>
                <w:bCs/>
                <w:color w:val="1E7A3D"/>
                <w:sz w:val="22"/>
                <w:szCs w:val="22"/>
              </w:rPr>
              <w:t xml:space="preserve">Example 1: Global Streaming Service</w:t>
            </w:r>
          </w:p>
          <w:p>
            <w:pPr>
              <w:spacing w:after="120"/>
            </w:pPr>
            <w:r>
              <w:rPr>
                <w:rFonts w:ascii="Calibri" w:cs="Calibri" w:eastAsia="Calibri" w:hAnsi="Calibri"/>
                <w:sz w:val="22"/>
                <w:szCs w:val="22"/>
              </w:rPr>
              <w:t xml:space="preserve">Netflix (headquartered in USA, servers globally) offers services to Indian subscribers.</w:t>
            </w:r>
          </w:p>
          <w:p>
            <w:pPr>
              <w:spacing w:after="80"/>
            </w:pPr>
            <w:r>
              <w:rPr>
                <w:rFonts w:ascii="Calibri" w:cs="Calibri" w:eastAsia="Calibri" w:hAnsi="Calibri"/>
                <w:b/>
                <w:bCs/>
                <w:sz w:val="22"/>
                <w:szCs w:val="22"/>
              </w:rPr>
              <w:t xml:space="preserve">Result: </w:t>
            </w:r>
            <w:r>
              <w:rPr>
                <w:rFonts w:ascii="Calibri" w:cs="Calibri" w:eastAsia="Calibri" w:hAnsi="Calibri"/>
                <w:sz w:val="22"/>
                <w:szCs w:val="22"/>
              </w:rPr>
              <w:t xml:space="preserve">DPDPA applies because they're offering services to Data Principals in India, even though processing may occur on US servers.</w:t>
            </w:r>
          </w:p>
          <w:p>
            <w:pPr>
              <w:spacing w:after="100" w:before="200"/>
            </w:pPr>
            <w:r>
              <w:rPr>
                <w:rFonts w:ascii="Georgia" w:cs="Georgia" w:eastAsia="Georgia" w:hAnsi="Georgia"/>
                <w:b/>
                <w:bCs/>
                <w:color w:val="1E7A3D"/>
                <w:sz w:val="22"/>
                <w:szCs w:val="22"/>
              </w:rPr>
              <w:t xml:space="preserve">Example 2: International E-commerce</w:t>
            </w:r>
          </w:p>
          <w:p>
            <w:pPr>
              <w:spacing w:after="120"/>
            </w:pPr>
            <w:r>
              <w:rPr>
                <w:rFonts w:ascii="Calibri" w:cs="Calibri" w:eastAsia="Calibri" w:hAnsi="Calibri"/>
                <w:sz w:val="22"/>
                <w:szCs w:val="22"/>
              </w:rPr>
              <w:t xml:space="preserve">A UK-based online retailer ships products to India and has an India-focused website.</w:t>
            </w:r>
          </w:p>
          <w:p>
            <w:pPr>
              <w:spacing w:after="80"/>
            </w:pPr>
            <w:r>
              <w:rPr>
                <w:rFonts w:ascii="Calibri" w:cs="Calibri" w:eastAsia="Calibri" w:hAnsi="Calibri"/>
                <w:b/>
                <w:bCs/>
                <w:sz w:val="22"/>
                <w:szCs w:val="22"/>
              </w:rPr>
              <w:t xml:space="preserve">Result: </w:t>
            </w:r>
            <w:r>
              <w:rPr>
                <w:rFonts w:ascii="Calibri" w:cs="Calibri" w:eastAsia="Calibri" w:hAnsi="Calibri"/>
                <w:sz w:val="22"/>
                <w:szCs w:val="22"/>
              </w:rPr>
              <w:t xml:space="preserve">DPDPA applies to their processing of Indian customer data, even if the company has no physical presence in India.</w:t>
            </w:r>
          </w:p>
        </w:tc>
      </w:tr>
    </w:tbl>
    <w:p>
      <w:pPr>
        <w:spacing w:after="200"/>
      </w:pPr>
    </w:p>
    <w:p>
      <w:pPr>
        <w:pStyle w:val="Heading2"/>
        <w:spacing w:after="150" w:before="300"/>
      </w:pPr>
      <w:r>
        <w:rPr>
          <w:rFonts w:ascii="Georgia" w:cs="Georgia" w:eastAsia="Georgia" w:hAnsi="Georgia"/>
          <w:b/>
          <w:bCs/>
          <w:color w:val="0F7C82"/>
          <w:sz w:val="26"/>
          <w:szCs w:val="26"/>
        </w:rPr>
        <w:t xml:space="preserve">Timeline for Enforcement: Phased Implementation</w:t>
      </w:r>
    </w:p>
    <w:p>
      <w:pPr>
        <w:spacing w:after="120"/>
      </w:pPr>
      <w:r>
        <w:rPr>
          <w:rFonts w:ascii="Calibri" w:cs="Calibri" w:eastAsia="Calibri" w:hAnsi="Calibri"/>
          <w:sz w:val="22"/>
          <w:szCs w:val="22"/>
        </w:rPr>
        <w:t xml:space="preserve">DPDPA, 2023 and DPDP Rules 2025, notified on November 13, 2025, established a phased enforcement and implementation:</w:t>
      </w:r>
    </w:p>
    <w:p>
      <w:pPr>
        <w:spacing w:after="80"/>
      </w:pPr>
    </w:p>
    <w:p>
      <w:pPr>
        <w:spacing w:after="20" w:before="120"/>
      </w:pPr>
      <w:r>
        <w:rPr>
          <w:b/>
          <w:bCs/>
          <w:color w:val="C79A3C"/>
          <w:sz w:val="22"/>
          <w:szCs w:val="22"/>
        </w:rPr>
        <w:t xml:space="preserve">●  </w:t>
      </w:r>
      <w:r>
        <w:rPr>
          <w:rFonts w:ascii="Calibri" w:cs="Calibri" w:eastAsia="Calibri" w:hAnsi="Calibri"/>
          <w:b/>
          <w:bCs/>
          <w:color w:val="0F7C82"/>
          <w:sz w:val="22"/>
          <w:szCs w:val="22"/>
        </w:rPr>
        <w:t xml:space="preserve">Immediate Effect (From Gazette Notification)</w:t>
      </w:r>
    </w:p>
    <w:p>
      <w:pPr>
        <w:spacing w:after="40"/>
        <w:ind w:left="300"/>
      </w:pPr>
      <w:r>
        <w:rPr>
          <w:rFonts w:ascii="Calibri" w:cs="Calibri" w:eastAsia="Calibri" w:hAnsi="Calibri"/>
          <w:b/>
          <w:bCs/>
          <w:sz w:val="21"/>
          <w:szCs w:val="21"/>
        </w:rPr>
        <w:t xml:space="preserve">Sections in Force:</w:t>
      </w:r>
    </w:p>
    <w:p>
      <w:pPr>
        <w:spacing w:after="100"/>
        <w:ind w:left="300"/>
      </w:pPr>
      <w:r>
        <w:rPr>
          <w:rFonts w:ascii="Calibri" w:cs="Calibri" w:eastAsia="Calibri" w:hAnsi="Calibri"/>
          <w:color w:val="666666"/>
          <w:sz w:val="20"/>
          <w:szCs w:val="20"/>
        </w:rPr>
        <w:t xml:space="preserve">Section 1(2), Section 2 (Definitions), Sections 18-26 (Data Protection Board), Sections 35, 38-43 (Miscellaneous), Sections 44(1) and 44(3)</w:t>
      </w:r>
    </w:p>
    <w:p>
      <w:pPr>
        <w:spacing w:after="20" w:before="120"/>
      </w:pPr>
      <w:r>
        <w:rPr>
          <w:b/>
          <w:bCs/>
          <w:color w:val="C79A3C"/>
          <w:sz w:val="22"/>
          <w:szCs w:val="22"/>
        </w:rPr>
        <w:t xml:space="preserve">●  </w:t>
      </w:r>
      <w:r>
        <w:rPr>
          <w:rFonts w:ascii="Calibri" w:cs="Calibri" w:eastAsia="Calibri" w:hAnsi="Calibri"/>
          <w:b/>
          <w:bCs/>
          <w:color w:val="0F7C82"/>
          <w:sz w:val="22"/>
          <w:szCs w:val="22"/>
        </w:rPr>
        <w:t xml:space="preserve">One Year Timeline (By November 13, 2026)</w:t>
      </w:r>
    </w:p>
    <w:p>
      <w:pPr>
        <w:spacing w:after="40"/>
        <w:ind w:left="300"/>
      </w:pPr>
      <w:r>
        <w:rPr>
          <w:rFonts w:ascii="Calibri" w:cs="Calibri" w:eastAsia="Calibri" w:hAnsi="Calibri"/>
          <w:b/>
          <w:bCs/>
          <w:sz w:val="21"/>
          <w:szCs w:val="21"/>
        </w:rPr>
        <w:t xml:space="preserve">Coming into Force:</w:t>
      </w:r>
    </w:p>
    <w:p>
      <w:pPr>
        <w:spacing w:after="100"/>
        <w:ind w:left="300"/>
      </w:pPr>
      <w:r>
        <w:rPr>
          <w:rFonts w:ascii="Calibri" w:cs="Calibri" w:eastAsia="Calibri" w:hAnsi="Calibri"/>
          <w:color w:val="666666"/>
          <w:sz w:val="20"/>
          <w:szCs w:val="20"/>
        </w:rPr>
        <w:t xml:space="preserve">Section 6(9) - Consent Manager provisions, Section 27(1)(d) - Board's dispute resolution</w:t>
      </w:r>
    </w:p>
    <w:p>
      <w:pPr>
        <w:spacing w:after="20" w:before="120"/>
      </w:pPr>
      <w:r>
        <w:rPr>
          <w:b/>
          <w:bCs/>
          <w:color w:val="C79A3C"/>
          <w:sz w:val="22"/>
          <w:szCs w:val="22"/>
        </w:rPr>
        <w:t xml:space="preserve">●  </w:t>
      </w:r>
      <w:r>
        <w:rPr>
          <w:rFonts w:ascii="Calibri" w:cs="Calibri" w:eastAsia="Calibri" w:hAnsi="Calibri"/>
          <w:b/>
          <w:bCs/>
          <w:color w:val="0F7C82"/>
          <w:sz w:val="22"/>
          <w:szCs w:val="22"/>
        </w:rPr>
        <w:t xml:space="preserve">Eighteen Months (By May 13, 2027)</w:t>
      </w:r>
    </w:p>
    <w:p>
      <w:pPr>
        <w:spacing w:after="40"/>
        <w:ind w:left="300"/>
      </w:pPr>
      <w:r>
        <w:rPr>
          <w:rFonts w:ascii="Calibri" w:cs="Calibri" w:eastAsia="Calibri" w:hAnsi="Calibri"/>
          <w:b/>
          <w:bCs/>
          <w:sz w:val="21"/>
          <w:szCs w:val="21"/>
        </w:rPr>
        <w:t xml:space="preserve">Main Provisions:</w:t>
      </w:r>
    </w:p>
    <w:p>
      <w:pPr>
        <w:spacing w:after="100"/>
        <w:ind w:left="300"/>
      </w:pPr>
      <w:r>
        <w:rPr>
          <w:rFonts w:ascii="Calibri" w:cs="Calibri" w:eastAsia="Calibri" w:hAnsi="Calibri"/>
          <w:color w:val="666666"/>
          <w:sz w:val="20"/>
          <w:szCs w:val="20"/>
        </w:rPr>
        <w:t xml:space="preserve">Sections 3-5 (Obligations), Section 6(1-8), Section 6(10), Sections (7-10), Sections 11-17 (Rights &amp; Exemptions), Section 27 (Board functions) except S27(1)(d), Sections 28-34, 36-37 (Penalties) and Section 44(2)</w:t>
      </w:r>
    </w:p>
    <w:p>
      <w:pPr>
        <w:spacing w:after="100"/>
      </w:pPr>
    </w:p>
    <w:tbl>
      <w:tblPr>
        <w:tblW w:type="pct" w:w="100%"/>
        <w:tblBorders>
          <w:top w:val="single" w:color="C79A3C" w:sz="6"/>
          <w:left w:val="single" w:color="C79A3C" w:sz="24"/>
          <w:bottom w:val="single" w:color="C79A3C" w:sz="6"/>
          <w:right w:val="single" w:color="C79A3C" w:sz="6"/>
          <w:insideH w:val="single" w:color="auto" w:sz="4"/>
          <w:insideV w:val="single" w:color="auto" w:sz="4"/>
        </w:tblBorders>
      </w:tblPr>
      <w:tblGrid>
        <w:gridCol w:w="100"/>
      </w:tblGrid>
      <w:tr>
        <w:tc>
          <w:tcPr>
            <w:shd w:fill="FBF3DF" w:val="clear"/>
            <w:tcMar>
              <w:top w:type="dxa" w:w="150"/>
              <w:left w:type="dxa" w:w="200"/>
              <w:bottom w:type="dxa" w:w="150"/>
              <w:right w:type="dxa" w:w="200"/>
            </w:tcMar>
          </w:tcPr>
          <w:p>
            <w:pPr>
              <w:spacing w:after="100"/>
            </w:pPr>
            <w:r>
              <w:rPr>
                <w:rFonts w:ascii="Georgia" w:cs="Georgia" w:eastAsia="Georgia" w:hAnsi="Georgia"/>
                <w:b/>
                <w:bCs/>
                <w:color w:val="8A6D1E"/>
                <w:sz w:val="22"/>
                <w:szCs w:val="22"/>
              </w:rPr>
              <w:t xml:space="preserve">💡 Practical Implication</w:t>
            </w:r>
          </w:p>
          <w:p>
            <w:pPr>
              <w:spacing w:after="120"/>
            </w:pPr>
            <w:r>
              <w:rPr>
                <w:rFonts w:ascii="Calibri" w:cs="Calibri" w:eastAsia="Calibri" w:hAnsi="Calibri"/>
                <w:sz w:val="22"/>
                <w:szCs w:val="22"/>
              </w:rPr>
              <w:t xml:space="preserve">Organizations have until May 13, 2027 to achieve full compliance with core obligations like implementing consent mechanisms, establishing grievance redressal, appointing DPOs (for SDFs), and conducting DPIAs (for SDFs).</w:t>
            </w:r>
          </w:p>
          <w:p>
            <w:pPr>
              <w:spacing w:after="120"/>
            </w:pPr>
            <w:r>
              <w:rPr>
                <w:rFonts w:ascii="Calibri" w:cs="Calibri" w:eastAsia="Calibri" w:hAnsi="Calibri"/>
                <w:b/>
                <w:bCs/>
                <w:i/>
                <w:iCs/>
                <w:sz w:val="22"/>
                <w:szCs w:val="22"/>
              </w:rPr>
              <w:t xml:space="preserve">Smart organizations are preparing NOW rather than waiting until the deadline!</w:t>
            </w:r>
          </w:p>
        </w:tc>
      </w:tr>
    </w:tbl>
    <w:p>
      <w:r>
        <w:br w:type="page"/>
      </w:r>
    </w:p>
    <w:p>
      <w:pPr>
        <w:pStyle w:val="Heading2"/>
        <w:spacing w:after="150" w:before="300"/>
      </w:pPr>
      <w:r>
        <w:rPr>
          <w:rFonts w:ascii="Georgia" w:cs="Georgia" w:eastAsia="Georgia" w:hAnsi="Georgia"/>
          <w:b/>
          <w:bCs/>
          <w:color w:val="0F7C82"/>
          <w:sz w:val="26"/>
          <w:szCs w:val="26"/>
        </w:rPr>
        <w:t xml:space="preserve">Practical Scenarios: When DPDPA Applies</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3250"/>
      </w:tblGrid>
      <w:tr>
        <w:trPr>
          <w:tblHeader/>
        </w:trPr>
        <w:tc>
          <w:tcPr>
            <w:tcW w:type="dxa" w:w="42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Scenario</w:t>
            </w:r>
          </w:p>
        </w:tc>
        <w:tc>
          <w:tcPr>
            <w:tcW w:type="dxa" w:w="19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DPDPA Applies?</w:t>
            </w:r>
          </w:p>
        </w:tc>
        <w:tc>
          <w:tcPr>
            <w:tcW w:type="dxa" w:w="325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Reason</w:t>
            </w:r>
          </w:p>
        </w:tc>
      </w:tr>
      <w:tr>
        <w:tc>
          <w:tcPr>
            <w:tcW w:type="dxa" w:w="4200"/>
            <w:shd w:fill="FFFFFF" w:val="clear"/>
            <w:tcMar>
              <w:top w:type="dxa" w:w="90"/>
              <w:left w:type="dxa" w:w="120"/>
              <w:bottom w:type="dxa" w:w="90"/>
              <w:right w:type="dxa" w:w="120"/>
            </w:tcMar>
          </w:tcPr>
          <w:p>
            <w:r>
              <w:rPr>
                <w:rFonts w:ascii="Calibri" w:cs="Calibri" w:eastAsia="Calibri" w:hAnsi="Calibri"/>
                <w:sz w:val="19"/>
                <w:szCs w:val="19"/>
              </w:rPr>
              <w:t xml:space="preserve">Indian startup collecting customer data via mobile app</w:t>
            </w:r>
          </w:p>
        </w:tc>
        <w:tc>
          <w:tcPr>
            <w:tcW w:type="dxa" w:w="1900"/>
            <w:shd w:fill="FFFFFF" w:val="clear"/>
            <w:tcMar>
              <w:top w:type="dxa" w:w="90"/>
              <w:left w:type="dxa" w:w="120"/>
              <w:bottom w:type="dxa" w:w="90"/>
              <w:right w:type="dxa" w:w="120"/>
            </w:tcMar>
          </w:tcPr>
          <w:p>
            <w:r>
              <w:rPr>
                <w:rFonts w:ascii="Calibri" w:cs="Calibri" w:eastAsia="Calibri" w:hAnsi="Calibri"/>
                <w:sz w:val="19"/>
                <w:szCs w:val="19"/>
              </w:rPr>
              <w:t xml:space="preserve">✅ Yes</w:t>
            </w:r>
          </w:p>
        </w:tc>
        <w:tc>
          <w:tcPr>
            <w:tcW w:type="dxa" w:w="3250"/>
            <w:shd w:fill="FFFFFF" w:val="clear"/>
            <w:tcMar>
              <w:top w:type="dxa" w:w="90"/>
              <w:left w:type="dxa" w:w="120"/>
              <w:bottom w:type="dxa" w:w="90"/>
              <w:right w:type="dxa" w:w="120"/>
            </w:tcMar>
          </w:tcPr>
          <w:p>
            <w:r>
              <w:rPr>
                <w:rFonts w:ascii="Calibri" w:cs="Calibri" w:eastAsia="Calibri" w:hAnsi="Calibri"/>
                <w:sz w:val="19"/>
                <w:szCs w:val="19"/>
              </w:rPr>
              <w:t xml:space="preserve">Processing within India</w:t>
            </w:r>
          </w:p>
        </w:tc>
      </w:tr>
      <w:tr>
        <w:tc>
          <w:tcPr>
            <w:tcW w:type="dxa" w:w="4200"/>
            <w:shd w:fill="F5F7FA" w:val="clear"/>
            <w:tcMar>
              <w:top w:type="dxa" w:w="90"/>
              <w:left w:type="dxa" w:w="120"/>
              <w:bottom w:type="dxa" w:w="90"/>
              <w:right w:type="dxa" w:w="120"/>
            </w:tcMar>
          </w:tcPr>
          <w:p>
            <w:r>
              <w:rPr>
                <w:rFonts w:ascii="Calibri" w:cs="Calibri" w:eastAsia="Calibri" w:hAnsi="Calibri"/>
                <w:sz w:val="19"/>
                <w:szCs w:val="19"/>
              </w:rPr>
              <w:t xml:space="preserve">UK company selling products to Indian customers online</w:t>
            </w:r>
          </w:p>
        </w:tc>
        <w:tc>
          <w:tcPr>
            <w:tcW w:type="dxa" w:w="1900"/>
            <w:shd w:fill="F5F7FA" w:val="clear"/>
            <w:tcMar>
              <w:top w:type="dxa" w:w="90"/>
              <w:left w:type="dxa" w:w="120"/>
              <w:bottom w:type="dxa" w:w="90"/>
              <w:right w:type="dxa" w:w="120"/>
            </w:tcMar>
          </w:tcPr>
          <w:p>
            <w:r>
              <w:rPr>
                <w:rFonts w:ascii="Calibri" w:cs="Calibri" w:eastAsia="Calibri" w:hAnsi="Calibri"/>
                <w:sz w:val="19"/>
                <w:szCs w:val="19"/>
              </w:rPr>
              <w:t xml:space="preserve">✅ Yes</w:t>
            </w:r>
          </w:p>
        </w:tc>
        <w:tc>
          <w:tcPr>
            <w:tcW w:type="dxa" w:w="3250"/>
            <w:shd w:fill="F5F7FA" w:val="clear"/>
            <w:tcMar>
              <w:top w:type="dxa" w:w="90"/>
              <w:left w:type="dxa" w:w="120"/>
              <w:bottom w:type="dxa" w:w="90"/>
              <w:right w:type="dxa" w:w="120"/>
            </w:tcMar>
          </w:tcPr>
          <w:p>
            <w:r>
              <w:rPr>
                <w:rFonts w:ascii="Calibri" w:cs="Calibri" w:eastAsia="Calibri" w:hAnsi="Calibri"/>
                <w:sz w:val="19"/>
                <w:szCs w:val="19"/>
              </w:rPr>
              <w:t xml:space="preserve">Offering goods/services to Data Principals in India</w:t>
            </w:r>
          </w:p>
        </w:tc>
      </w:tr>
      <w:tr>
        <w:tc>
          <w:tcPr>
            <w:tcW w:type="dxa" w:w="4200"/>
            <w:shd w:fill="FFFFFF" w:val="clear"/>
            <w:tcMar>
              <w:top w:type="dxa" w:w="90"/>
              <w:left w:type="dxa" w:w="120"/>
              <w:bottom w:type="dxa" w:w="90"/>
              <w:right w:type="dxa" w:w="120"/>
            </w:tcMar>
          </w:tcPr>
          <w:p>
            <w:r>
              <w:rPr>
                <w:rFonts w:ascii="Calibri" w:cs="Calibri" w:eastAsia="Calibri" w:hAnsi="Calibri"/>
                <w:sz w:val="19"/>
                <w:szCs w:val="19"/>
              </w:rPr>
              <w:t xml:space="preserve">Restaurant maintaining physical reservation book (not digitized)</w:t>
            </w:r>
          </w:p>
        </w:tc>
        <w:tc>
          <w:tcPr>
            <w:tcW w:type="dxa" w:w="1900"/>
            <w:shd w:fill="FFFFFF" w:val="clear"/>
            <w:tcMar>
              <w:top w:type="dxa" w:w="90"/>
              <w:left w:type="dxa" w:w="120"/>
              <w:bottom w:type="dxa" w:w="90"/>
              <w:right w:type="dxa" w:w="120"/>
            </w:tcMar>
          </w:tcPr>
          <w:p>
            <w:r>
              <w:rPr>
                <w:rFonts w:ascii="Calibri" w:cs="Calibri" w:eastAsia="Calibri" w:hAnsi="Calibri"/>
                <w:sz w:val="19"/>
                <w:szCs w:val="19"/>
              </w:rPr>
              <w:t xml:space="preserve">❌ No</w:t>
            </w:r>
          </w:p>
        </w:tc>
        <w:tc>
          <w:tcPr>
            <w:tcW w:type="dxa" w:w="3250"/>
            <w:shd w:fill="FFFFFF" w:val="clear"/>
            <w:tcMar>
              <w:top w:type="dxa" w:w="90"/>
              <w:left w:type="dxa" w:w="120"/>
              <w:bottom w:type="dxa" w:w="90"/>
              <w:right w:type="dxa" w:w="120"/>
            </w:tcMar>
          </w:tcPr>
          <w:p>
            <w:r>
              <w:rPr>
                <w:rFonts w:ascii="Calibri" w:cs="Calibri" w:eastAsia="Calibri" w:hAnsi="Calibri"/>
                <w:sz w:val="19"/>
                <w:szCs w:val="19"/>
              </w:rPr>
              <w:t xml:space="preserve">Not digital personal data</w:t>
            </w:r>
          </w:p>
        </w:tc>
      </w:tr>
      <w:tr>
        <w:tc>
          <w:tcPr>
            <w:tcW w:type="dxa" w:w="4200"/>
            <w:shd w:fill="F5F7FA" w:val="clear"/>
            <w:tcMar>
              <w:top w:type="dxa" w:w="90"/>
              <w:left w:type="dxa" w:w="120"/>
              <w:bottom w:type="dxa" w:w="90"/>
              <w:right w:type="dxa" w:w="120"/>
            </w:tcMar>
          </w:tcPr>
          <w:p>
            <w:r>
              <w:rPr>
                <w:rFonts w:ascii="Calibri" w:cs="Calibri" w:eastAsia="Calibri" w:hAnsi="Calibri"/>
                <w:sz w:val="19"/>
                <w:szCs w:val="19"/>
              </w:rPr>
              <w:t xml:space="preserve">Same restaurant scanning reservation book to computer</w:t>
            </w:r>
          </w:p>
        </w:tc>
        <w:tc>
          <w:tcPr>
            <w:tcW w:type="dxa" w:w="1900"/>
            <w:shd w:fill="F5F7FA" w:val="clear"/>
            <w:tcMar>
              <w:top w:type="dxa" w:w="90"/>
              <w:left w:type="dxa" w:w="120"/>
              <w:bottom w:type="dxa" w:w="90"/>
              <w:right w:type="dxa" w:w="120"/>
            </w:tcMar>
          </w:tcPr>
          <w:p>
            <w:r>
              <w:rPr>
                <w:rFonts w:ascii="Calibri" w:cs="Calibri" w:eastAsia="Calibri" w:hAnsi="Calibri"/>
                <w:sz w:val="19"/>
                <w:szCs w:val="19"/>
              </w:rPr>
              <w:t xml:space="preserve">✅ Yes</w:t>
            </w:r>
          </w:p>
        </w:tc>
        <w:tc>
          <w:tcPr>
            <w:tcW w:type="dxa" w:w="3250"/>
            <w:shd w:fill="F5F7FA" w:val="clear"/>
            <w:tcMar>
              <w:top w:type="dxa" w:w="90"/>
              <w:left w:type="dxa" w:w="120"/>
              <w:bottom w:type="dxa" w:w="90"/>
              <w:right w:type="dxa" w:w="120"/>
            </w:tcMar>
          </w:tcPr>
          <w:p>
            <w:r>
              <w:rPr>
                <w:rFonts w:ascii="Calibri" w:cs="Calibri" w:eastAsia="Calibri" w:hAnsi="Calibri"/>
                <w:sz w:val="19"/>
                <w:szCs w:val="19"/>
              </w:rPr>
              <w:t xml:space="preserve">Now digitized, hence covered</w:t>
            </w:r>
          </w:p>
        </w:tc>
      </w:tr>
      <w:tr>
        <w:tc>
          <w:tcPr>
            <w:tcW w:type="dxa" w:w="4200"/>
            <w:shd w:fill="FFFFFF" w:val="clear"/>
            <w:tcMar>
              <w:top w:type="dxa" w:w="90"/>
              <w:left w:type="dxa" w:w="120"/>
              <w:bottom w:type="dxa" w:w="90"/>
              <w:right w:type="dxa" w:w="120"/>
            </w:tcMar>
          </w:tcPr>
          <w:p>
            <w:r>
              <w:rPr>
                <w:rFonts w:ascii="Calibri" w:cs="Calibri" w:eastAsia="Calibri" w:hAnsi="Calibri"/>
                <w:sz w:val="19"/>
                <w:szCs w:val="19"/>
              </w:rPr>
              <w:t xml:space="preserve">Employer processing employee HR data</w:t>
            </w:r>
          </w:p>
        </w:tc>
        <w:tc>
          <w:tcPr>
            <w:tcW w:type="dxa" w:w="1900"/>
            <w:shd w:fill="FFFFFF" w:val="clear"/>
            <w:tcMar>
              <w:top w:type="dxa" w:w="90"/>
              <w:left w:type="dxa" w:w="120"/>
              <w:bottom w:type="dxa" w:w="90"/>
              <w:right w:type="dxa" w:w="120"/>
            </w:tcMar>
          </w:tcPr>
          <w:p>
            <w:r>
              <w:rPr>
                <w:rFonts w:ascii="Calibri" w:cs="Calibri" w:eastAsia="Calibri" w:hAnsi="Calibri"/>
                <w:sz w:val="19"/>
                <w:szCs w:val="19"/>
              </w:rPr>
              <w:t xml:space="preserve">✅ Yes</w:t>
            </w:r>
          </w:p>
        </w:tc>
        <w:tc>
          <w:tcPr>
            <w:tcW w:type="dxa" w:w="3250"/>
            <w:shd w:fill="FFFFFF" w:val="clear"/>
            <w:tcMar>
              <w:top w:type="dxa" w:w="90"/>
              <w:left w:type="dxa" w:w="120"/>
              <w:bottom w:type="dxa" w:w="90"/>
              <w:right w:type="dxa" w:w="120"/>
            </w:tcMar>
          </w:tcPr>
          <w:p>
            <w:r>
              <w:rPr>
                <w:rFonts w:ascii="Calibri" w:cs="Calibri" w:eastAsia="Calibri" w:hAnsi="Calibri"/>
                <w:sz w:val="19"/>
                <w:szCs w:val="19"/>
              </w:rPr>
              <w:t xml:space="preserve">Digital processing within India</w:t>
            </w:r>
          </w:p>
        </w:tc>
      </w:tr>
    </w:tbl>
    <w:p>
      <w:pPr>
        <w:spacing w:after="200"/>
      </w:pP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 Key Takeaways</w:t>
            </w:r>
          </w:p>
          <w:p>
            <w:pPr>
              <w:pStyle w:val="ListParagraph"/>
              <w:numPr>
                <w:ilvl w:val="0"/>
                <w:numId w:val="2"/>
              </w:numPr>
              <w:spacing w:after="60"/>
            </w:pPr>
            <w:r>
              <w:rPr>
                <w:rFonts w:ascii="Calibri" w:cs="Calibri" w:eastAsia="Calibri" w:hAnsi="Calibri"/>
                <w:sz w:val="21"/>
                <w:szCs w:val="21"/>
              </w:rPr>
              <w:t xml:space="preserve">DPDPA has territorial (within India) AND extraterritorial reach</w:t>
            </w:r>
          </w:p>
          <w:p>
            <w:pPr>
              <w:pStyle w:val="ListParagraph"/>
              <w:numPr>
                <w:ilvl w:val="0"/>
                <w:numId w:val="2"/>
              </w:numPr>
              <w:spacing w:after="60"/>
            </w:pPr>
            <w:r>
              <w:rPr>
                <w:rFonts w:ascii="Calibri" w:cs="Calibri" w:eastAsia="Calibri" w:hAnsi="Calibri"/>
                <w:sz w:val="21"/>
                <w:szCs w:val="21"/>
              </w:rPr>
              <w:t xml:space="preserve">Applies to foreign companies offering goods/services to Indians</w:t>
            </w:r>
          </w:p>
          <w:p>
            <w:pPr>
              <w:pStyle w:val="ListParagraph"/>
              <w:numPr>
                <w:ilvl w:val="0"/>
                <w:numId w:val="2"/>
              </w:numPr>
              <w:spacing w:after="60"/>
            </w:pPr>
            <w:r>
              <w:rPr>
                <w:rFonts w:ascii="Calibri" w:cs="Calibri" w:eastAsia="Calibri" w:hAnsi="Calibri"/>
                <w:sz w:val="21"/>
                <w:szCs w:val="21"/>
              </w:rPr>
              <w:t xml:space="preserve">Covers ONLY digital personal data, not purely paper records</w:t>
            </w:r>
          </w:p>
          <w:p>
            <w:pPr>
              <w:pStyle w:val="ListParagraph"/>
              <w:numPr>
                <w:ilvl w:val="0"/>
                <w:numId w:val="2"/>
              </w:numPr>
              <w:spacing w:after="60"/>
            </w:pPr>
            <w:r>
              <w:rPr>
                <w:rFonts w:ascii="Calibri" w:cs="Calibri" w:eastAsia="Calibri" w:hAnsi="Calibri"/>
                <w:sz w:val="21"/>
                <w:szCs w:val="21"/>
              </w:rPr>
              <w:t xml:space="preserve">Government exemptions exist but must pass necessity and proportionality test</w:t>
            </w:r>
          </w:p>
          <w:p>
            <w:pPr>
              <w:pStyle w:val="ListParagraph"/>
              <w:numPr>
                <w:ilvl w:val="0"/>
                <w:numId w:val="2"/>
              </w:numPr>
              <w:spacing w:after="60"/>
            </w:pPr>
            <w:r>
              <w:rPr>
                <w:rFonts w:ascii="Calibri" w:cs="Calibri" w:eastAsia="Calibri" w:hAnsi="Calibri"/>
                <w:sz w:val="21"/>
                <w:szCs w:val="21"/>
              </w:rPr>
              <w:t xml:space="preserve">Implementation is phased: core provisions by May 2027</w:t>
            </w:r>
          </w:p>
          <w:p>
            <w:pPr>
              <w:pStyle w:val="ListParagraph"/>
              <w:numPr>
                <w:ilvl w:val="0"/>
                <w:numId w:val="2"/>
              </w:numPr>
              <w:spacing w:after="60"/>
            </w:pPr>
            <w:r>
              <w:rPr>
                <w:rFonts w:ascii="Calibri" w:cs="Calibri" w:eastAsia="Calibri" w:hAnsi="Calibri"/>
                <w:sz w:val="21"/>
                <w:szCs w:val="21"/>
              </w:rPr>
              <w:t xml:space="preserve">Organizations should start compliance preparations NOW</w:t>
            </w:r>
          </w:p>
        </w:tc>
      </w:tr>
    </w:tbl>
    <w:p>
      <w:r>
        <w:br w:type="page"/>
      </w:r>
    </w:p>
    <w:p>
      <w:pPr>
        <w:pStyle w:val="Heading1"/>
        <w:pBdr>
          <w:bottom w:val="single" w:color="1B2A4A" w:sz="12" w:space="4"/>
        </w:pBdr>
        <w:spacing w:after="200" w:before="400"/>
      </w:pPr>
      <w:r>
        <w:rPr>
          <w:rFonts w:ascii="Georgia" w:cs="Georgia" w:eastAsia="Georgia" w:hAnsi="Georgia"/>
          <w:b/>
          <w:bCs/>
          <w:color w:val="1B2A4A"/>
          <w:sz w:val="32"/>
          <w:szCs w:val="32"/>
        </w:rPr>
        <w:t xml:space="preserve">5. Comparison with Global Laws (GDPR &amp; Others)</w:t>
      </w:r>
    </w:p>
    <w:p>
      <w:pPr>
        <w:spacing w:after="120"/>
      </w:pPr>
      <w:r>
        <w:rPr>
          <w:rFonts w:ascii="Calibri" w:cs="Calibri" w:eastAsia="Calibri" w:hAnsi="Calibri"/>
          <w:sz w:val="22"/>
          <w:szCs w:val="22"/>
        </w:rPr>
        <w:t xml:space="preserve">Understanding how DPDPA compares with global data protection frameworks—particularly the EU's General Data Protection Regulation (GDPR)—provides valuable context and helps multinational organizations navigate compliance.</w:t>
      </w:r>
    </w:p>
    <w:p>
      <w:pPr>
        <w:spacing w:after="150"/>
      </w:pPr>
    </w:p>
    <w:p>
      <w:pPr>
        <w:pStyle w:val="Heading2"/>
        <w:spacing w:after="150" w:before="300"/>
      </w:pPr>
      <w:r>
        <w:rPr>
          <w:rFonts w:ascii="Georgia" w:cs="Georgia" w:eastAsia="Georgia" w:hAnsi="Georgia"/>
          <w:b/>
          <w:bCs/>
          <w:color w:val="0F7C82"/>
          <w:sz w:val="26"/>
          <w:szCs w:val="26"/>
        </w:rPr>
        <w:t xml:space="preserve">Detailed DPDPA vs. GDPR Comparison</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800"/>
        <w:gridCol w:w="3800"/>
      </w:tblGrid>
      <w:tr>
        <w:trPr>
          <w:tblHeader/>
        </w:trPr>
        <w:tc>
          <w:tcPr>
            <w:tcW w:type="dxa" w:w="175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Aspect</w:t>
            </w:r>
          </w:p>
        </w:tc>
        <w:tc>
          <w:tcPr>
            <w:tcW w:type="dxa" w:w="38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DPDPA 2023 (India)</w:t>
            </w:r>
          </w:p>
        </w:tc>
        <w:tc>
          <w:tcPr>
            <w:tcW w:type="dxa" w:w="38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GDPR (EU)</w:t>
            </w:r>
          </w:p>
        </w:tc>
      </w:tr>
      <w:tr>
        <w:tc>
          <w:tcPr>
            <w:tcW w:type="dxa" w:w="1750"/>
            <w:shd w:fill="FFFFFF" w:val="clear"/>
            <w:tcMar>
              <w:top w:type="dxa" w:w="90"/>
              <w:left w:type="dxa" w:w="120"/>
              <w:bottom w:type="dxa" w:w="90"/>
              <w:right w:type="dxa" w:w="120"/>
            </w:tcMar>
          </w:tcPr>
          <w:p>
            <w:r>
              <w:rPr>
                <w:rFonts w:ascii="Calibri" w:cs="Calibri" w:eastAsia="Calibri" w:hAnsi="Calibri"/>
                <w:sz w:val="19"/>
                <w:szCs w:val="19"/>
              </w:rPr>
              <w:t xml:space="preserve">Legal Basis</w:t>
            </w:r>
          </w:p>
        </w:tc>
        <w:tc>
          <w:tcPr>
            <w:tcW w:type="dxa" w:w="3800"/>
            <w:shd w:fill="FFFFFF" w:val="clear"/>
            <w:tcMar>
              <w:top w:type="dxa" w:w="90"/>
              <w:left w:type="dxa" w:w="120"/>
              <w:bottom w:type="dxa" w:w="90"/>
              <w:right w:type="dxa" w:w="120"/>
            </w:tcMar>
          </w:tcPr>
          <w:p>
            <w:pPr>
              <w:spacing w:after="40"/>
            </w:pPr>
            <w:r>
              <w:rPr>
                <w:rFonts w:ascii="Calibri" w:cs="Calibri" w:eastAsia="Calibri" w:hAnsi="Calibri"/>
                <w:sz w:val="19"/>
                <w:szCs w:val="19"/>
              </w:rPr>
              <w:t xml:space="preserve">Primarily Consent-Based</w:t>
            </w:r>
          </w:p>
          <w:p>
            <w:pPr>
              <w:spacing w:after="40"/>
            </w:pPr>
            <w:r>
              <w:rPr>
                <w:rFonts w:ascii="Calibri" w:cs="Calibri" w:eastAsia="Calibri" w:hAnsi="Calibri"/>
                <w:sz w:val="19"/>
                <w:szCs w:val="19"/>
              </w:rPr>
              <w:t xml:space="preserve">• Section 6: Consent required as default</w:t>
            </w:r>
          </w:p>
          <w:p>
            <w:pPr>
              <w:spacing w:after="40"/>
            </w:pPr>
            <w:r>
              <w:rPr>
                <w:rFonts w:ascii="Calibri" w:cs="Calibri" w:eastAsia="Calibri" w:hAnsi="Calibri"/>
                <w:sz w:val="19"/>
                <w:szCs w:val="19"/>
              </w:rPr>
              <w:t xml:space="preserve">• Section 7: Limited "Legitimate Uses"</w:t>
            </w:r>
          </w:p>
          <w:p>
            <w:pPr>
              <w:spacing w:after="40"/>
            </w:pPr>
            <w:r>
              <w:rPr>
                <w:rFonts w:ascii="Calibri" w:cs="Calibri" w:eastAsia="Calibri" w:hAnsi="Calibri"/>
                <w:sz w:val="19"/>
                <w:szCs w:val="19"/>
              </w:rPr>
              <w:t xml:space="preserve">• Simpler framework</w:t>
            </w:r>
          </w:p>
        </w:tc>
        <w:tc>
          <w:tcPr>
            <w:tcW w:type="dxa" w:w="3800"/>
            <w:shd w:fill="FFFFFF" w:val="clear"/>
            <w:tcMar>
              <w:top w:type="dxa" w:w="90"/>
              <w:left w:type="dxa" w:w="120"/>
              <w:bottom w:type="dxa" w:w="90"/>
              <w:right w:type="dxa" w:w="120"/>
            </w:tcMar>
          </w:tcPr>
          <w:p>
            <w:pPr>
              <w:spacing w:after="40"/>
            </w:pPr>
            <w:r>
              <w:rPr>
                <w:rFonts w:ascii="Calibri" w:cs="Calibri" w:eastAsia="Calibri" w:hAnsi="Calibri"/>
                <w:sz w:val="19"/>
                <w:szCs w:val="19"/>
              </w:rPr>
              <w:t xml:space="preserve">Six Legal Bases</w:t>
            </w:r>
          </w:p>
          <w:p>
            <w:pPr>
              <w:spacing w:after="40"/>
            </w:pPr>
            <w:r>
              <w:rPr>
                <w:rFonts w:ascii="Calibri" w:cs="Calibri" w:eastAsia="Calibri" w:hAnsi="Calibri"/>
                <w:sz w:val="19"/>
                <w:szCs w:val="19"/>
              </w:rPr>
              <w:t xml:space="preserve">• Consent, Contract, Legal obligation, Vital interests, Public task, Legitimate interests</w:t>
            </w:r>
          </w:p>
          <w:p>
            <w:pPr>
              <w:spacing w:after="40"/>
            </w:pPr>
            <w:r>
              <w:rPr>
                <w:rFonts w:ascii="Calibri" w:cs="Calibri" w:eastAsia="Calibri" w:hAnsi="Calibri"/>
                <w:sz w:val="19"/>
                <w:szCs w:val="19"/>
              </w:rPr>
              <w:t xml:space="preserve">• More flexible</w:t>
            </w:r>
          </w:p>
        </w:tc>
      </w:tr>
      <w:tr>
        <w:tc>
          <w:tcPr>
            <w:tcW w:type="dxa" w:w="1750"/>
            <w:shd w:fill="F5F7FA" w:val="clear"/>
            <w:tcMar>
              <w:top w:type="dxa" w:w="90"/>
              <w:left w:type="dxa" w:w="120"/>
              <w:bottom w:type="dxa" w:w="90"/>
              <w:right w:type="dxa" w:w="120"/>
            </w:tcMar>
          </w:tcPr>
          <w:p>
            <w:r>
              <w:rPr>
                <w:rFonts w:ascii="Calibri" w:cs="Calibri" w:eastAsia="Calibri" w:hAnsi="Calibri"/>
                <w:sz w:val="19"/>
                <w:szCs w:val="19"/>
              </w:rPr>
              <w:t xml:space="preserve">Penalties</w:t>
            </w:r>
          </w:p>
        </w:tc>
        <w:tc>
          <w:tcPr>
            <w:tcW w:type="dxa" w:w="3800"/>
            <w:shd w:fill="F5F7FA" w:val="clear"/>
            <w:tcMar>
              <w:top w:type="dxa" w:w="90"/>
              <w:left w:type="dxa" w:w="120"/>
              <w:bottom w:type="dxa" w:w="90"/>
              <w:right w:type="dxa" w:w="120"/>
            </w:tcMar>
          </w:tcPr>
          <w:p>
            <w:pPr>
              <w:spacing w:after="40"/>
            </w:pPr>
            <w:r>
              <w:rPr>
                <w:rFonts w:ascii="Calibri" w:cs="Calibri" w:eastAsia="Calibri" w:hAnsi="Calibri"/>
                <w:sz w:val="19"/>
                <w:szCs w:val="19"/>
              </w:rPr>
              <w:t xml:space="preserve">Fixed Amount</w:t>
            </w:r>
          </w:p>
          <w:p>
            <w:pPr>
              <w:spacing w:after="40"/>
            </w:pPr>
            <w:r>
              <w:rPr>
                <w:rFonts w:ascii="Calibri" w:cs="Calibri" w:eastAsia="Calibri" w:hAnsi="Calibri"/>
                <w:sz w:val="19"/>
                <w:szCs w:val="19"/>
              </w:rPr>
              <w:t xml:space="preserve">• Up to ₹250 crores for Data Fiduciary</w:t>
            </w:r>
          </w:p>
          <w:p>
            <w:pPr>
              <w:spacing w:after="40"/>
            </w:pPr>
            <w:r>
              <w:rPr>
                <w:rFonts w:ascii="Calibri" w:cs="Calibri" w:eastAsia="Calibri" w:hAnsi="Calibri"/>
                <w:sz w:val="19"/>
                <w:szCs w:val="19"/>
              </w:rPr>
              <w:t xml:space="preserve">• Up to ₹250 crores for Consent Manager</w:t>
            </w:r>
          </w:p>
          <w:p>
            <w:pPr>
              <w:spacing w:after="40"/>
            </w:pPr>
            <w:r>
              <w:rPr>
                <w:rFonts w:ascii="Calibri" w:cs="Calibri" w:eastAsia="Calibri" w:hAnsi="Calibri"/>
                <w:sz w:val="19"/>
                <w:szCs w:val="19"/>
              </w:rPr>
              <w:t xml:space="preserve">• Certainty but not revenue-linked</w:t>
            </w:r>
          </w:p>
        </w:tc>
        <w:tc>
          <w:tcPr>
            <w:tcW w:type="dxa" w:w="3800"/>
            <w:shd w:fill="F5F7FA" w:val="clear"/>
            <w:tcMar>
              <w:top w:type="dxa" w:w="90"/>
              <w:left w:type="dxa" w:w="120"/>
              <w:bottom w:type="dxa" w:w="90"/>
              <w:right w:type="dxa" w:w="120"/>
            </w:tcMar>
          </w:tcPr>
          <w:p>
            <w:pPr>
              <w:spacing w:after="40"/>
            </w:pPr>
            <w:r>
              <w:rPr>
                <w:rFonts w:ascii="Calibri" w:cs="Calibri" w:eastAsia="Calibri" w:hAnsi="Calibri"/>
                <w:sz w:val="19"/>
                <w:szCs w:val="19"/>
              </w:rPr>
              <w:t xml:space="preserve">Revenue-Based</w:t>
            </w:r>
          </w:p>
          <w:p>
            <w:pPr>
              <w:spacing w:after="40"/>
            </w:pPr>
            <w:r>
              <w:rPr>
                <w:rFonts w:ascii="Calibri" w:cs="Calibri" w:eastAsia="Calibri" w:hAnsi="Calibri"/>
                <w:sz w:val="19"/>
                <w:szCs w:val="19"/>
              </w:rPr>
              <w:t xml:space="preserve">• Up to €20 million OR 4% of global turnover (higher)</w:t>
            </w:r>
          </w:p>
          <w:p>
            <w:pPr>
              <w:spacing w:after="40"/>
            </w:pPr>
            <w:r>
              <w:rPr>
                <w:rFonts w:ascii="Calibri" w:cs="Calibri" w:eastAsia="Calibri" w:hAnsi="Calibri"/>
                <w:sz w:val="19"/>
                <w:szCs w:val="19"/>
              </w:rPr>
              <w:t xml:space="preserve">• Lower tier: €10 million or 2%</w:t>
            </w:r>
          </w:p>
          <w:p>
            <w:pPr>
              <w:spacing w:after="40"/>
            </w:pPr>
            <w:r>
              <w:rPr>
                <w:rFonts w:ascii="Calibri" w:cs="Calibri" w:eastAsia="Calibri" w:hAnsi="Calibri"/>
                <w:sz w:val="19"/>
                <w:szCs w:val="19"/>
              </w:rPr>
              <w:t xml:space="preserve">• Proportionate to size</w:t>
            </w:r>
          </w:p>
        </w:tc>
      </w:tr>
      <w:tr>
        <w:tc>
          <w:tcPr>
            <w:tcW w:type="dxa" w:w="1750"/>
            <w:shd w:fill="FFFFFF" w:val="clear"/>
            <w:tcMar>
              <w:top w:type="dxa" w:w="90"/>
              <w:left w:type="dxa" w:w="120"/>
              <w:bottom w:type="dxa" w:w="90"/>
              <w:right w:type="dxa" w:w="120"/>
            </w:tcMar>
          </w:tcPr>
          <w:p>
            <w:r>
              <w:rPr>
                <w:rFonts w:ascii="Calibri" w:cs="Calibri" w:eastAsia="Calibri" w:hAnsi="Calibri"/>
                <w:sz w:val="19"/>
                <w:szCs w:val="19"/>
              </w:rPr>
              <w:t xml:space="preserve">DPO Requirements</w:t>
            </w:r>
          </w:p>
        </w:tc>
        <w:tc>
          <w:tcPr>
            <w:tcW w:type="dxa" w:w="3800"/>
            <w:shd w:fill="FFFFFF" w:val="clear"/>
            <w:tcMar>
              <w:top w:type="dxa" w:w="90"/>
              <w:left w:type="dxa" w:w="120"/>
              <w:bottom w:type="dxa" w:w="90"/>
              <w:right w:type="dxa" w:w="120"/>
            </w:tcMar>
          </w:tcPr>
          <w:p>
            <w:pPr>
              <w:spacing w:after="40"/>
            </w:pPr>
            <w:r>
              <w:rPr>
                <w:rFonts w:ascii="Calibri" w:cs="Calibri" w:eastAsia="Calibri" w:hAnsi="Calibri"/>
                <w:sz w:val="19"/>
                <w:szCs w:val="19"/>
              </w:rPr>
              <w:t xml:space="preserve">Only for SDFs</w:t>
            </w:r>
          </w:p>
          <w:p>
            <w:pPr>
              <w:spacing w:after="40"/>
            </w:pPr>
            <w:r>
              <w:rPr>
                <w:rFonts w:ascii="Calibri" w:cs="Calibri" w:eastAsia="Calibri" w:hAnsi="Calibri"/>
                <w:sz w:val="19"/>
                <w:szCs w:val="19"/>
              </w:rPr>
              <w:t xml:space="preserve">• Section 10: Government notification required</w:t>
            </w:r>
          </w:p>
          <w:p>
            <w:pPr>
              <w:spacing w:after="40"/>
            </w:pPr>
            <w:r>
              <w:rPr>
                <w:rFonts w:ascii="Calibri" w:cs="Calibri" w:eastAsia="Calibri" w:hAnsi="Calibri"/>
                <w:sz w:val="19"/>
                <w:szCs w:val="19"/>
              </w:rPr>
              <w:t xml:space="preserve">• Most organizations NOT required</w:t>
            </w:r>
          </w:p>
        </w:tc>
        <w:tc>
          <w:tcPr>
            <w:tcW w:type="dxa" w:w="3800"/>
            <w:shd w:fill="FFFFFF" w:val="clear"/>
            <w:tcMar>
              <w:top w:type="dxa" w:w="90"/>
              <w:left w:type="dxa" w:w="120"/>
              <w:bottom w:type="dxa" w:w="90"/>
              <w:right w:type="dxa" w:w="120"/>
            </w:tcMar>
          </w:tcPr>
          <w:p>
            <w:pPr>
              <w:spacing w:after="40"/>
            </w:pPr>
            <w:r>
              <w:rPr>
                <w:rFonts w:ascii="Calibri" w:cs="Calibri" w:eastAsia="Calibri" w:hAnsi="Calibri"/>
                <w:sz w:val="19"/>
                <w:szCs w:val="19"/>
              </w:rPr>
              <w:t xml:space="preserve">Broader Requirement</w:t>
            </w:r>
          </w:p>
          <w:p>
            <w:pPr>
              <w:spacing w:after="40"/>
            </w:pPr>
            <w:r>
              <w:rPr>
                <w:rFonts w:ascii="Calibri" w:cs="Calibri" w:eastAsia="Calibri" w:hAnsi="Calibri"/>
                <w:sz w:val="19"/>
                <w:szCs w:val="19"/>
              </w:rPr>
              <w:t xml:space="preserve">• Public authorities</w:t>
            </w:r>
          </w:p>
          <w:p>
            <w:pPr>
              <w:spacing w:after="40"/>
            </w:pPr>
            <w:r>
              <w:rPr>
                <w:rFonts w:ascii="Calibri" w:cs="Calibri" w:eastAsia="Calibri" w:hAnsi="Calibri"/>
                <w:sz w:val="19"/>
                <w:szCs w:val="19"/>
              </w:rPr>
              <w:t xml:space="preserve">• Large-scale monitoring</w:t>
            </w:r>
          </w:p>
          <w:p>
            <w:pPr>
              <w:spacing w:after="40"/>
            </w:pPr>
            <w:r>
              <w:rPr>
                <w:rFonts w:ascii="Calibri" w:cs="Calibri" w:eastAsia="Calibri" w:hAnsi="Calibri"/>
                <w:sz w:val="19"/>
                <w:szCs w:val="19"/>
              </w:rPr>
              <w:t xml:space="preserve">• Special category data</w:t>
            </w:r>
          </w:p>
          <w:p>
            <w:pPr>
              <w:spacing w:after="40"/>
            </w:pPr>
            <w:r>
              <w:rPr>
                <w:rFonts w:ascii="Calibri" w:cs="Calibri" w:eastAsia="Calibri" w:hAnsi="Calibri"/>
                <w:sz w:val="19"/>
                <w:szCs w:val="19"/>
              </w:rPr>
              <w:t xml:space="preserve">• Many more must appoint</w:t>
            </w:r>
          </w:p>
        </w:tc>
      </w:tr>
      <w:tr>
        <w:tc>
          <w:tcPr>
            <w:tcW w:type="dxa" w:w="1750"/>
            <w:shd w:fill="F5F7FA" w:val="clear"/>
            <w:tcMar>
              <w:top w:type="dxa" w:w="90"/>
              <w:left w:type="dxa" w:w="120"/>
              <w:bottom w:type="dxa" w:w="90"/>
              <w:right w:type="dxa" w:w="120"/>
            </w:tcMar>
          </w:tcPr>
          <w:p>
            <w:r>
              <w:rPr>
                <w:rFonts w:ascii="Calibri" w:cs="Calibri" w:eastAsia="Calibri" w:hAnsi="Calibri"/>
                <w:sz w:val="19"/>
                <w:szCs w:val="19"/>
              </w:rPr>
              <w:t xml:space="preserve">Data Transfers</w:t>
            </w:r>
          </w:p>
        </w:tc>
        <w:tc>
          <w:tcPr>
            <w:tcW w:type="dxa" w:w="3800"/>
            <w:shd w:fill="F5F7FA" w:val="clear"/>
            <w:tcMar>
              <w:top w:type="dxa" w:w="90"/>
              <w:left w:type="dxa" w:w="120"/>
              <w:bottom w:type="dxa" w:w="90"/>
              <w:right w:type="dxa" w:w="120"/>
            </w:tcMar>
          </w:tcPr>
          <w:p>
            <w:pPr>
              <w:spacing w:after="40"/>
            </w:pPr>
            <w:r>
              <w:rPr>
                <w:rFonts w:ascii="Calibri" w:cs="Calibri" w:eastAsia="Calibri" w:hAnsi="Calibri"/>
                <w:sz w:val="19"/>
                <w:szCs w:val="19"/>
              </w:rPr>
              <w:t xml:space="preserve">Restricted to Notified Countries</w:t>
            </w:r>
          </w:p>
          <w:p>
            <w:pPr>
              <w:spacing w:after="40"/>
            </w:pPr>
            <w:r>
              <w:rPr>
                <w:rFonts w:ascii="Calibri" w:cs="Calibri" w:eastAsia="Calibri" w:hAnsi="Calibri"/>
                <w:sz w:val="19"/>
                <w:szCs w:val="19"/>
              </w:rPr>
              <w:t xml:space="preserve">• Section 16: Government can restrict</w:t>
            </w:r>
          </w:p>
          <w:p>
            <w:pPr>
              <w:spacing w:after="40"/>
            </w:pPr>
            <w:r>
              <w:rPr>
                <w:rFonts w:ascii="Calibri" w:cs="Calibri" w:eastAsia="Calibri" w:hAnsi="Calibri"/>
                <w:sz w:val="19"/>
                <w:szCs w:val="19"/>
              </w:rPr>
              <w:t xml:space="preserve">• No adequacy framework yet</w:t>
            </w:r>
          </w:p>
        </w:tc>
        <w:tc>
          <w:tcPr>
            <w:tcW w:type="dxa" w:w="3800"/>
            <w:shd w:fill="F5F7FA" w:val="clear"/>
            <w:tcMar>
              <w:top w:type="dxa" w:w="90"/>
              <w:left w:type="dxa" w:w="120"/>
              <w:bottom w:type="dxa" w:w="90"/>
              <w:right w:type="dxa" w:w="120"/>
            </w:tcMar>
          </w:tcPr>
          <w:p>
            <w:pPr>
              <w:spacing w:after="40"/>
            </w:pPr>
            <w:r>
              <w:rPr>
                <w:rFonts w:ascii="Calibri" w:cs="Calibri" w:eastAsia="Calibri" w:hAnsi="Calibri"/>
                <w:sz w:val="19"/>
                <w:szCs w:val="19"/>
              </w:rPr>
              <w:t xml:space="preserve">Adequacy Decisions &amp; SCCs</w:t>
            </w:r>
          </w:p>
          <w:p>
            <w:pPr>
              <w:spacing w:after="40"/>
            </w:pPr>
            <w:r>
              <w:rPr>
                <w:rFonts w:ascii="Calibri" w:cs="Calibri" w:eastAsia="Calibri" w:hAnsi="Calibri"/>
                <w:sz w:val="19"/>
                <w:szCs w:val="19"/>
              </w:rPr>
              <w:t xml:space="preserve">• EU Commission determines "adequate" countries</w:t>
            </w:r>
          </w:p>
          <w:p>
            <w:pPr>
              <w:spacing w:after="40"/>
            </w:pPr>
            <w:r>
              <w:rPr>
                <w:rFonts w:ascii="Calibri" w:cs="Calibri" w:eastAsia="Calibri" w:hAnsi="Calibri"/>
                <w:sz w:val="19"/>
                <w:szCs w:val="19"/>
              </w:rPr>
              <w:t xml:space="preserve">• Standard Contractual Clauses</w:t>
            </w:r>
          </w:p>
          <w:p>
            <w:pPr>
              <w:spacing w:after="40"/>
            </w:pPr>
            <w:r>
              <w:rPr>
                <w:rFonts w:ascii="Calibri" w:cs="Calibri" w:eastAsia="Calibri" w:hAnsi="Calibri"/>
                <w:sz w:val="19"/>
                <w:szCs w:val="19"/>
              </w:rPr>
              <w:t xml:space="preserve">• Well-established mechanisms</w:t>
            </w:r>
          </w:p>
        </w:tc>
      </w:tr>
      <w:tr>
        <w:tc>
          <w:tcPr>
            <w:tcW w:type="dxa" w:w="1750"/>
            <w:shd w:fill="FFFFFF" w:val="clear"/>
            <w:tcMar>
              <w:top w:type="dxa" w:w="90"/>
              <w:left w:type="dxa" w:w="120"/>
              <w:bottom w:type="dxa" w:w="90"/>
              <w:right w:type="dxa" w:w="120"/>
            </w:tcMar>
          </w:tcPr>
          <w:p>
            <w:r>
              <w:rPr>
                <w:rFonts w:ascii="Calibri" w:cs="Calibri" w:eastAsia="Calibri" w:hAnsi="Calibri"/>
                <w:sz w:val="19"/>
                <w:szCs w:val="19"/>
              </w:rPr>
              <w:t xml:space="preserve">Individual Rights</w:t>
            </w:r>
          </w:p>
        </w:tc>
        <w:tc>
          <w:tcPr>
            <w:tcW w:type="dxa" w:w="3800"/>
            <w:shd w:fill="FFFFFF" w:val="clear"/>
            <w:tcMar>
              <w:top w:type="dxa" w:w="90"/>
              <w:left w:type="dxa" w:w="120"/>
              <w:bottom w:type="dxa" w:w="90"/>
              <w:right w:type="dxa" w:w="120"/>
            </w:tcMar>
          </w:tcPr>
          <w:p>
            <w:pPr>
              <w:spacing w:after="40"/>
            </w:pPr>
            <w:r>
              <w:rPr>
                <w:rFonts w:ascii="Calibri" w:cs="Calibri" w:eastAsia="Calibri" w:hAnsi="Calibri"/>
                <w:sz w:val="19"/>
                <w:szCs w:val="19"/>
              </w:rPr>
              <w:t xml:space="preserve">Core Rights</w:t>
            </w:r>
          </w:p>
          <w:p>
            <w:pPr>
              <w:spacing w:after="40"/>
            </w:pPr>
            <w:r>
              <w:rPr>
                <w:rFonts w:ascii="Calibri" w:cs="Calibri" w:eastAsia="Calibri" w:hAnsi="Calibri"/>
                <w:sz w:val="19"/>
                <w:szCs w:val="19"/>
              </w:rPr>
              <w:t xml:space="preserve">• Access, Correction, Erasure</w:t>
            </w:r>
          </w:p>
          <w:p>
            <w:pPr>
              <w:spacing w:after="40"/>
            </w:pPr>
            <w:r>
              <w:rPr>
                <w:rFonts w:ascii="Calibri" w:cs="Calibri" w:eastAsia="Calibri" w:hAnsi="Calibri"/>
                <w:sz w:val="19"/>
                <w:szCs w:val="19"/>
              </w:rPr>
              <w:t xml:space="preserve">• Grievance redressal</w:t>
            </w:r>
          </w:p>
          <w:p>
            <w:pPr>
              <w:spacing w:after="40"/>
            </w:pPr>
            <w:r>
              <w:rPr>
                <w:rFonts w:ascii="Calibri" w:cs="Calibri" w:eastAsia="Calibri" w:hAnsi="Calibri"/>
                <w:sz w:val="19"/>
                <w:szCs w:val="19"/>
              </w:rPr>
              <w:t xml:space="preserve">• Simpler, focused set</w:t>
            </w:r>
          </w:p>
        </w:tc>
        <w:tc>
          <w:tcPr>
            <w:tcW w:type="dxa" w:w="3800"/>
            <w:shd w:fill="FFFFFF" w:val="clear"/>
            <w:tcMar>
              <w:top w:type="dxa" w:w="90"/>
              <w:left w:type="dxa" w:w="120"/>
              <w:bottom w:type="dxa" w:w="90"/>
              <w:right w:type="dxa" w:w="120"/>
            </w:tcMar>
          </w:tcPr>
          <w:p>
            <w:pPr>
              <w:spacing w:after="40"/>
            </w:pPr>
            <w:r>
              <w:rPr>
                <w:rFonts w:ascii="Calibri" w:cs="Calibri" w:eastAsia="Calibri" w:hAnsi="Calibri"/>
                <w:sz w:val="19"/>
                <w:szCs w:val="19"/>
              </w:rPr>
              <w:t xml:space="preserve">Comprehensive Rights</w:t>
            </w:r>
          </w:p>
          <w:p>
            <w:pPr>
              <w:spacing w:after="40"/>
            </w:pPr>
            <w:r>
              <w:rPr>
                <w:rFonts w:ascii="Calibri" w:cs="Calibri" w:eastAsia="Calibri" w:hAnsi="Calibri"/>
                <w:sz w:val="19"/>
                <w:szCs w:val="19"/>
              </w:rPr>
              <w:t xml:space="preserve">• Access, Rectification, Erasure</w:t>
            </w:r>
          </w:p>
          <w:p>
            <w:pPr>
              <w:spacing w:after="40"/>
            </w:pPr>
            <w:r>
              <w:rPr>
                <w:rFonts w:ascii="Calibri" w:cs="Calibri" w:eastAsia="Calibri" w:hAnsi="Calibri"/>
                <w:sz w:val="19"/>
                <w:szCs w:val="19"/>
              </w:rPr>
              <w:t xml:space="preserve">• Restriction, Portability, Object</w:t>
            </w:r>
          </w:p>
          <w:p>
            <w:pPr>
              <w:spacing w:after="40"/>
            </w:pPr>
            <w:r>
              <w:rPr>
                <w:rFonts w:ascii="Calibri" w:cs="Calibri" w:eastAsia="Calibri" w:hAnsi="Calibri"/>
                <w:sz w:val="19"/>
                <w:szCs w:val="19"/>
              </w:rPr>
              <w:t xml:space="preserve">• Automated decision-making</w:t>
            </w:r>
          </w:p>
          <w:p>
            <w:pPr>
              <w:spacing w:after="40"/>
            </w:pPr>
            <w:r>
              <w:rPr>
                <w:rFonts w:ascii="Calibri" w:cs="Calibri" w:eastAsia="Calibri" w:hAnsi="Calibri"/>
                <w:sz w:val="19"/>
                <w:szCs w:val="19"/>
              </w:rPr>
              <w:t xml:space="preserve">• More extensive</w:t>
            </w:r>
          </w:p>
        </w:tc>
      </w:tr>
    </w:tbl>
    <w:p>
      <w:pPr>
        <w:spacing w:after="200"/>
      </w:pPr>
    </w:p>
    <w:p>
      <w:pPr>
        <w:pStyle w:val="Heading2"/>
        <w:spacing w:after="150" w:before="300"/>
      </w:pPr>
      <w:r>
        <w:rPr>
          <w:rFonts w:ascii="Georgia" w:cs="Georgia" w:eastAsia="Georgia" w:hAnsi="Georgia"/>
          <w:b/>
          <w:bCs/>
          <w:color w:val="0F7C82"/>
          <w:sz w:val="26"/>
          <w:szCs w:val="26"/>
        </w:rPr>
        <w:t xml:space="preserve">Key Philosophical Differences</w:t>
      </w: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EAF2FA"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DPDPA's Approach: Consent as King</w:t>
            </w:r>
          </w:p>
          <w:p>
            <w:pPr>
              <w:spacing w:after="120"/>
            </w:pPr>
            <w:r>
              <w:rPr>
                <w:rFonts w:ascii="Calibri" w:cs="Calibri" w:eastAsia="Calibri" w:hAnsi="Calibri"/>
                <w:sz w:val="22"/>
                <w:szCs w:val="22"/>
              </w:rPr>
              <w:t xml:space="preserve">DPDPA takes a consent-centric approach. The default assumption is: if you want to process personal data, get consent. Exceptions are narrowly defined in Section 7.</w:t>
            </w:r>
          </w:p>
          <w:p>
            <w:pPr>
              <w:spacing w:after="80"/>
            </w:pPr>
            <w:r>
              <w:rPr>
                <w:rFonts w:ascii="Calibri" w:cs="Calibri" w:eastAsia="Calibri" w:hAnsi="Calibri"/>
                <w:b/>
                <w:bCs/>
                <w:sz w:val="22"/>
                <w:szCs w:val="22"/>
              </w:rPr>
              <w:t xml:space="preserve">Philosophy: </w:t>
            </w:r>
            <w:r>
              <w:rPr>
                <w:rFonts w:ascii="Calibri" w:cs="Calibri" w:eastAsia="Calibri" w:hAnsi="Calibri"/>
                <w:sz w:val="22"/>
                <w:szCs w:val="22"/>
              </w:rPr>
              <w:t xml:space="preserve">Empowers individuals by making consent the primary gateway. Simpler for individuals to understand.</w:t>
            </w:r>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EAF2FA"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GDPR's Approach: Accountability &amp; Risk-Based</w:t>
            </w:r>
          </w:p>
          <w:p>
            <w:pPr>
              <w:spacing w:after="120"/>
            </w:pPr>
            <w:r>
              <w:rPr>
                <w:rFonts w:ascii="Calibri" w:cs="Calibri" w:eastAsia="Calibri" w:hAnsi="Calibri"/>
                <w:sz w:val="22"/>
                <w:szCs w:val="22"/>
              </w:rPr>
              <w:t xml:space="preserve">GDPR takes an accountability-based approach. Organizations must demonstrate compliance through documentation, impact assessments, and choosing appropriate legal basis (consent is just ONE of six options).</w:t>
            </w:r>
          </w:p>
          <w:p>
            <w:pPr>
              <w:spacing w:after="80"/>
            </w:pPr>
            <w:r>
              <w:rPr>
                <w:rFonts w:ascii="Calibri" w:cs="Calibri" w:eastAsia="Calibri" w:hAnsi="Calibri"/>
                <w:b/>
                <w:bCs/>
                <w:sz w:val="22"/>
                <w:szCs w:val="22"/>
              </w:rPr>
              <w:t xml:space="preserve">Philosophy: </w:t>
            </w:r>
            <w:r>
              <w:rPr>
                <w:rFonts w:ascii="Calibri" w:cs="Calibri" w:eastAsia="Calibri" w:hAnsi="Calibri"/>
                <w:sz w:val="22"/>
                <w:szCs w:val="22"/>
              </w:rPr>
              <w:t xml:space="preserve">Places burden on organizations to prove their processing is lawful and necessary. More flexible but requires sophisticated compliance frameworks.</w:t>
            </w:r>
          </w:p>
        </w:tc>
      </w:tr>
    </w:tbl>
    <w:p>
      <w:r>
        <w:br w:type="page"/>
      </w: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 Compliance Strategy for Multinationals</w:t>
            </w:r>
          </w:p>
          <w:p>
            <w:pPr>
              <w:spacing w:after="80"/>
            </w:pPr>
            <w:r>
              <w:rPr>
                <w:rFonts w:ascii="Calibri" w:cs="Calibri" w:eastAsia="Calibri" w:hAnsi="Calibri"/>
                <w:b/>
                <w:bCs/>
                <w:sz w:val="22"/>
                <w:szCs w:val="22"/>
              </w:rPr>
              <w:t xml:space="preserve">Scenario: </w:t>
            </w:r>
            <w:r>
              <w:rPr>
                <w:rFonts w:ascii="Calibri" w:cs="Calibri" w:eastAsia="Calibri" w:hAnsi="Calibri"/>
                <w:sz w:val="22"/>
                <w:szCs w:val="22"/>
              </w:rPr>
              <w:t xml:space="preserve">Global tech company serving users in India, EU, and USA</w:t>
            </w:r>
          </w:p>
          <w:p>
            <w:pPr>
              <w:spacing w:after="100" w:before="200"/>
            </w:pPr>
            <w:r>
              <w:rPr>
                <w:rFonts w:ascii="Georgia" w:cs="Georgia" w:eastAsia="Georgia" w:hAnsi="Georgia"/>
                <w:b/>
                <w:bCs/>
                <w:color w:val="1E7A3D"/>
                <w:sz w:val="22"/>
                <w:szCs w:val="22"/>
              </w:rPr>
              <w:t xml:space="preserve">Strategy:</w:t>
            </w:r>
          </w:p>
          <w:p>
            <w:pPr>
              <w:pStyle w:val="ListParagraph"/>
              <w:numPr>
                <w:ilvl w:val="0"/>
                <w:numId w:val="2"/>
              </w:numPr>
              <w:spacing w:after="80"/>
            </w:pPr>
            <w:r>
              <w:rPr>
                <w:rFonts w:ascii="Calibri" w:cs="Calibri" w:eastAsia="Calibri" w:hAnsi="Calibri"/>
                <w:sz w:val="22"/>
                <w:szCs w:val="22"/>
              </w:rPr>
              <w:t xml:space="preserve">1. Build to Highest Standard: If you comply with GDPR (most stringent), you're largely compliant with DPDPA</w:t>
            </w:r>
          </w:p>
          <w:p>
            <w:pPr>
              <w:pStyle w:val="ListParagraph"/>
              <w:numPr>
                <w:ilvl w:val="0"/>
                <w:numId w:val="2"/>
              </w:numPr>
              <w:spacing w:after="80"/>
            </w:pPr>
            <w:r>
              <w:rPr>
                <w:rFonts w:ascii="Calibri" w:cs="Calibri" w:eastAsia="Calibri" w:hAnsi="Calibri"/>
                <w:sz w:val="22"/>
                <w:szCs w:val="22"/>
              </w:rPr>
              <w:t xml:space="preserve">2. India-Specific Additions: Ensure consent mechanisms meet DPDPA's requirements, prepare for SDF designation, monitor Board notifications</w:t>
            </w:r>
          </w:p>
          <w:p>
            <w:pPr>
              <w:pStyle w:val="ListParagraph"/>
              <w:numPr>
                <w:ilvl w:val="0"/>
                <w:numId w:val="2"/>
              </w:numPr>
              <w:spacing w:after="80"/>
            </w:pPr>
            <w:r>
              <w:rPr>
                <w:rFonts w:ascii="Calibri" w:cs="Calibri" w:eastAsia="Calibri" w:hAnsi="Calibri"/>
                <w:sz w:val="22"/>
                <w:szCs w:val="22"/>
              </w:rPr>
              <w:t xml:space="preserve">3. Leverage GDPR Infrastructure: DPIAs, records of processing, privacy notices can be adapted</w:t>
            </w:r>
          </w:p>
          <w:p>
            <w:pPr>
              <w:pStyle w:val="ListParagraph"/>
              <w:numPr>
                <w:ilvl w:val="0"/>
                <w:numId w:val="2"/>
              </w:numPr>
              <w:spacing w:after="80"/>
            </w:pPr>
            <w:r>
              <w:rPr>
                <w:rFonts w:ascii="Calibri" w:cs="Calibri" w:eastAsia="Calibri" w:hAnsi="Calibri"/>
                <w:sz w:val="22"/>
                <w:szCs w:val="22"/>
              </w:rPr>
              <w:t xml:space="preserve">4. Key Differences to Address: India uses consent as default (vs. GDPR's six bases), DPO only if SDF, fixed penalties</w:t>
            </w:r>
          </w:p>
        </w:tc>
      </w:tr>
    </w:tbl>
    <w:p>
      <w:pPr>
        <w:spacing w:after="150"/>
      </w:pPr>
    </w:p>
    <w:tbl>
      <w:tblPr>
        <w:tblW w:type="pct" w:w="100%"/>
        <w:tblBorders>
          <w:top w:val="single" w:color="C79A3C" w:sz="6"/>
          <w:left w:val="single" w:color="C79A3C" w:sz="24"/>
          <w:bottom w:val="single" w:color="C79A3C" w:sz="6"/>
          <w:right w:val="single" w:color="C79A3C" w:sz="6"/>
          <w:insideH w:val="single" w:color="auto" w:sz="4"/>
          <w:insideV w:val="single" w:color="auto" w:sz="4"/>
        </w:tblBorders>
      </w:tblPr>
      <w:tblGrid>
        <w:gridCol w:w="100"/>
      </w:tblGrid>
      <w:tr>
        <w:tc>
          <w:tcPr>
            <w:shd w:fill="FBF3DF" w:val="clear"/>
            <w:tcMar>
              <w:top w:type="dxa" w:w="150"/>
              <w:left w:type="dxa" w:w="200"/>
              <w:bottom w:type="dxa" w:w="150"/>
              <w:right w:type="dxa" w:w="200"/>
            </w:tcMar>
          </w:tcPr>
          <w:p>
            <w:pPr>
              <w:spacing w:after="100"/>
            </w:pPr>
            <w:r>
              <w:rPr>
                <w:rFonts w:ascii="Georgia" w:cs="Georgia" w:eastAsia="Georgia" w:hAnsi="Georgia"/>
                <w:b/>
                <w:bCs/>
                <w:color w:val="8A6D1E"/>
                <w:sz w:val="22"/>
                <w:szCs w:val="22"/>
              </w:rPr>
              <w:t xml:space="preserve">💡 What DPDPA Learned from GDPR</w:t>
            </w:r>
          </w:p>
          <w:p>
            <w:pPr>
              <w:spacing w:after="120"/>
            </w:pPr>
            <w:r>
              <w:rPr>
                <w:rFonts w:ascii="Calibri" w:cs="Calibri" w:eastAsia="Calibri" w:hAnsi="Calibri"/>
                <w:sz w:val="22"/>
                <w:szCs w:val="22"/>
              </w:rPr>
              <w:t xml:space="preserve">DPDPA drafters studied GDPR implementation (2018-2023) and made conscious choices:</w:t>
            </w:r>
          </w:p>
          <w:p>
            <w:pPr>
              <w:spacing w:after="80"/>
            </w:pPr>
            <w:r>
              <w:rPr>
                <w:rFonts w:ascii="Calibri" w:cs="Calibri" w:eastAsia="Calibri" w:hAnsi="Calibri"/>
                <w:b/>
                <w:bCs/>
                <w:sz w:val="22"/>
                <w:szCs w:val="22"/>
              </w:rPr>
              <w:t xml:space="preserve">Adopted: </w:t>
            </w:r>
            <w:r>
              <w:rPr>
                <w:rFonts w:ascii="Calibri" w:cs="Calibri" w:eastAsia="Calibri" w:hAnsi="Calibri"/>
                <w:sz w:val="22"/>
                <w:szCs w:val="22"/>
              </w:rPr>
              <w:t xml:space="preserve">Extraterritorial application, strong enforcement, individual rights</w:t>
            </w:r>
          </w:p>
          <w:p>
            <w:pPr>
              <w:spacing w:after="80"/>
            </w:pPr>
            <w:r>
              <w:rPr>
                <w:rFonts w:ascii="Calibri" w:cs="Calibri" w:eastAsia="Calibri" w:hAnsi="Calibri"/>
                <w:b/>
                <w:bCs/>
                <w:sz w:val="22"/>
                <w:szCs w:val="22"/>
              </w:rPr>
              <w:t xml:space="preserve">Simplified: </w:t>
            </w:r>
            <w:r>
              <w:rPr>
                <w:rFonts w:ascii="Calibri" w:cs="Calibri" w:eastAsia="Calibri" w:hAnsi="Calibri"/>
                <w:sz w:val="22"/>
                <w:szCs w:val="22"/>
              </w:rPr>
              <w:t xml:space="preserve">Removed complex concepts like "legitimate interests balancing," multi-tiered authorities</w:t>
            </w:r>
          </w:p>
          <w:p>
            <w:pPr>
              <w:spacing w:after="80"/>
            </w:pPr>
            <w:r>
              <w:rPr>
                <w:rFonts w:ascii="Calibri" w:cs="Calibri" w:eastAsia="Calibri" w:hAnsi="Calibri"/>
                <w:b/>
                <w:bCs/>
                <w:sz w:val="22"/>
                <w:szCs w:val="22"/>
              </w:rPr>
              <w:t xml:space="preserve">Indianized: </w:t>
            </w:r>
            <w:r>
              <w:rPr>
                <w:rFonts w:ascii="Calibri" w:cs="Calibri" w:eastAsia="Calibri" w:hAnsi="Calibri"/>
                <w:sz w:val="22"/>
                <w:szCs w:val="22"/>
              </w:rPr>
              <w:t xml:space="preserve">Fixed penalties (certainty), consent-based model (cultural fit), proportionate obligations (only SDFs get heavy burden)</w:t>
            </w:r>
          </w:p>
          <w:p>
            <w:pPr>
              <w:spacing w:after="80"/>
            </w:pPr>
            <w:r>
              <w:rPr>
                <w:rFonts w:ascii="Calibri" w:cs="Calibri" w:eastAsia="Calibri" w:hAnsi="Calibri"/>
                <w:b/>
                <w:bCs/>
                <w:sz w:val="22"/>
                <w:szCs w:val="22"/>
              </w:rPr>
              <w:t xml:space="preserve">Avoided: </w:t>
            </w:r>
            <w:r>
              <w:rPr>
                <w:rFonts w:ascii="Calibri" w:cs="Calibri" w:eastAsia="Calibri" w:hAnsi="Calibri"/>
                <w:sz w:val="22"/>
                <w:szCs w:val="22"/>
              </w:rPr>
              <w:t xml:space="preserve">GDPR's complexity which led to compliance challenges for SMEs</w:t>
            </w:r>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EAF2FA"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 Notable GDPR Enforcement Cases (Lessons for DPDPA)</w:t>
            </w:r>
          </w:p>
          <w:p>
            <w:pPr>
              <w:spacing w:after="100" w:before="200"/>
            </w:pPr>
            <w:r>
              <w:rPr>
                <w:rFonts w:ascii="Georgia" w:cs="Georgia" w:eastAsia="Georgia" w:hAnsi="Georgia"/>
                <w:b/>
                <w:bCs/>
                <w:color w:val="E1604B"/>
                <w:sz w:val="22"/>
                <w:szCs w:val="22"/>
              </w:rPr>
              <w:t xml:space="preserve">1. Google LLC v. CNIL (2019) — €50 Million Fine</w:t>
            </w:r>
          </w:p>
          <w:p>
            <w:pPr>
              <w:spacing w:after="80"/>
            </w:pPr>
            <w:r>
              <w:rPr>
                <w:rFonts w:ascii="Calibri" w:cs="Calibri" w:eastAsia="Calibri" w:hAnsi="Calibri"/>
                <w:b/>
                <w:bCs/>
                <w:sz w:val="22"/>
                <w:szCs w:val="22"/>
              </w:rPr>
              <w:t xml:space="preserve">Issue: </w:t>
            </w:r>
            <w:r>
              <w:rPr>
                <w:rFonts w:ascii="Calibri" w:cs="Calibri" w:eastAsia="Calibri" w:hAnsi="Calibri"/>
                <w:sz w:val="22"/>
                <w:szCs w:val="22"/>
              </w:rPr>
              <w:t xml:space="preserve">Lack of valid consent, insufficient transparency</w:t>
            </w:r>
          </w:p>
          <w:p>
            <w:pPr>
              <w:spacing w:after="80"/>
            </w:pPr>
            <w:r>
              <w:rPr>
                <w:rFonts w:ascii="Calibri" w:cs="Calibri" w:eastAsia="Calibri" w:hAnsi="Calibri"/>
                <w:b/>
                <w:bCs/>
                <w:sz w:val="22"/>
                <w:szCs w:val="22"/>
              </w:rPr>
              <w:t xml:space="preserve">Lesson for DPDPA: </w:t>
            </w:r>
            <w:r>
              <w:rPr>
                <w:rFonts w:ascii="Calibri" w:cs="Calibri" w:eastAsia="Calibri" w:hAnsi="Calibri"/>
                <w:sz w:val="22"/>
                <w:szCs w:val="22"/>
              </w:rPr>
              <w:t xml:space="preserve">Consent mechanisms must be clear and specific; vague privacy policies won't suffice</w:t>
            </w:r>
          </w:p>
          <w:p>
            <w:pPr>
              <w:spacing w:after="100" w:before="200"/>
            </w:pPr>
            <w:r>
              <w:rPr>
                <w:rFonts w:ascii="Georgia" w:cs="Georgia" w:eastAsia="Georgia" w:hAnsi="Georgia"/>
                <w:b/>
                <w:bCs/>
                <w:color w:val="E1604B"/>
                <w:sz w:val="22"/>
                <w:szCs w:val="22"/>
              </w:rPr>
              <w:t xml:space="preserve">2. Meta (Facebook) Ireland — €1.2 Billion Fine (2023)</w:t>
            </w:r>
          </w:p>
          <w:p>
            <w:pPr>
              <w:spacing w:after="80"/>
            </w:pPr>
            <w:r>
              <w:rPr>
                <w:rFonts w:ascii="Calibri" w:cs="Calibri" w:eastAsia="Calibri" w:hAnsi="Calibri"/>
                <w:b/>
                <w:bCs/>
                <w:sz w:val="22"/>
                <w:szCs w:val="22"/>
              </w:rPr>
              <w:t xml:space="preserve">Issue: </w:t>
            </w:r>
            <w:r>
              <w:rPr>
                <w:rFonts w:ascii="Calibri" w:cs="Calibri" w:eastAsia="Calibri" w:hAnsi="Calibri"/>
                <w:sz w:val="22"/>
                <w:szCs w:val="22"/>
              </w:rPr>
              <w:t xml:space="preserve">Illegal data transfers to USA</w:t>
            </w:r>
          </w:p>
          <w:p>
            <w:pPr>
              <w:spacing w:after="80"/>
            </w:pPr>
            <w:r>
              <w:rPr>
                <w:rFonts w:ascii="Calibri" w:cs="Calibri" w:eastAsia="Calibri" w:hAnsi="Calibri"/>
                <w:b/>
                <w:bCs/>
                <w:sz w:val="22"/>
                <w:szCs w:val="22"/>
              </w:rPr>
              <w:t xml:space="preserve">Lesson for DPDPA: </w:t>
            </w:r>
            <w:r>
              <w:rPr>
                <w:rFonts w:ascii="Calibri" w:cs="Calibri" w:eastAsia="Calibri" w:hAnsi="Calibri"/>
                <w:sz w:val="22"/>
                <w:szCs w:val="22"/>
              </w:rPr>
              <w:t xml:space="preserve">Cross-border transfers will be scrutinized; organizations must wait for government notifications under Section 16</w:t>
            </w:r>
          </w:p>
          <w:p>
            <w:pPr>
              <w:spacing w:after="100" w:before="200"/>
            </w:pPr>
            <w:r>
              <w:rPr>
                <w:rFonts w:ascii="Georgia" w:cs="Georgia" w:eastAsia="Georgia" w:hAnsi="Georgia"/>
                <w:b/>
                <w:bCs/>
                <w:color w:val="E1604B"/>
                <w:sz w:val="22"/>
                <w:szCs w:val="22"/>
              </w:rPr>
              <w:t xml:space="preserve">3. Amazon Europe — €746 Million Fine (2021)</w:t>
            </w:r>
          </w:p>
          <w:p>
            <w:pPr>
              <w:spacing w:after="80"/>
            </w:pPr>
            <w:r>
              <w:rPr>
                <w:rFonts w:ascii="Calibri" w:cs="Calibri" w:eastAsia="Calibri" w:hAnsi="Calibri"/>
                <w:b/>
                <w:bCs/>
                <w:sz w:val="22"/>
                <w:szCs w:val="22"/>
              </w:rPr>
              <w:t xml:space="preserve">Issue: </w:t>
            </w:r>
            <w:r>
              <w:rPr>
                <w:rFonts w:ascii="Calibri" w:cs="Calibri" w:eastAsia="Calibri" w:hAnsi="Calibri"/>
                <w:sz w:val="22"/>
                <w:szCs w:val="22"/>
              </w:rPr>
              <w:t xml:space="preserve">Insufficient legal basis for processing for advertising</w:t>
            </w:r>
          </w:p>
          <w:p>
            <w:pPr>
              <w:spacing w:after="80"/>
            </w:pPr>
            <w:r>
              <w:rPr>
                <w:rFonts w:ascii="Calibri" w:cs="Calibri" w:eastAsia="Calibri" w:hAnsi="Calibri"/>
                <w:b/>
                <w:bCs/>
                <w:sz w:val="22"/>
                <w:szCs w:val="22"/>
              </w:rPr>
              <w:t xml:space="preserve">Lesson for DPDPA: </w:t>
            </w:r>
            <w:r>
              <w:rPr>
                <w:rFonts w:ascii="Calibri" w:cs="Calibri" w:eastAsia="Calibri" w:hAnsi="Calibri"/>
                <w:sz w:val="22"/>
                <w:szCs w:val="22"/>
              </w:rPr>
              <w:t xml:space="preserve">Purpose must be clearly specified; consent for one purpose doesn't authorize another</w:t>
            </w:r>
          </w:p>
        </w:tc>
      </w:tr>
    </w:tbl>
    <w:p>
      <w:pPr>
        <w:spacing w:after="150"/>
      </w:pP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 Key Takeaways</w:t>
            </w:r>
          </w:p>
          <w:p>
            <w:pPr>
              <w:pStyle w:val="ListParagraph"/>
              <w:numPr>
                <w:ilvl w:val="0"/>
                <w:numId w:val="2"/>
              </w:numPr>
              <w:spacing w:after="60"/>
            </w:pPr>
            <w:r>
              <w:rPr>
                <w:rFonts w:ascii="Calibri" w:cs="Calibri" w:eastAsia="Calibri" w:hAnsi="Calibri"/>
                <w:sz w:val="21"/>
                <w:szCs w:val="21"/>
              </w:rPr>
              <w:t xml:space="preserve">DPDPA is consent-centric; GDPR is accountability-based with six legal bases</w:t>
            </w:r>
          </w:p>
          <w:p>
            <w:pPr>
              <w:pStyle w:val="ListParagraph"/>
              <w:numPr>
                <w:ilvl w:val="0"/>
                <w:numId w:val="2"/>
              </w:numPr>
              <w:spacing w:after="60"/>
            </w:pPr>
            <w:r>
              <w:rPr>
                <w:rFonts w:ascii="Calibri" w:cs="Calibri" w:eastAsia="Calibri" w:hAnsi="Calibri"/>
                <w:sz w:val="21"/>
                <w:szCs w:val="21"/>
              </w:rPr>
              <w:t xml:space="preserve">DPDPA has fixed penalties (up to ₹250 crores); GDPR has revenue-based (4% of turnover)</w:t>
            </w:r>
          </w:p>
          <w:p>
            <w:pPr>
              <w:pStyle w:val="ListParagraph"/>
              <w:numPr>
                <w:ilvl w:val="0"/>
                <w:numId w:val="2"/>
              </w:numPr>
              <w:spacing w:after="60"/>
            </w:pPr>
            <w:r>
              <w:rPr>
                <w:rFonts w:ascii="Calibri" w:cs="Calibri" w:eastAsia="Calibri" w:hAnsi="Calibri"/>
                <w:sz w:val="21"/>
                <w:szCs w:val="21"/>
              </w:rPr>
              <w:t xml:space="preserve">DPO required only for SDFs in India; broader requirement in EU</w:t>
            </w:r>
          </w:p>
          <w:p>
            <w:pPr>
              <w:pStyle w:val="ListParagraph"/>
              <w:numPr>
                <w:ilvl w:val="0"/>
                <w:numId w:val="2"/>
              </w:numPr>
              <w:spacing w:after="60"/>
            </w:pPr>
            <w:r>
              <w:rPr>
                <w:rFonts w:ascii="Calibri" w:cs="Calibri" w:eastAsia="Calibri" w:hAnsi="Calibri"/>
                <w:sz w:val="21"/>
                <w:szCs w:val="21"/>
              </w:rPr>
              <w:t xml:space="preserve">DPDPA simplifies compliance compared to GDPR while maintaining strong protections</w:t>
            </w:r>
          </w:p>
          <w:p>
            <w:pPr>
              <w:pStyle w:val="ListParagraph"/>
              <w:numPr>
                <w:ilvl w:val="0"/>
                <w:numId w:val="2"/>
              </w:numPr>
              <w:spacing w:after="60"/>
            </w:pPr>
            <w:r>
              <w:rPr>
                <w:rFonts w:ascii="Calibri" w:cs="Calibri" w:eastAsia="Calibri" w:hAnsi="Calibri"/>
                <w:sz w:val="21"/>
                <w:szCs w:val="21"/>
              </w:rPr>
              <w:t xml:space="preserve">Organizations complying with GDPR can adapt to DPDPA relatively easily</w:t>
            </w:r>
          </w:p>
          <w:p>
            <w:pPr>
              <w:pStyle w:val="ListParagraph"/>
              <w:numPr>
                <w:ilvl w:val="0"/>
                <w:numId w:val="2"/>
              </w:numPr>
              <w:spacing w:after="60"/>
            </w:pPr>
            <w:r>
              <w:rPr>
                <w:rFonts w:ascii="Calibri" w:cs="Calibri" w:eastAsia="Calibri" w:hAnsi="Calibri"/>
                <w:sz w:val="21"/>
                <w:szCs w:val="21"/>
              </w:rPr>
              <w:t xml:space="preserve">Global data protection laws are converging on core principles despite different approaches</w:t>
            </w:r>
          </w:p>
        </w:tc>
      </w:tr>
    </w:tbl>
    <w:p>
      <w:r>
        <w:br w:type="page"/>
      </w:r>
    </w:p>
    <w:p>
      <w:pPr>
        <w:pStyle w:val="Heading1"/>
        <w:pBdr>
          <w:bottom w:val="single" w:color="1B2A4A" w:sz="12" w:space="4"/>
        </w:pBdr>
        <w:spacing w:after="200" w:before="400"/>
      </w:pPr>
      <w:r>
        <w:rPr>
          <w:rFonts w:ascii="Georgia" w:cs="Georgia" w:eastAsia="Georgia" w:hAnsi="Georgia"/>
          <w:b/>
          <w:bCs/>
          <w:color w:val="1B2A4A"/>
          <w:sz w:val="32"/>
          <w:szCs w:val="32"/>
        </w:rPr>
        <w:t xml:space="preserve">📚 Recommended Reading &amp; Resources</w:t>
      </w:r>
    </w:p>
    <w:p>
      <w:pPr>
        <w:spacing w:after="10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F7F9FC"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Primary Legislation:</w:t>
            </w:r>
          </w:p>
          <w:p>
            <w:pPr>
              <w:spacing w:after="120"/>
            </w:pPr>
            <w:r>
              <w:rPr>
                <w:rFonts w:ascii="Calibri" w:cs="Calibri" w:eastAsia="Calibri" w:hAnsi="Calibri"/>
                <w:color w:val="0F7C82"/>
                <w:sz w:val="22"/>
                <w:szCs w:val="22"/>
              </w:rPr>
              <w:t xml:space="preserve">Digital Personal Data Protection Act, 2023 - Sections 1-2 (Preliminary)</w:t>
            </w:r>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F7F9FC"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Rules &amp; Regulations:</w:t>
            </w:r>
          </w:p>
          <w:p>
            <w:pPr>
              <w:spacing w:after="120"/>
            </w:pPr>
            <w:r>
              <w:rPr>
                <w:rFonts w:ascii="Calibri" w:cs="Calibri" w:eastAsia="Calibri" w:hAnsi="Calibri"/>
                <w:color w:val="0F7C82"/>
                <w:sz w:val="22"/>
                <w:szCs w:val="22"/>
              </w:rPr>
              <w:t xml:space="preserve">DPDP Rules 2025 - Rule 3 (Definitions)</w:t>
            </w:r>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F7F9FC"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Foundational Case Law:</w:t>
            </w:r>
          </w:p>
          <w:p>
            <w:pPr>
              <w:spacing w:after="120"/>
            </w:pPr>
            <w:r>
              <w:rPr>
                <w:rFonts w:ascii="Calibri" w:cs="Calibri" w:eastAsia="Calibri" w:hAnsi="Calibri"/>
                <w:color w:val="0F7C82"/>
                <w:sz w:val="22"/>
                <w:szCs w:val="22"/>
              </w:rPr>
              <w:t xml:space="preserve">Justice K.S. Puttaswamy v. Union of India (2017) 10 SCC 1 - Right to Privacy Judgment</w:t>
            </w:r>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F7F9FC"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Government Resources:</w:t>
            </w:r>
          </w:p>
          <w:p>
            <w:pPr>
              <w:spacing w:after="120"/>
            </w:pPr>
            <w:r>
              <w:rPr>
                <w:rFonts w:ascii="Calibri" w:cs="Calibri" w:eastAsia="Calibri" w:hAnsi="Calibri"/>
                <w:color w:val="0F7C82"/>
                <w:sz w:val="22"/>
                <w:szCs w:val="22"/>
              </w:rPr>
              <w:t xml:space="preserve">Ministry of Electronics and Information Technology (MeitY) - Official Notifications</w:t>
            </w:r>
          </w:p>
        </w:tc>
      </w:tr>
    </w:tbl>
    <w:p>
      <w:pPr>
        <w:spacing w:after="250"/>
      </w:pP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FFFFFF" w:val="clear"/>
            <w:tcMar>
              <w:top w:type="dxa" w:w="150"/>
              <w:left w:type="dxa" w:w="200"/>
              <w:bottom w:type="dxa" w:w="150"/>
              <w:right w:type="dxa" w:w="200"/>
            </w:tcMar>
          </w:tcPr>
          <w:p>
            <w:pPr>
              <w:spacing w:after="100"/>
            </w:pPr>
            <w:r>
              <w:rPr>
                <w:rFonts w:ascii="Georgia" w:cs="Georgia" w:eastAsia="Georgia" w:hAnsi="Georgia"/>
                <w:b/>
                <w:bCs/>
                <w:color w:val="0F7C82"/>
                <w:sz w:val="22"/>
                <w:szCs w:val="22"/>
              </w:rPr>
              <w:t xml:space="preserve">✅ Self-Assessment Quiz</w:t>
            </w:r>
          </w:p>
          <w:p>
            <w:pPr>
              <w:spacing w:after="120"/>
            </w:pPr>
            <w:r>
              <w:rPr>
                <w:rFonts w:ascii="Calibri" w:cs="Calibri" w:eastAsia="Calibri" w:hAnsi="Calibri"/>
                <w:sz w:val="22"/>
                <w:szCs w:val="22"/>
              </w:rPr>
              <w:t xml:space="preserve">Test your understanding of Module 1 concepts:</w:t>
            </w:r>
          </w:p>
          <w:p>
            <w:pPr>
              <w:spacing w:after="10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FFFFFF"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1. When did DPDPA 2023 receive Presidential assent?</w:t>
                  </w:r>
                </w:p>
                <w:p>
                  <w:pPr>
                    <w:shd w:fill="1B2A4A" w:val="clear"/>
                    <w:spacing w:after="80" w:before="80"/>
                  </w:pPr>
                  <w:r>
                    <w:rPr>
                      <w:rFonts w:ascii="Calibri" w:cs="Calibri" w:eastAsia="Calibri" w:hAnsi="Calibri"/>
                      <w:b/>
                      <w:bCs/>
                      <w:color w:val="FFFFFF"/>
                      <w:sz w:val="18"/>
                      <w:szCs w:val="18"/>
                    </w:rPr>
                    <w:t xml:space="preserve">Hide Answer</w:t>
                  </w: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Answer:</w:t>
                        </w:r>
                      </w:p>
                      <w:p>
                        <w:pPr>
                          <w:spacing w:after="120"/>
                        </w:pPr>
                        <w:r>
                          <w:rPr>
                            <w:rFonts w:ascii="Calibri" w:cs="Calibri" w:eastAsia="Calibri" w:hAnsi="Calibri"/>
                            <w:sz w:val="22"/>
                            <w:szCs w:val="22"/>
                          </w:rPr>
                          <w:t xml:space="preserve">August 11, 2023</w:t>
                        </w:r>
                      </w:p>
                      <w:p>
                        <w:pPr>
                          <w:spacing w:after="120"/>
                        </w:pPr>
                        <w:r>
                          <w:rPr>
                            <w:rFonts w:ascii="Calibri" w:cs="Calibri" w:eastAsia="Calibri" w:hAnsi="Calibri"/>
                            <w:sz w:val="22"/>
                            <w:szCs w:val="22"/>
                          </w:rPr>
                          <w:t xml:space="preserve">The DPDPA received Presidential assent on August 11, 2023, marking the completion of the legislative process.</w:t>
                        </w:r>
                      </w:p>
                    </w:tc>
                  </w:tr>
                </w:tbl>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FFFFFF"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2. What is the key difference between Data Fiduciary and Data Processor?</w:t>
                  </w:r>
                </w:p>
                <w:p>
                  <w:pPr>
                    <w:shd w:fill="1B2A4A" w:val="clear"/>
                    <w:spacing w:after="80" w:before="80"/>
                  </w:pPr>
                  <w:r>
                    <w:rPr>
                      <w:rFonts w:ascii="Calibri" w:cs="Calibri" w:eastAsia="Calibri" w:hAnsi="Calibri"/>
                      <w:b/>
                      <w:bCs/>
                      <w:color w:val="FFFFFF"/>
                      <w:sz w:val="18"/>
                      <w:szCs w:val="18"/>
                    </w:rPr>
                    <w:t xml:space="preserve">Hide Answer</w:t>
                  </w: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Answer:</w:t>
                        </w:r>
                      </w:p>
                      <w:p>
                        <w:pPr>
                          <w:spacing w:after="120"/>
                        </w:pPr>
                        <w:r>
                          <w:rPr>
                            <w:rFonts w:ascii="Calibri" w:cs="Calibri" w:eastAsia="Calibri" w:hAnsi="Calibri"/>
                            <w:sz w:val="22"/>
                            <w:szCs w:val="22"/>
                          </w:rPr>
                          <w:t xml:space="preserve">Data Fiduciary determines the purpose and means of processing (the “controller”), while Data Processor processes data on behalf of the Data Fiduciary under their instructions (the “service provider”). Example: Amazon (Fiduciary) uses AWS (Processor) to store customer data.</w:t>
                        </w:r>
                      </w:p>
                    </w:tc>
                  </w:tr>
                </w:tbl>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FFFFFF"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3. Does DPDPA apply to a US company with no offices in India but selling products to Indian customers online?</w:t>
                  </w:r>
                </w:p>
                <w:p>
                  <w:pPr>
                    <w:shd w:fill="1B2A4A" w:val="clear"/>
                    <w:spacing w:after="80" w:before="80"/>
                  </w:pPr>
                  <w:r>
                    <w:rPr>
                      <w:rFonts w:ascii="Calibri" w:cs="Calibri" w:eastAsia="Calibri" w:hAnsi="Calibri"/>
                      <w:b/>
                      <w:bCs/>
                      <w:color w:val="FFFFFF"/>
                      <w:sz w:val="18"/>
                      <w:szCs w:val="18"/>
                    </w:rPr>
                    <w:t xml:space="preserve">Hide Answer</w:t>
                  </w: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Answer:</w:t>
                        </w:r>
                      </w:p>
                      <w:p>
                        <w:pPr>
                          <w:spacing w:after="120"/>
                        </w:pPr>
                        <w:r>
                          <w:rPr>
                            <w:rFonts w:ascii="Calibri" w:cs="Calibri" w:eastAsia="Calibri" w:hAnsi="Calibri"/>
                            <w:sz w:val="22"/>
                            <w:szCs w:val="22"/>
                          </w:rPr>
                          <w:t xml:space="preserve">YES, due to extraterritorial application under Section 3. DPDPA applies to processing outside India if it relates to offering goods or services to Data Principals in India.</w:t>
                        </w:r>
                      </w:p>
                    </w:tc>
                  </w:tr>
                </w:tbl>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FFFFFF"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4. What are the requirements for valid consent under DPDPA?</w:t>
                  </w:r>
                </w:p>
                <w:p>
                  <w:pPr>
                    <w:shd w:fill="1B2A4A" w:val="clear"/>
                    <w:spacing w:after="80" w:before="80"/>
                  </w:pPr>
                  <w:r>
                    <w:rPr>
                      <w:rFonts w:ascii="Calibri" w:cs="Calibri" w:eastAsia="Calibri" w:hAnsi="Calibri"/>
                      <w:b/>
                      <w:bCs/>
                      <w:color w:val="FFFFFF"/>
                      <w:sz w:val="18"/>
                      <w:szCs w:val="18"/>
                    </w:rPr>
                    <w:t xml:space="preserve">Hide Answer</w:t>
                  </w: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Answer:</w:t>
                        </w:r>
                      </w:p>
                      <w:p>
                        <w:pPr>
                          <w:spacing w:after="120"/>
                        </w:pPr>
                        <w:r>
                          <w:rPr>
                            <w:rFonts w:ascii="Calibri" w:cs="Calibri" w:eastAsia="Calibri" w:hAnsi="Calibri"/>
                            <w:sz w:val="22"/>
                            <w:szCs w:val="22"/>
                          </w:rPr>
                          <w:t xml:space="preserve">Valid consent must be:</w:t>
                        </w:r>
                      </w:p>
                      <w:p>
                        <w:pPr>
                          <w:spacing w:after="120"/>
                        </w:pPr>
                        <w:r>
                          <w:rPr>
                            <w:rFonts w:ascii="Calibri" w:cs="Calibri" w:eastAsia="Calibri" w:hAnsi="Calibri"/>
                            <w:sz w:val="22"/>
                            <w:szCs w:val="22"/>
                          </w:rPr>
                          <w:t xml:space="preserve">1. Freely given (no coercion)</w:t>
                        </w:r>
                      </w:p>
                      <w:p>
                        <w:pPr>
                          <w:spacing w:after="120"/>
                        </w:pPr>
                        <w:r>
                          <w:rPr>
                            <w:rFonts w:ascii="Calibri" w:cs="Calibri" w:eastAsia="Calibri" w:hAnsi="Calibri"/>
                            <w:sz w:val="22"/>
                            <w:szCs w:val="22"/>
                          </w:rPr>
                          <w:t xml:space="preserve">2. Specific (purpose stated)</w:t>
                        </w:r>
                      </w:p>
                      <w:p>
                        <w:pPr>
                          <w:spacing w:after="120"/>
                        </w:pPr>
                        <w:r>
                          <w:rPr>
                            <w:rFonts w:ascii="Calibri" w:cs="Calibri" w:eastAsia="Calibri" w:hAnsi="Calibri"/>
                            <w:sz w:val="22"/>
                            <w:szCs w:val="22"/>
                          </w:rPr>
                          <w:t xml:space="preserve">3. Informed (data principal knows what they're agreeing to)</w:t>
                        </w:r>
                      </w:p>
                      <w:p>
                        <w:pPr>
                          <w:spacing w:after="120"/>
                        </w:pPr>
                        <w:r>
                          <w:rPr>
                            <w:rFonts w:ascii="Calibri" w:cs="Calibri" w:eastAsia="Calibri" w:hAnsi="Calibri"/>
                            <w:sz w:val="22"/>
                            <w:szCs w:val="22"/>
                          </w:rPr>
                          <w:t xml:space="preserve">4. Unambiguous (clear yes/no choice)</w:t>
                        </w:r>
                      </w:p>
                      <w:p>
                        <w:pPr>
                          <w:spacing w:after="120"/>
                        </w:pPr>
                        <w:r>
                          <w:rPr>
                            <w:rFonts w:ascii="Calibri" w:cs="Calibri" w:eastAsia="Calibri" w:hAnsi="Calibri"/>
                            <w:sz w:val="22"/>
                            <w:szCs w:val="22"/>
                          </w:rPr>
                          <w:t xml:space="preserve">5. By clear affirmative action (active choice, not pre-ticked boxes)</w:t>
                        </w:r>
                      </w:p>
                    </w:tc>
                  </w:tr>
                </w:tbl>
                <w:p/>
              </w:tc>
            </w:tr>
          </w:tbl>
          <w:p>
            <w:pPr>
              <w:spacing w:after="150"/>
            </w:pPr>
          </w:p>
          <w:tbl>
            <w:tblPr>
              <w:tblW w:type="pct" w:w="100%"/>
              <w:tblBorders>
                <w:top w:val="single" w:color="1B2A4A" w:sz="6"/>
                <w:left w:val="single" w:color="1B2A4A" w:sz="24"/>
                <w:bottom w:val="single" w:color="1B2A4A" w:sz="6"/>
                <w:right w:val="single" w:color="1B2A4A" w:sz="6"/>
                <w:insideH w:val="single" w:color="auto" w:sz="4"/>
                <w:insideV w:val="single" w:color="auto" w:sz="4"/>
              </w:tblBorders>
            </w:tblPr>
            <w:tblGrid>
              <w:gridCol w:w="100"/>
            </w:tblGrid>
            <w:tr>
              <w:tc>
                <w:tcPr>
                  <w:shd w:fill="FFFFFF" w:val="clear"/>
                  <w:tcMar>
                    <w:top w:type="dxa" w:w="150"/>
                    <w:left w:type="dxa" w:w="200"/>
                    <w:bottom w:type="dxa" w:w="150"/>
                    <w:right w:type="dxa" w:w="200"/>
                  </w:tcMar>
                </w:tcPr>
                <w:p>
                  <w:pPr>
                    <w:spacing w:after="100"/>
                  </w:pPr>
                  <w:r>
                    <w:rPr>
                      <w:rFonts w:ascii="Georgia" w:cs="Georgia" w:eastAsia="Georgia" w:hAnsi="Georgia"/>
                      <w:b/>
                      <w:bCs/>
                      <w:color w:val="1B2A4A"/>
                      <w:sz w:val="22"/>
                      <w:szCs w:val="22"/>
                    </w:rPr>
                    <w:t xml:space="preserve">5. When is the main enforcement deadline for DPDPA core provisions?</w:t>
                  </w:r>
                </w:p>
                <w:p>
                  <w:pPr>
                    <w:shd w:fill="1B2A4A" w:val="clear"/>
                    <w:spacing w:after="80" w:before="80"/>
                  </w:pPr>
                  <w:r>
                    <w:rPr>
                      <w:rFonts w:ascii="Calibri" w:cs="Calibri" w:eastAsia="Calibri" w:hAnsi="Calibri"/>
                      <w:b/>
                      <w:bCs/>
                      <w:color w:val="FFFFFF"/>
                      <w:sz w:val="18"/>
                      <w:szCs w:val="18"/>
                    </w:rPr>
                    <w:t xml:space="preserve">Hide Answer</w:t>
                  </w:r>
                </w:p>
                <w:tbl>
                  <w:tblPr>
                    <w:tblW w:type="pct" w:w="100%"/>
                    <w:tblBorders>
                      <w:top w:val="single" w:color="0F7C82" w:sz="6"/>
                      <w:left w:val="single" w:color="0F7C82" w:sz="24"/>
                      <w:bottom w:val="single" w:color="0F7C82" w:sz="6"/>
                      <w:right w:val="single" w:color="0F7C82" w:sz="6"/>
                      <w:insideH w:val="single" w:color="auto" w:sz="4"/>
                      <w:insideV w:val="single" w:color="auto" w:sz="4"/>
                    </w:tblBorders>
                  </w:tblPr>
                  <w:tblGrid>
                    <w:gridCol w:w="100"/>
                  </w:tblGrid>
                  <w:tr>
                    <w:tc>
                      <w:tcPr>
                        <w:shd w:fill="EAF6EE" w:val="clear"/>
                        <w:tcMar>
                          <w:top w:type="dxa" w:w="150"/>
                          <w:left w:type="dxa" w:w="200"/>
                          <w:bottom w:type="dxa" w:w="150"/>
                          <w:right w:type="dxa" w:w="200"/>
                        </w:tcMar>
                      </w:tcPr>
                      <w:p>
                        <w:pPr>
                          <w:spacing w:after="100"/>
                        </w:pPr>
                        <w:r>
                          <w:rPr>
                            <w:rFonts w:ascii="Georgia" w:cs="Georgia" w:eastAsia="Georgia" w:hAnsi="Georgia"/>
                            <w:b/>
                            <w:bCs/>
                            <w:color w:val="1E7A3D"/>
                            <w:sz w:val="22"/>
                            <w:szCs w:val="22"/>
                          </w:rPr>
                          <w:t xml:space="preserve">Answer:</w:t>
                        </w:r>
                      </w:p>
                      <w:p>
                        <w:pPr>
                          <w:spacing w:after="120"/>
                        </w:pPr>
                        <w:r>
                          <w:rPr>
                            <w:rFonts w:ascii="Calibri" w:cs="Calibri" w:eastAsia="Calibri" w:hAnsi="Calibri"/>
                            <w:sz w:val="22"/>
                            <w:szCs w:val="22"/>
                          </w:rPr>
                          <w:t xml:space="preserve">May 13, 2027 (18 months from DPDP Rules notification). This is when Sections 3-17 (core obligations and rights) come into full force.</w:t>
                        </w:r>
                      </w:p>
                    </w:tc>
                  </w:tr>
                </w:tbl>
                <w:p/>
              </w:tc>
            </w:tr>
          </w:tbl>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2026-09-06T16:58:22.373Z</dcterms:created>
  <dcterms:modified xsi:type="dcterms:W3CDTF">2026-09-06T16:58:22.383Z</dcterms:modified>
</cp:coreProperties>
</file>

<file path=docProps/custom.xml><?xml version="1.0" encoding="utf-8"?>
<Properties xmlns="http://schemas.openxmlformats.org/officeDocument/2006/custom-properties" xmlns:vt="http://schemas.openxmlformats.org/officeDocument/2006/docPropsVTypes"/>
</file>