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CA592" w14:textId="77777777" w:rsidR="00C773BA" w:rsidRPr="00217F31" w:rsidRDefault="00C773BA" w:rsidP="00C773BA">
      <w:pPr>
        <w:jc w:val="center"/>
        <w:rPr>
          <w:b/>
          <w:bCs/>
          <w:sz w:val="44"/>
          <w:szCs w:val="44"/>
        </w:rPr>
      </w:pPr>
      <w:r w:rsidRPr="00217F31">
        <w:rPr>
          <w:b/>
          <w:bCs/>
          <w:sz w:val="44"/>
          <w:szCs w:val="44"/>
        </w:rPr>
        <w:t>Company analysis report</w:t>
      </w:r>
    </w:p>
    <w:p w14:paraId="5FB8CD25" w14:textId="77777777" w:rsidR="00C773BA" w:rsidRDefault="00C773BA" w:rsidP="00C773BA">
      <w:pPr>
        <w:jc w:val="center"/>
        <w:rPr>
          <w:b/>
          <w:bCs/>
          <w:sz w:val="44"/>
          <w:szCs w:val="44"/>
        </w:rPr>
      </w:pPr>
      <w:r w:rsidRPr="00217F31">
        <w:rPr>
          <w:b/>
          <w:bCs/>
          <w:sz w:val="44"/>
          <w:szCs w:val="44"/>
        </w:rPr>
        <w:t>Retail Industry</w:t>
      </w:r>
    </w:p>
    <w:p w14:paraId="4FA2EEFD" w14:textId="77777777" w:rsidR="00C773BA" w:rsidRPr="00217F31" w:rsidRDefault="00C773BA" w:rsidP="00C773BA">
      <w:pPr>
        <w:jc w:val="center"/>
        <w:rPr>
          <w:b/>
          <w:bCs/>
          <w:sz w:val="44"/>
          <w:szCs w:val="44"/>
        </w:rPr>
      </w:pPr>
      <w:r>
        <w:rPr>
          <w:b/>
          <w:bCs/>
          <w:sz w:val="44"/>
          <w:szCs w:val="44"/>
        </w:rPr>
        <w:t>J Sainsbury Plc and Tesco Plc</w:t>
      </w:r>
    </w:p>
    <w:p w14:paraId="38B744FD" w14:textId="77777777" w:rsidR="00C773BA" w:rsidRDefault="00C773BA" w:rsidP="00C773BA">
      <w:pPr>
        <w:rPr>
          <w:b/>
          <w:bCs/>
        </w:rPr>
      </w:pPr>
    </w:p>
    <w:p w14:paraId="69DE7905" w14:textId="77777777" w:rsidR="00C773BA" w:rsidRDefault="00C773BA" w:rsidP="00C773BA">
      <w:pPr>
        <w:rPr>
          <w:b/>
          <w:bCs/>
        </w:rPr>
      </w:pPr>
    </w:p>
    <w:p w14:paraId="16D5B03A" w14:textId="77777777" w:rsidR="00C773BA" w:rsidRDefault="00C773BA" w:rsidP="00C773BA">
      <w:pPr>
        <w:rPr>
          <w:b/>
          <w:bCs/>
        </w:rPr>
      </w:pPr>
    </w:p>
    <w:p w14:paraId="1ED65AC4" w14:textId="58109B20" w:rsidR="00C773BA" w:rsidRDefault="00C773BA" w:rsidP="00C773BA">
      <w:pPr>
        <w:jc w:val="center"/>
        <w:rPr>
          <w:b/>
          <w:bCs/>
          <w:sz w:val="40"/>
          <w:szCs w:val="40"/>
        </w:rPr>
      </w:pPr>
      <w:r w:rsidRPr="00217F31">
        <w:rPr>
          <w:b/>
          <w:bCs/>
          <w:sz w:val="40"/>
          <w:szCs w:val="40"/>
        </w:rPr>
        <w:t xml:space="preserve">Portfolio Task </w:t>
      </w:r>
      <w:r>
        <w:rPr>
          <w:b/>
          <w:bCs/>
          <w:sz w:val="40"/>
          <w:szCs w:val="40"/>
        </w:rPr>
        <w:t>4</w:t>
      </w:r>
      <w:r w:rsidRPr="00217F31">
        <w:rPr>
          <w:b/>
          <w:bCs/>
          <w:sz w:val="40"/>
          <w:szCs w:val="40"/>
        </w:rPr>
        <w:t xml:space="preserve">: </w:t>
      </w:r>
      <w:r>
        <w:rPr>
          <w:b/>
          <w:bCs/>
          <w:sz w:val="40"/>
          <w:szCs w:val="40"/>
        </w:rPr>
        <w:t>Financial Ratio Analysis</w:t>
      </w:r>
    </w:p>
    <w:p w14:paraId="1D3EB6BB" w14:textId="77777777" w:rsidR="00C773BA" w:rsidRDefault="00C773BA" w:rsidP="00C773BA">
      <w:pPr>
        <w:jc w:val="center"/>
        <w:rPr>
          <w:b/>
          <w:bCs/>
          <w:sz w:val="40"/>
          <w:szCs w:val="40"/>
        </w:rPr>
      </w:pPr>
    </w:p>
    <w:p w14:paraId="124BD98F" w14:textId="241B17B1" w:rsidR="00C773BA" w:rsidRDefault="00C773BA" w:rsidP="00C773BA">
      <w:pPr>
        <w:jc w:val="center"/>
        <w:rPr>
          <w:b/>
          <w:bCs/>
          <w:sz w:val="40"/>
          <w:szCs w:val="40"/>
        </w:rPr>
      </w:pPr>
    </w:p>
    <w:p w14:paraId="0A56C000" w14:textId="77777777" w:rsidR="00C773BA" w:rsidRDefault="00C773BA" w:rsidP="00C773BA">
      <w:pPr>
        <w:jc w:val="center"/>
        <w:rPr>
          <w:b/>
          <w:bCs/>
          <w:sz w:val="40"/>
          <w:szCs w:val="40"/>
        </w:rPr>
      </w:pPr>
    </w:p>
    <w:p w14:paraId="52D7D486" w14:textId="77777777" w:rsidR="00A02D97" w:rsidRDefault="00A02D97" w:rsidP="00C773BA">
      <w:pPr>
        <w:jc w:val="center"/>
        <w:rPr>
          <w:b/>
          <w:bCs/>
          <w:sz w:val="40"/>
          <w:szCs w:val="40"/>
        </w:rPr>
      </w:pPr>
    </w:p>
    <w:p w14:paraId="3C3BF4B5" w14:textId="77777777" w:rsidR="00C773BA" w:rsidRDefault="00C773BA" w:rsidP="00C773BA">
      <w:pPr>
        <w:jc w:val="center"/>
        <w:rPr>
          <w:b/>
          <w:bCs/>
          <w:sz w:val="40"/>
          <w:szCs w:val="40"/>
        </w:rPr>
      </w:pPr>
    </w:p>
    <w:p w14:paraId="00969040" w14:textId="77777777" w:rsidR="00C773BA" w:rsidRDefault="00C773BA" w:rsidP="00C773BA">
      <w:pPr>
        <w:jc w:val="center"/>
        <w:rPr>
          <w:b/>
          <w:bCs/>
          <w:sz w:val="40"/>
          <w:szCs w:val="40"/>
        </w:rPr>
      </w:pPr>
    </w:p>
    <w:p w14:paraId="4F434910" w14:textId="77777777" w:rsidR="00C773BA" w:rsidRDefault="00C773BA" w:rsidP="00C773BA">
      <w:pPr>
        <w:jc w:val="center"/>
        <w:rPr>
          <w:b/>
          <w:bCs/>
          <w:sz w:val="40"/>
          <w:szCs w:val="40"/>
        </w:rPr>
      </w:pPr>
    </w:p>
    <w:p w14:paraId="1376B439" w14:textId="77777777" w:rsidR="00C773BA" w:rsidRDefault="00C773BA" w:rsidP="00C773BA">
      <w:pPr>
        <w:jc w:val="center"/>
        <w:rPr>
          <w:b/>
          <w:bCs/>
          <w:sz w:val="40"/>
          <w:szCs w:val="40"/>
        </w:rPr>
      </w:pPr>
    </w:p>
    <w:p w14:paraId="5124EA97" w14:textId="77777777" w:rsidR="00C773BA" w:rsidRDefault="00C773BA" w:rsidP="00C773BA">
      <w:pPr>
        <w:jc w:val="center"/>
        <w:rPr>
          <w:b/>
          <w:bCs/>
          <w:sz w:val="40"/>
          <w:szCs w:val="40"/>
        </w:rPr>
      </w:pPr>
    </w:p>
    <w:p w14:paraId="47439194" w14:textId="77777777" w:rsidR="00C773BA" w:rsidRDefault="00C773BA" w:rsidP="00C773BA">
      <w:pPr>
        <w:jc w:val="center"/>
        <w:rPr>
          <w:b/>
          <w:bCs/>
          <w:sz w:val="40"/>
          <w:szCs w:val="40"/>
        </w:rPr>
      </w:pPr>
    </w:p>
    <w:p w14:paraId="2F072FB9" w14:textId="77777777" w:rsidR="00C773BA" w:rsidRDefault="00C773BA" w:rsidP="00C773BA">
      <w:pPr>
        <w:jc w:val="center"/>
        <w:rPr>
          <w:b/>
          <w:bCs/>
          <w:sz w:val="40"/>
          <w:szCs w:val="40"/>
        </w:rPr>
      </w:pPr>
    </w:p>
    <w:p w14:paraId="33D71A08" w14:textId="77777777" w:rsidR="00973960" w:rsidRDefault="00973960" w:rsidP="00C773BA">
      <w:pPr>
        <w:jc w:val="center"/>
        <w:rPr>
          <w:b/>
          <w:bCs/>
          <w:sz w:val="40"/>
          <w:szCs w:val="40"/>
        </w:rPr>
      </w:pPr>
    </w:p>
    <w:p w14:paraId="4360E77A" w14:textId="77777777" w:rsidR="00BF4B55" w:rsidRDefault="00BF4B55">
      <w:pPr>
        <w:rPr>
          <w:b/>
          <w:bCs/>
        </w:rPr>
      </w:pPr>
    </w:p>
    <w:p w14:paraId="77267C16" w14:textId="77777777" w:rsidR="00973960" w:rsidRDefault="002C0E24" w:rsidP="002C0E24">
      <w:pPr>
        <w:spacing w:line="360" w:lineRule="auto"/>
        <w:rPr>
          <w:rStyle w:val="Heading1Char"/>
          <w:b/>
          <w:bCs/>
        </w:rPr>
      </w:pPr>
      <w:r w:rsidRPr="005C07AE">
        <w:rPr>
          <w:rStyle w:val="Heading1Char"/>
          <w:b/>
          <w:bCs/>
        </w:rPr>
        <w:lastRenderedPageBreak/>
        <w:t>Financial Ratio Analysis of Tesco and J Sainsbury</w:t>
      </w:r>
    </w:p>
    <w:p w14:paraId="4965F82A" w14:textId="1A733E0C" w:rsidR="00D2328B" w:rsidRPr="005C07AE" w:rsidRDefault="00973960" w:rsidP="003B5A6A">
      <w:pPr>
        <w:spacing w:line="360" w:lineRule="auto"/>
        <w:rPr>
          <w:rStyle w:val="Heading1Char"/>
          <w:b/>
          <w:bCs/>
        </w:rPr>
      </w:pPr>
      <w:r w:rsidRPr="002C0E24">
        <w:rPr>
          <w:rFonts w:ascii="Times New Roman" w:eastAsia="Times New Roman" w:hAnsi="Times New Roman" w:cs="Times New Roman"/>
          <w:kern w:val="0"/>
          <w:sz w:val="24"/>
          <w:szCs w:val="24"/>
          <w14:ligatures w14:val="none"/>
        </w:rPr>
        <w:t>This paper evaluates the financial position and productivity of Tesco and J Sainsbury by applying financial ratios. These ratios give information on liquidity, profitability, gearing, efficiency and investment of the business.</w:t>
      </w:r>
      <w:r w:rsidR="002C0E24" w:rsidRPr="005C07AE">
        <w:rPr>
          <w:rFonts w:ascii="Times New Roman" w:eastAsia="Times New Roman" w:hAnsi="Times New Roman" w:cs="Times New Roman"/>
          <w:b/>
          <w:bCs/>
          <w:kern w:val="0"/>
          <w:sz w:val="24"/>
          <w:szCs w:val="24"/>
          <w14:ligatures w14:val="none"/>
        </w:rPr>
        <w:br/>
      </w:r>
      <w:r w:rsidR="002C0E24" w:rsidRPr="005C07AE">
        <w:rPr>
          <w:rStyle w:val="Heading1Char"/>
          <w:b/>
          <w:bCs/>
        </w:rPr>
        <w:t>Liquidity Ratios</w:t>
      </w:r>
    </w:p>
    <w:p w14:paraId="1B83812F" w14:textId="09D1E9D0" w:rsidR="0068042F" w:rsidRPr="0068042F" w:rsidRDefault="001E7CD6" w:rsidP="0068042F">
      <w:pPr>
        <w:spacing w:line="360" w:lineRule="auto"/>
        <w:rPr>
          <w:rFonts w:ascii="Times New Roman" w:eastAsia="Times New Roman" w:hAnsi="Times New Roman" w:cs="Times New Roman"/>
          <w:b/>
          <w:bCs/>
          <w:kern w:val="0"/>
          <w:sz w:val="24"/>
          <w:szCs w:val="24"/>
          <w14:ligatures w14:val="none"/>
        </w:rPr>
      </w:pPr>
      <w:r w:rsidRPr="001E7CD6">
        <w:rPr>
          <w:noProof/>
        </w:rPr>
        <w:drawing>
          <wp:inline distT="0" distB="0" distL="0" distR="0" wp14:anchorId="1A5CEE39" wp14:editId="6C7B1EF9">
            <wp:extent cx="5943600" cy="2959735"/>
            <wp:effectExtent l="0" t="0" r="0" b="0"/>
            <wp:docPr id="767122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59735"/>
                    </a:xfrm>
                    <a:prstGeom prst="rect">
                      <a:avLst/>
                    </a:prstGeom>
                    <a:noFill/>
                    <a:ln>
                      <a:noFill/>
                    </a:ln>
                  </pic:spPr>
                </pic:pic>
              </a:graphicData>
            </a:graphic>
          </wp:inline>
        </w:drawing>
      </w:r>
    </w:p>
    <w:p w14:paraId="78446261" w14:textId="02C78E3C" w:rsidR="0068042F" w:rsidRPr="0068042F" w:rsidRDefault="0068042F" w:rsidP="00B35ED9">
      <w:pPr>
        <w:spacing w:line="360" w:lineRule="auto"/>
        <w:jc w:val="both"/>
        <w:rPr>
          <w:rFonts w:ascii="Times New Roman" w:eastAsia="Times New Roman" w:hAnsi="Times New Roman" w:cs="Times New Roman"/>
          <w:b/>
          <w:bCs/>
          <w:kern w:val="0"/>
          <w:sz w:val="24"/>
          <w:szCs w:val="24"/>
          <w14:ligatures w14:val="none"/>
        </w:rPr>
      </w:pPr>
      <w:r w:rsidRPr="0068042F">
        <w:rPr>
          <w:rFonts w:ascii="Times New Roman" w:eastAsia="Times New Roman" w:hAnsi="Times New Roman" w:cs="Times New Roman"/>
          <w:b/>
          <w:bCs/>
          <w:kern w:val="0"/>
          <w:sz w:val="24"/>
          <w:szCs w:val="24"/>
          <w14:ligatures w14:val="none"/>
        </w:rPr>
        <w:t>Current Ratio:</w:t>
      </w:r>
      <w:r>
        <w:rPr>
          <w:rFonts w:ascii="Times New Roman" w:eastAsia="Times New Roman" w:hAnsi="Times New Roman" w:cs="Times New Roman"/>
          <w:b/>
          <w:bCs/>
          <w:kern w:val="0"/>
          <w:sz w:val="24"/>
          <w:szCs w:val="24"/>
          <w14:ligatures w14:val="none"/>
        </w:rPr>
        <w:t xml:space="preserve"> </w:t>
      </w:r>
      <w:r w:rsidRPr="0068042F">
        <w:rPr>
          <w:rFonts w:ascii="Times New Roman" w:eastAsia="Times New Roman" w:hAnsi="Times New Roman" w:cs="Times New Roman"/>
          <w:kern w:val="0"/>
          <w:sz w:val="24"/>
          <w:szCs w:val="24"/>
          <w14:ligatures w14:val="none"/>
        </w:rPr>
        <w:t>Analyzing current ratios for the five years, it can be concluded that both J. Sainsbury and Tesco have relatively stable figures, which demonstrates the companies’ solvency to pay the short-term liabilities. As for the current ratio it was changed only slightly it ranged between 61% and 68%. However, the case of Tesco stood out by recording a slight improvement from 60% in 2019 and a high of 75.53</w:t>
      </w:r>
      <w:r>
        <w:rPr>
          <w:rFonts w:ascii="Times New Roman" w:eastAsia="Times New Roman" w:hAnsi="Times New Roman" w:cs="Times New Roman"/>
          <w:kern w:val="0"/>
          <w:sz w:val="24"/>
          <w:szCs w:val="24"/>
          <w14:ligatures w14:val="none"/>
        </w:rPr>
        <w:t xml:space="preserve">% </w:t>
      </w:r>
      <w:r w:rsidRPr="0068042F">
        <w:rPr>
          <w:rFonts w:ascii="Times New Roman" w:eastAsia="Times New Roman" w:hAnsi="Times New Roman" w:cs="Times New Roman"/>
          <w:kern w:val="0"/>
          <w:sz w:val="24"/>
          <w:szCs w:val="24"/>
          <w14:ligatures w14:val="none"/>
        </w:rPr>
        <w:t>in 2022 and then reduced to 7</w:t>
      </w:r>
      <w:r>
        <w:rPr>
          <w:rFonts w:ascii="Times New Roman" w:eastAsia="Times New Roman" w:hAnsi="Times New Roman" w:cs="Times New Roman"/>
          <w:kern w:val="0"/>
          <w:sz w:val="24"/>
          <w:szCs w:val="24"/>
          <w14:ligatures w14:val="none"/>
        </w:rPr>
        <w:t>1</w:t>
      </w:r>
      <w:proofErr w:type="gramStart"/>
      <w:r>
        <w:rPr>
          <w:rFonts w:ascii="Times New Roman" w:eastAsia="Times New Roman" w:hAnsi="Times New Roman" w:cs="Times New Roman"/>
          <w:kern w:val="0"/>
          <w:sz w:val="24"/>
          <w:szCs w:val="24"/>
          <w14:ligatures w14:val="none"/>
        </w:rPr>
        <w:t xml:space="preserve">% </w:t>
      </w:r>
      <w:r w:rsidRPr="0068042F">
        <w:rPr>
          <w:rFonts w:ascii="Times New Roman" w:eastAsia="Times New Roman" w:hAnsi="Times New Roman" w:cs="Times New Roman"/>
          <w:kern w:val="0"/>
          <w:sz w:val="24"/>
          <w:szCs w:val="24"/>
          <w14:ligatures w14:val="none"/>
        </w:rPr>
        <w:t xml:space="preserve"> in</w:t>
      </w:r>
      <w:proofErr w:type="gramEnd"/>
      <w:r w:rsidRPr="0068042F">
        <w:rPr>
          <w:rFonts w:ascii="Times New Roman" w:eastAsia="Times New Roman" w:hAnsi="Times New Roman" w:cs="Times New Roman"/>
          <w:kern w:val="0"/>
          <w:sz w:val="24"/>
          <w:szCs w:val="24"/>
          <w14:ligatures w14:val="none"/>
        </w:rPr>
        <w:t xml:space="preserve"> 2023. This means that Tesco’s liquidity position improves in the later years hence has a stronger liquidity position than </w:t>
      </w:r>
      <w:proofErr w:type="spellStart"/>
      <w:r>
        <w:rPr>
          <w:rFonts w:ascii="Times New Roman" w:eastAsia="Times New Roman" w:hAnsi="Times New Roman" w:cs="Times New Roman"/>
          <w:kern w:val="0"/>
          <w:sz w:val="24"/>
          <w:szCs w:val="24"/>
          <w14:ligatures w14:val="none"/>
        </w:rPr>
        <w:t>Sainsburry</w:t>
      </w:r>
      <w:proofErr w:type="spellEnd"/>
      <w:r>
        <w:rPr>
          <w:rFonts w:ascii="Times New Roman" w:eastAsia="Times New Roman" w:hAnsi="Times New Roman" w:cs="Times New Roman"/>
          <w:kern w:val="0"/>
          <w:sz w:val="24"/>
          <w:szCs w:val="24"/>
          <w14:ligatures w14:val="none"/>
        </w:rPr>
        <w:t xml:space="preserve"> (Sari et al., 2022).</w:t>
      </w:r>
    </w:p>
    <w:p w14:paraId="005559CB" w14:textId="32200C62" w:rsidR="0068042F" w:rsidRPr="0068042F" w:rsidRDefault="0068042F" w:rsidP="00B35ED9">
      <w:pPr>
        <w:spacing w:line="360" w:lineRule="auto"/>
        <w:jc w:val="both"/>
        <w:rPr>
          <w:rFonts w:ascii="Times New Roman" w:eastAsia="Times New Roman" w:hAnsi="Times New Roman" w:cs="Times New Roman"/>
          <w:b/>
          <w:bCs/>
          <w:kern w:val="0"/>
          <w:sz w:val="24"/>
          <w:szCs w:val="24"/>
          <w14:ligatures w14:val="none"/>
        </w:rPr>
      </w:pPr>
      <w:r w:rsidRPr="0068042F">
        <w:rPr>
          <w:rFonts w:ascii="Times New Roman" w:eastAsia="Times New Roman" w:hAnsi="Times New Roman" w:cs="Times New Roman"/>
          <w:b/>
          <w:bCs/>
          <w:kern w:val="0"/>
          <w:sz w:val="24"/>
          <w:szCs w:val="24"/>
          <w14:ligatures w14:val="none"/>
        </w:rPr>
        <w:t>Operating Cash Flow Ratio:</w:t>
      </w:r>
      <w:r>
        <w:rPr>
          <w:rFonts w:ascii="Times New Roman" w:eastAsia="Times New Roman" w:hAnsi="Times New Roman" w:cs="Times New Roman"/>
          <w:b/>
          <w:bCs/>
          <w:kern w:val="0"/>
          <w:sz w:val="24"/>
          <w:szCs w:val="24"/>
          <w14:ligatures w14:val="none"/>
        </w:rPr>
        <w:t xml:space="preserve"> </w:t>
      </w:r>
      <w:r w:rsidRPr="0068042F">
        <w:rPr>
          <w:rFonts w:ascii="Times New Roman" w:eastAsia="Times New Roman" w:hAnsi="Times New Roman" w:cs="Times New Roman"/>
          <w:kern w:val="0"/>
          <w:sz w:val="24"/>
          <w:szCs w:val="24"/>
          <w14:ligatures w14:val="none"/>
        </w:rPr>
        <w:t>J. Sainsbury’s operating cash flow ratio was not a stable figure but it had certain remarkably varying features and it was 8.9% in 2019, reached its highs in 2021 at 20% and then fell to approximately 18.82% in 2023. Tesco has also fluctuated frequently, hit a low of 4% in 2021 and went up to 23</w:t>
      </w:r>
      <w:r>
        <w:rPr>
          <w:rFonts w:ascii="Times New Roman" w:eastAsia="Times New Roman" w:hAnsi="Times New Roman" w:cs="Times New Roman"/>
          <w:kern w:val="0"/>
          <w:sz w:val="24"/>
          <w:szCs w:val="24"/>
          <w14:ligatures w14:val="none"/>
        </w:rPr>
        <w:t>.</w:t>
      </w:r>
      <w:r w:rsidRPr="0068042F">
        <w:rPr>
          <w:rFonts w:ascii="Times New Roman" w:eastAsia="Times New Roman" w:hAnsi="Times New Roman" w:cs="Times New Roman"/>
          <w:kern w:val="0"/>
          <w:sz w:val="24"/>
          <w:szCs w:val="24"/>
          <w14:ligatures w14:val="none"/>
        </w:rPr>
        <w:t>49%</w:t>
      </w:r>
      <w:r>
        <w:rPr>
          <w:rFonts w:ascii="Times New Roman" w:eastAsia="Times New Roman" w:hAnsi="Times New Roman" w:cs="Times New Roman"/>
          <w:kern w:val="0"/>
          <w:sz w:val="24"/>
          <w:szCs w:val="24"/>
          <w14:ligatures w14:val="none"/>
        </w:rPr>
        <w:t xml:space="preserve"> </w:t>
      </w:r>
      <w:r w:rsidRPr="0068042F">
        <w:rPr>
          <w:rFonts w:ascii="Times New Roman" w:eastAsia="Times New Roman" w:hAnsi="Times New Roman" w:cs="Times New Roman"/>
          <w:kern w:val="0"/>
          <w:sz w:val="24"/>
          <w:szCs w:val="24"/>
          <w14:ligatures w14:val="none"/>
        </w:rPr>
        <w:t xml:space="preserve">in 2022 </w:t>
      </w:r>
      <w:r>
        <w:rPr>
          <w:rFonts w:ascii="Times New Roman" w:eastAsia="Times New Roman" w:hAnsi="Times New Roman" w:cs="Times New Roman"/>
          <w:kern w:val="0"/>
          <w:sz w:val="24"/>
          <w:szCs w:val="24"/>
          <w14:ligatures w14:val="none"/>
        </w:rPr>
        <w:t xml:space="preserve">than again </w:t>
      </w:r>
      <w:r w:rsidRPr="0068042F">
        <w:rPr>
          <w:rFonts w:ascii="Times New Roman" w:eastAsia="Times New Roman" w:hAnsi="Times New Roman" w:cs="Times New Roman"/>
          <w:kern w:val="0"/>
          <w:sz w:val="24"/>
          <w:szCs w:val="24"/>
          <w14:ligatures w14:val="none"/>
        </w:rPr>
        <w:t xml:space="preserve">reduced to 21.61% in 2023. Based </w:t>
      </w:r>
      <w:r w:rsidRPr="0068042F">
        <w:rPr>
          <w:rFonts w:ascii="Times New Roman" w:eastAsia="Times New Roman" w:hAnsi="Times New Roman" w:cs="Times New Roman"/>
          <w:kern w:val="0"/>
          <w:sz w:val="24"/>
          <w:szCs w:val="24"/>
          <w14:ligatures w14:val="none"/>
        </w:rPr>
        <w:lastRenderedPageBreak/>
        <w:t>on this it could be deduced that the two firms had at one time or the other come under pressure to manage their cash flows well with Tesco showing better performance in the most recent periods.</w:t>
      </w:r>
    </w:p>
    <w:p w14:paraId="6014B10E" w14:textId="1135AE82" w:rsidR="0068042F" w:rsidRPr="0068042F" w:rsidRDefault="0068042F" w:rsidP="00B35ED9">
      <w:pPr>
        <w:spacing w:line="360" w:lineRule="auto"/>
        <w:jc w:val="both"/>
        <w:rPr>
          <w:rFonts w:ascii="Times New Roman" w:eastAsia="Times New Roman" w:hAnsi="Times New Roman" w:cs="Times New Roman"/>
          <w:b/>
          <w:bCs/>
          <w:kern w:val="0"/>
          <w:sz w:val="24"/>
          <w:szCs w:val="24"/>
          <w14:ligatures w14:val="none"/>
        </w:rPr>
      </w:pPr>
      <w:r w:rsidRPr="0068042F">
        <w:rPr>
          <w:rFonts w:ascii="Times New Roman" w:eastAsia="Times New Roman" w:hAnsi="Times New Roman" w:cs="Times New Roman"/>
          <w:b/>
          <w:bCs/>
          <w:kern w:val="0"/>
          <w:sz w:val="24"/>
          <w:szCs w:val="24"/>
          <w14:ligatures w14:val="none"/>
        </w:rPr>
        <w:t>Cash Ratio:</w:t>
      </w:r>
      <w:r>
        <w:rPr>
          <w:rFonts w:ascii="Times New Roman" w:eastAsia="Times New Roman" w:hAnsi="Times New Roman" w:cs="Times New Roman"/>
          <w:b/>
          <w:bCs/>
          <w:kern w:val="0"/>
          <w:sz w:val="24"/>
          <w:szCs w:val="24"/>
          <w14:ligatures w14:val="none"/>
        </w:rPr>
        <w:t xml:space="preserve"> </w:t>
      </w:r>
      <w:r w:rsidRPr="0068042F">
        <w:rPr>
          <w:rFonts w:ascii="Times New Roman" w:eastAsia="Times New Roman" w:hAnsi="Times New Roman" w:cs="Times New Roman"/>
          <w:kern w:val="0"/>
          <w:sz w:val="24"/>
          <w:szCs w:val="24"/>
          <w14:ligatures w14:val="none"/>
        </w:rPr>
        <w:t xml:space="preserve">The cash ratio of Tesco is much higher than that of J. Sainsbury throughout the year as illustrated in the figure below. Tesco’s ratio slightly raised from 16% in 2019 to 29% in 2022 then lowered down to 25% in 2023. In the case of cash ratio, </w:t>
      </w:r>
      <w:proofErr w:type="spellStart"/>
      <w:proofErr w:type="gramStart"/>
      <w:r w:rsidRPr="0068042F">
        <w:rPr>
          <w:rFonts w:ascii="Times New Roman" w:eastAsia="Times New Roman" w:hAnsi="Times New Roman" w:cs="Times New Roman"/>
          <w:kern w:val="0"/>
          <w:sz w:val="24"/>
          <w:szCs w:val="24"/>
          <w14:ligatures w14:val="none"/>
        </w:rPr>
        <w:t>J.Sainsbury</w:t>
      </w:r>
      <w:proofErr w:type="spellEnd"/>
      <w:proofErr w:type="gramEnd"/>
      <w:r w:rsidRPr="0068042F">
        <w:rPr>
          <w:rFonts w:ascii="Times New Roman" w:eastAsia="Times New Roman" w:hAnsi="Times New Roman" w:cs="Times New Roman"/>
          <w:kern w:val="0"/>
          <w:sz w:val="24"/>
          <w:szCs w:val="24"/>
          <w14:ligatures w14:val="none"/>
        </w:rPr>
        <w:t xml:space="preserve"> had a relatively low figure that ranged from 9 to 16%. Tesco has a higher cash ratio that means Tesco has a better immediate liquidity than Carrefour.</w:t>
      </w:r>
    </w:p>
    <w:p w14:paraId="10990507" w14:textId="217C0D1E" w:rsidR="0068042F" w:rsidRPr="0068042F" w:rsidRDefault="0068042F" w:rsidP="00B35ED9">
      <w:pPr>
        <w:spacing w:line="360" w:lineRule="auto"/>
        <w:jc w:val="both"/>
        <w:rPr>
          <w:rFonts w:ascii="Times New Roman" w:eastAsia="Times New Roman" w:hAnsi="Times New Roman" w:cs="Times New Roman"/>
          <w:b/>
          <w:bCs/>
          <w:kern w:val="0"/>
          <w:sz w:val="24"/>
          <w:szCs w:val="24"/>
          <w14:ligatures w14:val="none"/>
        </w:rPr>
      </w:pPr>
      <w:r w:rsidRPr="0068042F">
        <w:rPr>
          <w:rFonts w:ascii="Times New Roman" w:eastAsia="Times New Roman" w:hAnsi="Times New Roman" w:cs="Times New Roman"/>
          <w:b/>
          <w:bCs/>
          <w:kern w:val="0"/>
          <w:sz w:val="24"/>
          <w:szCs w:val="24"/>
          <w14:ligatures w14:val="none"/>
        </w:rPr>
        <w:t>Quick Ratio:</w:t>
      </w:r>
      <w:r>
        <w:rPr>
          <w:rFonts w:ascii="Times New Roman" w:eastAsia="Times New Roman" w:hAnsi="Times New Roman" w:cs="Times New Roman"/>
          <w:b/>
          <w:bCs/>
          <w:kern w:val="0"/>
          <w:sz w:val="24"/>
          <w:szCs w:val="24"/>
          <w14:ligatures w14:val="none"/>
        </w:rPr>
        <w:t xml:space="preserve"> </w:t>
      </w:r>
      <w:r w:rsidRPr="0068042F">
        <w:rPr>
          <w:rFonts w:ascii="Times New Roman" w:eastAsia="Times New Roman" w:hAnsi="Times New Roman" w:cs="Times New Roman"/>
          <w:kern w:val="0"/>
          <w:sz w:val="24"/>
          <w:szCs w:val="24"/>
          <w14:ligatures w14:val="none"/>
        </w:rPr>
        <w:t xml:space="preserve">In the quick ratio that measures the ability of the firm to meet short-term obligations without resorting to inventory, Tesco had a relatively higher figure than J. Sainsbury. Tesco’s quick ratio was ranging from 20% in the year 2019 to 33% in both the years 2020 and 2022, in 2023 it was 29%. The quick ratio of the company was ranging from 10% to 17% which indicates that J. Sainsbury was having a more conservative liquidity position. </w:t>
      </w:r>
      <w:r w:rsidR="005C07AE">
        <w:rPr>
          <w:rFonts w:ascii="Times New Roman" w:eastAsia="Times New Roman" w:hAnsi="Times New Roman" w:cs="Times New Roman"/>
          <w:kern w:val="0"/>
          <w:sz w:val="24"/>
          <w:szCs w:val="24"/>
          <w14:ligatures w14:val="none"/>
        </w:rPr>
        <w:t>(Sari</w:t>
      </w:r>
      <w:r w:rsidR="0085689E">
        <w:rPr>
          <w:rFonts w:ascii="Times New Roman" w:eastAsia="Times New Roman" w:hAnsi="Times New Roman" w:cs="Times New Roman"/>
          <w:kern w:val="0"/>
          <w:sz w:val="24"/>
          <w:szCs w:val="24"/>
          <w14:ligatures w14:val="none"/>
        </w:rPr>
        <w:t xml:space="preserve"> et al.</w:t>
      </w:r>
      <w:r w:rsidR="005C07AE">
        <w:rPr>
          <w:rFonts w:ascii="Times New Roman" w:eastAsia="Times New Roman" w:hAnsi="Times New Roman" w:cs="Times New Roman"/>
          <w:kern w:val="0"/>
          <w:sz w:val="24"/>
          <w:szCs w:val="24"/>
          <w14:ligatures w14:val="none"/>
        </w:rPr>
        <w:t>, 2022)</w:t>
      </w:r>
      <w:r w:rsidR="002C0E24" w:rsidRPr="002C0E24">
        <w:rPr>
          <w:rFonts w:ascii="Times New Roman" w:eastAsia="Times New Roman" w:hAnsi="Times New Roman" w:cs="Times New Roman"/>
          <w:kern w:val="0"/>
          <w:sz w:val="24"/>
          <w:szCs w:val="24"/>
          <w14:ligatures w14:val="none"/>
        </w:rPr>
        <w:t>.</w:t>
      </w:r>
      <w:r w:rsidR="002C0E24" w:rsidRPr="002C0E24">
        <w:rPr>
          <w:rFonts w:ascii="Times New Roman" w:eastAsia="Times New Roman" w:hAnsi="Times New Roman" w:cs="Times New Roman"/>
          <w:kern w:val="0"/>
          <w:sz w:val="24"/>
          <w:szCs w:val="24"/>
          <w14:ligatures w14:val="none"/>
        </w:rPr>
        <w:br/>
      </w:r>
    </w:p>
    <w:p w14:paraId="06BD23EE" w14:textId="28D037AE" w:rsidR="008B255B" w:rsidRPr="0068042F" w:rsidRDefault="002C0E24" w:rsidP="0068042F">
      <w:pPr>
        <w:spacing w:line="360" w:lineRule="auto"/>
        <w:rPr>
          <w:rStyle w:val="Heading1Char"/>
          <w:rFonts w:ascii="Times New Roman" w:eastAsia="Times New Roman" w:hAnsi="Times New Roman" w:cs="Times New Roman"/>
          <w:b/>
          <w:bCs/>
          <w:color w:val="auto"/>
          <w:kern w:val="0"/>
          <w:sz w:val="24"/>
          <w:szCs w:val="24"/>
          <w14:ligatures w14:val="none"/>
        </w:rPr>
      </w:pPr>
      <w:r w:rsidRPr="002A490A">
        <w:rPr>
          <w:rStyle w:val="Heading1Char"/>
          <w:b/>
          <w:bCs/>
        </w:rPr>
        <w:t>Profitability Ratios</w:t>
      </w:r>
    </w:p>
    <w:p w14:paraId="6456B294" w14:textId="77777777" w:rsidR="00B35ED9" w:rsidRPr="00B35ED9" w:rsidRDefault="001E7CD6" w:rsidP="00B35ED9">
      <w:pPr>
        <w:spacing w:line="360" w:lineRule="auto"/>
        <w:rPr>
          <w:rFonts w:ascii="Times New Roman" w:eastAsia="Times New Roman" w:hAnsi="Times New Roman" w:cs="Times New Roman"/>
          <w:kern w:val="0"/>
          <w:sz w:val="24"/>
          <w:szCs w:val="24"/>
          <w14:ligatures w14:val="none"/>
        </w:rPr>
      </w:pPr>
      <w:r w:rsidRPr="001E7CD6">
        <w:rPr>
          <w:noProof/>
        </w:rPr>
        <w:lastRenderedPageBreak/>
        <w:drawing>
          <wp:inline distT="0" distB="0" distL="0" distR="0" wp14:anchorId="232B3000" wp14:editId="7F965397">
            <wp:extent cx="5943600" cy="3828415"/>
            <wp:effectExtent l="0" t="0" r="0" b="0"/>
            <wp:docPr id="16701778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28415"/>
                    </a:xfrm>
                    <a:prstGeom prst="rect">
                      <a:avLst/>
                    </a:prstGeom>
                    <a:noFill/>
                    <a:ln>
                      <a:noFill/>
                    </a:ln>
                  </pic:spPr>
                </pic:pic>
              </a:graphicData>
            </a:graphic>
          </wp:inline>
        </w:drawing>
      </w:r>
      <w:r w:rsidR="002C0E24" w:rsidRPr="002C0E24">
        <w:rPr>
          <w:rFonts w:ascii="Times New Roman" w:eastAsia="Times New Roman" w:hAnsi="Times New Roman" w:cs="Times New Roman"/>
          <w:b/>
          <w:bCs/>
          <w:kern w:val="0"/>
          <w:sz w:val="24"/>
          <w:szCs w:val="24"/>
          <w14:ligatures w14:val="none"/>
        </w:rPr>
        <w:br/>
      </w:r>
      <w:r w:rsidR="00B35ED9" w:rsidRPr="00B35ED9">
        <w:rPr>
          <w:rFonts w:ascii="Times New Roman" w:eastAsia="Times New Roman" w:hAnsi="Times New Roman" w:cs="Times New Roman"/>
          <w:b/>
          <w:bCs/>
          <w:kern w:val="0"/>
          <w:sz w:val="24"/>
          <w:szCs w:val="24"/>
          <w14:ligatures w14:val="none"/>
        </w:rPr>
        <w:t>Net Profit Margin:</w:t>
      </w:r>
    </w:p>
    <w:p w14:paraId="44D8B126" w14:textId="09896BA3" w:rsidR="00B35ED9" w:rsidRPr="00B35ED9" w:rsidRDefault="00B35ED9" w:rsidP="00B35ED9">
      <w:pPr>
        <w:spacing w:line="360" w:lineRule="auto"/>
        <w:jc w:val="both"/>
        <w:rPr>
          <w:rFonts w:ascii="Times New Roman" w:eastAsia="Times New Roman" w:hAnsi="Times New Roman" w:cs="Times New Roman"/>
          <w:kern w:val="0"/>
          <w:sz w:val="24"/>
          <w:szCs w:val="24"/>
          <w14:ligatures w14:val="none"/>
        </w:rPr>
      </w:pPr>
      <w:r w:rsidRPr="00B35ED9">
        <w:rPr>
          <w:rFonts w:ascii="Times New Roman" w:eastAsia="Times New Roman" w:hAnsi="Times New Roman" w:cs="Times New Roman"/>
          <w:kern w:val="0"/>
          <w:sz w:val="24"/>
          <w:szCs w:val="24"/>
          <w14:ligatures w14:val="none"/>
        </w:rPr>
        <w:t>Another aspect that quite unpredictable is a net profit margin of J. Sainsbury that was 226% in 2022 and 66% in 2023. Tesco’s margin was more stable but significantly lower, which reached the maximum value of 10.29% in 2021 and then falling to 1.13% in 2023. This situation shows that J. Sainsbury occasionally reported high levels of profitability which could be attributed to extra-ordinary gains and cost controls in some periods as opposed to Tesco’s fairly low but fairly consistent profit margins.</w:t>
      </w:r>
    </w:p>
    <w:p w14:paraId="09E79CAD" w14:textId="0505E1F1" w:rsidR="00B35ED9" w:rsidRPr="00B35ED9" w:rsidRDefault="00B35ED9" w:rsidP="00B35ED9">
      <w:pPr>
        <w:spacing w:line="360" w:lineRule="auto"/>
        <w:jc w:val="both"/>
        <w:rPr>
          <w:rFonts w:ascii="Times New Roman" w:eastAsia="Times New Roman" w:hAnsi="Times New Roman" w:cs="Times New Roman"/>
          <w:b/>
          <w:bCs/>
          <w:kern w:val="0"/>
          <w:sz w:val="24"/>
          <w:szCs w:val="24"/>
          <w14:ligatures w14:val="none"/>
        </w:rPr>
      </w:pPr>
      <w:r w:rsidRPr="00B35ED9">
        <w:rPr>
          <w:rFonts w:ascii="Times New Roman" w:eastAsia="Times New Roman" w:hAnsi="Times New Roman" w:cs="Times New Roman"/>
          <w:b/>
          <w:bCs/>
          <w:kern w:val="0"/>
          <w:sz w:val="24"/>
          <w:szCs w:val="24"/>
          <w14:ligatures w14:val="none"/>
        </w:rPr>
        <w:t>EBITDA Margin:</w:t>
      </w:r>
      <w:r>
        <w:rPr>
          <w:rFonts w:ascii="Times New Roman" w:eastAsia="Times New Roman" w:hAnsi="Times New Roman" w:cs="Times New Roman"/>
          <w:b/>
          <w:bCs/>
          <w:kern w:val="0"/>
          <w:sz w:val="24"/>
          <w:szCs w:val="24"/>
          <w14:ligatures w14:val="none"/>
        </w:rPr>
        <w:t xml:space="preserve"> </w:t>
      </w:r>
      <w:r w:rsidRPr="00B35ED9">
        <w:rPr>
          <w:rFonts w:ascii="Times New Roman" w:eastAsia="Times New Roman" w:hAnsi="Times New Roman" w:cs="Times New Roman"/>
          <w:kern w:val="0"/>
          <w:sz w:val="24"/>
          <w:szCs w:val="24"/>
          <w14:ligatures w14:val="none"/>
        </w:rPr>
        <w:t xml:space="preserve">Both firms had a mid-range EBITDA margin and Tesco is relatively in a better position in this area compared to CMA. The specific margins of J. Sainsbury varied around 4.84% to 7.95% while Tesco’s from </w:t>
      </w:r>
      <w:r>
        <w:rPr>
          <w:rFonts w:ascii="Times New Roman" w:eastAsia="Times New Roman" w:hAnsi="Times New Roman" w:cs="Times New Roman"/>
          <w:kern w:val="0"/>
          <w:sz w:val="24"/>
          <w:szCs w:val="24"/>
          <w14:ligatures w14:val="none"/>
        </w:rPr>
        <w:t xml:space="preserve">high </w:t>
      </w:r>
      <w:r w:rsidRPr="00B35ED9">
        <w:rPr>
          <w:rFonts w:ascii="Times New Roman" w:eastAsia="Times New Roman" w:hAnsi="Times New Roman" w:cs="Times New Roman"/>
          <w:kern w:val="0"/>
          <w:sz w:val="24"/>
          <w:szCs w:val="24"/>
          <w14:ligatures w14:val="none"/>
        </w:rPr>
        <w:t>7.5</w:t>
      </w:r>
      <w:r>
        <w:rPr>
          <w:rFonts w:ascii="Times New Roman" w:eastAsia="Times New Roman" w:hAnsi="Times New Roman" w:cs="Times New Roman"/>
          <w:kern w:val="0"/>
          <w:sz w:val="24"/>
          <w:szCs w:val="24"/>
          <w14:ligatures w14:val="none"/>
        </w:rPr>
        <w:t>1</w:t>
      </w:r>
      <w:r w:rsidRPr="00B35ED9">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to low</w:t>
      </w:r>
      <w:r w:rsidRPr="00B35ED9">
        <w:rPr>
          <w:rFonts w:ascii="Times New Roman" w:eastAsia="Times New Roman" w:hAnsi="Times New Roman" w:cs="Times New Roman"/>
          <w:kern w:val="0"/>
          <w:sz w:val="24"/>
          <w:szCs w:val="24"/>
          <w14:ligatures w14:val="none"/>
        </w:rPr>
        <w:t xml:space="preserve"> ending at 4.76% in 2023. This indicates that Tesco’s higher margins in most years are an index of efficiency in operation than </w:t>
      </w:r>
      <w:proofErr w:type="spellStart"/>
      <w:r>
        <w:rPr>
          <w:rFonts w:ascii="Times New Roman" w:eastAsia="Times New Roman" w:hAnsi="Times New Roman" w:cs="Times New Roman"/>
          <w:kern w:val="0"/>
          <w:sz w:val="24"/>
          <w:szCs w:val="24"/>
          <w14:ligatures w14:val="none"/>
        </w:rPr>
        <w:t>Sainsburry</w:t>
      </w:r>
      <w:proofErr w:type="spellEnd"/>
      <w:r>
        <w:rPr>
          <w:rFonts w:ascii="Times New Roman" w:eastAsia="Times New Roman" w:hAnsi="Times New Roman" w:cs="Times New Roman"/>
          <w:kern w:val="0"/>
          <w:sz w:val="24"/>
          <w:szCs w:val="24"/>
          <w14:ligatures w14:val="none"/>
        </w:rPr>
        <w:t xml:space="preserve"> (Husain and </w:t>
      </w:r>
      <w:proofErr w:type="spellStart"/>
      <w:r>
        <w:rPr>
          <w:rFonts w:ascii="Times New Roman" w:eastAsia="Times New Roman" w:hAnsi="Times New Roman" w:cs="Times New Roman"/>
          <w:kern w:val="0"/>
          <w:sz w:val="24"/>
          <w:szCs w:val="24"/>
          <w14:ligatures w14:val="none"/>
        </w:rPr>
        <w:t>sunardi</w:t>
      </w:r>
      <w:proofErr w:type="spellEnd"/>
      <w:r>
        <w:rPr>
          <w:rFonts w:ascii="Times New Roman" w:eastAsia="Times New Roman" w:hAnsi="Times New Roman" w:cs="Times New Roman"/>
          <w:kern w:val="0"/>
          <w:sz w:val="24"/>
          <w:szCs w:val="24"/>
          <w14:ligatures w14:val="none"/>
        </w:rPr>
        <w:t>, 2020)</w:t>
      </w:r>
      <w:r w:rsidRPr="00B35ED9">
        <w:rPr>
          <w:rFonts w:ascii="Times New Roman" w:eastAsia="Times New Roman" w:hAnsi="Times New Roman" w:cs="Times New Roman"/>
          <w:kern w:val="0"/>
          <w:sz w:val="24"/>
          <w:szCs w:val="24"/>
          <w14:ligatures w14:val="none"/>
        </w:rPr>
        <w:t>.</w:t>
      </w:r>
    </w:p>
    <w:p w14:paraId="06072641" w14:textId="004ECC8F" w:rsidR="00B35ED9" w:rsidRPr="00B35ED9" w:rsidRDefault="00B35ED9" w:rsidP="00B35ED9">
      <w:pPr>
        <w:spacing w:line="360" w:lineRule="auto"/>
        <w:jc w:val="both"/>
        <w:rPr>
          <w:rFonts w:ascii="Times New Roman" w:eastAsia="Times New Roman" w:hAnsi="Times New Roman" w:cs="Times New Roman"/>
          <w:kern w:val="0"/>
          <w:sz w:val="24"/>
          <w:szCs w:val="24"/>
          <w14:ligatures w14:val="none"/>
        </w:rPr>
      </w:pPr>
      <w:r w:rsidRPr="00B35ED9">
        <w:rPr>
          <w:rFonts w:ascii="Times New Roman" w:eastAsia="Times New Roman" w:hAnsi="Times New Roman" w:cs="Times New Roman"/>
          <w:b/>
          <w:bCs/>
          <w:kern w:val="0"/>
          <w:sz w:val="24"/>
          <w:szCs w:val="24"/>
          <w14:ligatures w14:val="none"/>
        </w:rPr>
        <w:t>Return on Equity (ROE):</w:t>
      </w:r>
      <w:r>
        <w:rPr>
          <w:rFonts w:ascii="Times New Roman" w:eastAsia="Times New Roman" w:hAnsi="Times New Roman" w:cs="Times New Roman"/>
          <w:b/>
          <w:bCs/>
          <w:kern w:val="0"/>
          <w:sz w:val="24"/>
          <w:szCs w:val="24"/>
          <w14:ligatures w14:val="none"/>
        </w:rPr>
        <w:t xml:space="preserve"> </w:t>
      </w:r>
      <w:r w:rsidRPr="00B35ED9">
        <w:rPr>
          <w:rFonts w:ascii="Times New Roman" w:eastAsia="Times New Roman" w:hAnsi="Times New Roman" w:cs="Times New Roman"/>
          <w:kern w:val="0"/>
          <w:sz w:val="24"/>
          <w:szCs w:val="24"/>
          <w14:ligatures w14:val="none"/>
        </w:rPr>
        <w:t xml:space="preserve">A high fluctuation in ROE was observed in the case of Tesco, and it marginally changes to 46.76 in the year 2021 and it reduced to 5.28% in 2023. J. Sainsbury’s ROE was lower and was fluctuating throughout the years with the highest value at 9.10% in 2022. Tesco </w:t>
      </w:r>
      <w:r w:rsidRPr="00B35ED9">
        <w:rPr>
          <w:rFonts w:ascii="Times New Roman" w:eastAsia="Times New Roman" w:hAnsi="Times New Roman" w:cs="Times New Roman"/>
          <w:kern w:val="0"/>
          <w:sz w:val="24"/>
          <w:szCs w:val="24"/>
          <w14:ligatures w14:val="none"/>
        </w:rPr>
        <w:lastRenderedPageBreak/>
        <w:t>has a higher and more fluctuating ROE, which points out the periods of good financial results, while J. Sainsbury’s more stable but lower ROE reveals moderate equity returns.</w:t>
      </w:r>
    </w:p>
    <w:p w14:paraId="1378D0FB" w14:textId="73892342" w:rsidR="00B35ED9" w:rsidRPr="00B35ED9" w:rsidRDefault="00B35ED9" w:rsidP="00B35ED9">
      <w:pPr>
        <w:spacing w:line="360" w:lineRule="auto"/>
        <w:rPr>
          <w:rStyle w:val="Heading1Char"/>
          <w:rFonts w:ascii="Times New Roman" w:eastAsia="Times New Roman" w:hAnsi="Times New Roman" w:cs="Times New Roman"/>
          <w:b/>
          <w:bCs/>
          <w:color w:val="auto"/>
          <w:kern w:val="0"/>
          <w:sz w:val="24"/>
          <w:szCs w:val="24"/>
          <w14:ligatures w14:val="none"/>
        </w:rPr>
      </w:pPr>
      <w:r w:rsidRPr="00B35ED9">
        <w:rPr>
          <w:rFonts w:ascii="Times New Roman" w:eastAsia="Times New Roman" w:hAnsi="Times New Roman" w:cs="Times New Roman"/>
          <w:b/>
          <w:bCs/>
          <w:kern w:val="0"/>
          <w:sz w:val="24"/>
          <w:szCs w:val="24"/>
          <w14:ligatures w14:val="none"/>
        </w:rPr>
        <w:t>Gross Profit Margin:</w:t>
      </w:r>
      <w:r>
        <w:rPr>
          <w:rFonts w:ascii="Times New Roman" w:eastAsia="Times New Roman" w:hAnsi="Times New Roman" w:cs="Times New Roman"/>
          <w:b/>
          <w:bCs/>
          <w:kern w:val="0"/>
          <w:sz w:val="24"/>
          <w:szCs w:val="24"/>
          <w14:ligatures w14:val="none"/>
        </w:rPr>
        <w:t xml:space="preserve"> </w:t>
      </w:r>
      <w:r w:rsidRPr="00B35ED9">
        <w:rPr>
          <w:rFonts w:ascii="Times New Roman" w:eastAsia="Times New Roman" w:hAnsi="Times New Roman" w:cs="Times New Roman"/>
          <w:kern w:val="0"/>
          <w:sz w:val="24"/>
          <w:szCs w:val="24"/>
          <w14:ligatures w14:val="none"/>
        </w:rPr>
        <w:t xml:space="preserve">Gross profit margin of Tesco was slightly higher than that of J. Sainsbury in the said period of five years. Tesco’s margin varied from 6.79% to 7.77%, ending at 7.41% in 2023, while the operating margin of J. Sainsbury was ranged between 6.35% and 7.96%. This implies that Tesco was a little better placed in handling their cost of goods sold than their sales. </w:t>
      </w:r>
      <w:r w:rsidR="009959F5">
        <w:rPr>
          <w:rFonts w:ascii="Times New Roman" w:eastAsia="Times New Roman" w:hAnsi="Times New Roman" w:cs="Times New Roman"/>
          <w:kern w:val="0"/>
          <w:sz w:val="24"/>
          <w:szCs w:val="24"/>
          <w14:ligatures w14:val="none"/>
        </w:rPr>
        <w:t>(Husain</w:t>
      </w:r>
      <w:r w:rsidR="0085689E">
        <w:rPr>
          <w:rFonts w:ascii="Times New Roman" w:eastAsia="Times New Roman" w:hAnsi="Times New Roman" w:cs="Times New Roman"/>
          <w:kern w:val="0"/>
          <w:sz w:val="24"/>
          <w:szCs w:val="24"/>
          <w14:ligatures w14:val="none"/>
        </w:rPr>
        <w:t xml:space="preserve"> and </w:t>
      </w:r>
      <w:proofErr w:type="spellStart"/>
      <w:r w:rsidR="0085689E">
        <w:rPr>
          <w:rFonts w:ascii="Times New Roman" w:eastAsia="Times New Roman" w:hAnsi="Times New Roman" w:cs="Times New Roman"/>
          <w:kern w:val="0"/>
          <w:sz w:val="24"/>
          <w:szCs w:val="24"/>
          <w14:ligatures w14:val="none"/>
        </w:rPr>
        <w:t>sunardi</w:t>
      </w:r>
      <w:proofErr w:type="spellEnd"/>
      <w:r w:rsidR="009959F5">
        <w:rPr>
          <w:rFonts w:ascii="Times New Roman" w:eastAsia="Times New Roman" w:hAnsi="Times New Roman" w:cs="Times New Roman"/>
          <w:kern w:val="0"/>
          <w:sz w:val="24"/>
          <w:szCs w:val="24"/>
          <w14:ligatures w14:val="none"/>
        </w:rPr>
        <w:t>, 2020)</w:t>
      </w:r>
      <w:r w:rsidR="002C0E24" w:rsidRPr="002C0E24">
        <w:rPr>
          <w:rFonts w:ascii="Times New Roman" w:eastAsia="Times New Roman" w:hAnsi="Times New Roman" w:cs="Times New Roman"/>
          <w:kern w:val="0"/>
          <w:sz w:val="24"/>
          <w:szCs w:val="24"/>
          <w14:ligatures w14:val="none"/>
        </w:rPr>
        <w:t>.</w:t>
      </w:r>
      <w:r w:rsidR="002C0E24" w:rsidRPr="002C0E24">
        <w:rPr>
          <w:rFonts w:ascii="Times New Roman" w:eastAsia="Times New Roman" w:hAnsi="Times New Roman" w:cs="Times New Roman"/>
          <w:kern w:val="0"/>
          <w:sz w:val="24"/>
          <w:szCs w:val="24"/>
          <w14:ligatures w14:val="none"/>
        </w:rPr>
        <w:br/>
      </w:r>
    </w:p>
    <w:p w14:paraId="436BEB86" w14:textId="1F20420B" w:rsidR="008B255B" w:rsidRPr="005C07AE" w:rsidRDefault="002C0E24" w:rsidP="002C0E24">
      <w:pPr>
        <w:spacing w:before="100" w:beforeAutospacing="1" w:after="100" w:afterAutospacing="1" w:line="360" w:lineRule="auto"/>
        <w:rPr>
          <w:rStyle w:val="Heading1Char"/>
          <w:b/>
          <w:bCs/>
        </w:rPr>
      </w:pPr>
      <w:r w:rsidRPr="005C07AE">
        <w:rPr>
          <w:rStyle w:val="Heading1Char"/>
          <w:b/>
          <w:bCs/>
        </w:rPr>
        <w:t>Gearing Ratios</w:t>
      </w:r>
    </w:p>
    <w:p w14:paraId="4F594B5D" w14:textId="2AFF9BC8" w:rsidR="00B35ED9" w:rsidRPr="00B35ED9" w:rsidRDefault="001E7CD6" w:rsidP="00B35ED9">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1E7CD6">
        <w:rPr>
          <w:noProof/>
        </w:rPr>
        <w:drawing>
          <wp:inline distT="0" distB="0" distL="0" distR="0" wp14:anchorId="562E616D" wp14:editId="7D6AD456">
            <wp:extent cx="5943600" cy="4696460"/>
            <wp:effectExtent l="0" t="0" r="0" b="0"/>
            <wp:docPr id="3658573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96460"/>
                    </a:xfrm>
                    <a:prstGeom prst="rect">
                      <a:avLst/>
                    </a:prstGeom>
                    <a:noFill/>
                    <a:ln>
                      <a:noFill/>
                    </a:ln>
                  </pic:spPr>
                </pic:pic>
              </a:graphicData>
            </a:graphic>
          </wp:inline>
        </w:drawing>
      </w:r>
      <w:r w:rsidR="002C0E24" w:rsidRPr="002C0E24">
        <w:rPr>
          <w:rFonts w:ascii="Times New Roman" w:eastAsia="Times New Roman" w:hAnsi="Times New Roman" w:cs="Times New Roman"/>
          <w:b/>
          <w:bCs/>
          <w:kern w:val="0"/>
          <w:sz w:val="24"/>
          <w:szCs w:val="24"/>
          <w14:ligatures w14:val="none"/>
        </w:rPr>
        <w:br/>
      </w:r>
      <w:r w:rsidR="00B35ED9" w:rsidRPr="00B35ED9">
        <w:rPr>
          <w:rFonts w:ascii="Times New Roman" w:eastAsia="Times New Roman" w:hAnsi="Times New Roman" w:cs="Times New Roman"/>
          <w:b/>
          <w:bCs/>
          <w:kern w:val="0"/>
          <w:sz w:val="24"/>
          <w:szCs w:val="24"/>
          <w14:ligatures w14:val="none"/>
        </w:rPr>
        <w:t>Debt to Equity Ratio:</w:t>
      </w:r>
      <w:r w:rsidR="00B35ED9">
        <w:rPr>
          <w:rFonts w:ascii="Times New Roman" w:eastAsia="Times New Roman" w:hAnsi="Times New Roman" w:cs="Times New Roman"/>
          <w:b/>
          <w:bCs/>
          <w:kern w:val="0"/>
          <w:sz w:val="24"/>
          <w:szCs w:val="24"/>
          <w14:ligatures w14:val="none"/>
        </w:rPr>
        <w:t xml:space="preserve"> </w:t>
      </w:r>
      <w:r w:rsidR="00B35ED9" w:rsidRPr="00B35ED9">
        <w:rPr>
          <w:rFonts w:ascii="Times New Roman" w:eastAsia="Times New Roman" w:hAnsi="Times New Roman" w:cs="Times New Roman"/>
          <w:kern w:val="0"/>
          <w:sz w:val="24"/>
          <w:szCs w:val="24"/>
          <w14:ligatures w14:val="none"/>
        </w:rPr>
        <w:t>Currently, both firms have high gearing levels but Tesco has slightly higher debt to equity ratio than the former. Tesco’s ratio was moving within the range of 90</w:t>
      </w:r>
      <w:r w:rsidR="00B35ED9">
        <w:rPr>
          <w:rFonts w:ascii="Times New Roman" w:eastAsia="Times New Roman" w:hAnsi="Times New Roman" w:cs="Times New Roman"/>
          <w:kern w:val="0"/>
          <w:sz w:val="24"/>
          <w:szCs w:val="24"/>
          <w14:ligatures w14:val="none"/>
        </w:rPr>
        <w:t>%</w:t>
      </w:r>
      <w:r w:rsidR="00B35ED9" w:rsidRPr="00B35ED9">
        <w:rPr>
          <w:rFonts w:ascii="Times New Roman" w:eastAsia="Times New Roman" w:hAnsi="Times New Roman" w:cs="Times New Roman"/>
          <w:kern w:val="0"/>
          <w:sz w:val="24"/>
          <w:szCs w:val="24"/>
          <w14:ligatures w14:val="none"/>
        </w:rPr>
        <w:t xml:space="preserve"> to as high </w:t>
      </w:r>
      <w:r w:rsidR="00B35ED9" w:rsidRPr="00B35ED9">
        <w:rPr>
          <w:rFonts w:ascii="Times New Roman" w:eastAsia="Times New Roman" w:hAnsi="Times New Roman" w:cs="Times New Roman"/>
          <w:kern w:val="0"/>
          <w:sz w:val="24"/>
          <w:szCs w:val="24"/>
          <w14:ligatures w14:val="none"/>
        </w:rPr>
        <w:lastRenderedPageBreak/>
        <w:t>as 116</w:t>
      </w:r>
      <w:r w:rsidR="00B35ED9">
        <w:rPr>
          <w:rFonts w:ascii="Times New Roman" w:eastAsia="Times New Roman" w:hAnsi="Times New Roman" w:cs="Times New Roman"/>
          <w:kern w:val="0"/>
          <w:sz w:val="24"/>
          <w:szCs w:val="24"/>
          <w14:ligatures w14:val="none"/>
        </w:rPr>
        <w:t xml:space="preserve">% </w:t>
      </w:r>
      <w:r w:rsidR="00B35ED9" w:rsidRPr="00B35ED9">
        <w:rPr>
          <w:rFonts w:ascii="Times New Roman" w:eastAsia="Times New Roman" w:hAnsi="Times New Roman" w:cs="Times New Roman"/>
          <w:kern w:val="0"/>
          <w:sz w:val="24"/>
          <w:szCs w:val="24"/>
          <w14:ligatures w14:val="none"/>
        </w:rPr>
        <w:t>in the year 2022. Down from 26% in 2019, but still 22% in 2021, thus signifying the high use of debt to fund activities. J. Sainsbury’s ratio ranged from 77% in 2023 to 90.40% in 2021, however, this is quite more conservative compared to Tesco’s approach to leveraging.</w:t>
      </w:r>
    </w:p>
    <w:p w14:paraId="5BBF3A92" w14:textId="36DB7833" w:rsidR="00B35ED9" w:rsidRPr="00B35ED9" w:rsidRDefault="00B35ED9" w:rsidP="00B35ED9">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B35ED9">
        <w:rPr>
          <w:rFonts w:ascii="Times New Roman" w:eastAsia="Times New Roman" w:hAnsi="Times New Roman" w:cs="Times New Roman"/>
          <w:b/>
          <w:bCs/>
          <w:kern w:val="0"/>
          <w:sz w:val="24"/>
          <w:szCs w:val="24"/>
          <w14:ligatures w14:val="none"/>
        </w:rPr>
        <w:t>Borrowing Ratio</w:t>
      </w:r>
      <w:r>
        <w:rPr>
          <w:rFonts w:ascii="Times New Roman" w:eastAsia="Times New Roman" w:hAnsi="Times New Roman" w:cs="Times New Roman"/>
          <w:b/>
          <w:bCs/>
          <w:kern w:val="0"/>
          <w:sz w:val="24"/>
          <w:szCs w:val="24"/>
          <w14:ligatures w14:val="none"/>
        </w:rPr>
        <w:t xml:space="preserve">: </w:t>
      </w:r>
      <w:r w:rsidRPr="00B35ED9">
        <w:rPr>
          <w:rFonts w:ascii="Times New Roman" w:eastAsia="Times New Roman" w:hAnsi="Times New Roman" w:cs="Times New Roman"/>
          <w:kern w:val="0"/>
          <w:sz w:val="24"/>
          <w:szCs w:val="24"/>
          <w14:ligatures w14:val="none"/>
        </w:rPr>
        <w:t>The borrowing ratio of Tesco was always higher to that of J. Sainsbury from the above time period. Tesco’s ratio was oscillating between 52.67% to 61.5%</w:t>
      </w:r>
      <w:r>
        <w:rPr>
          <w:rFonts w:ascii="Times New Roman" w:eastAsia="Times New Roman" w:hAnsi="Times New Roman" w:cs="Times New Roman"/>
          <w:kern w:val="0"/>
          <w:sz w:val="24"/>
          <w:szCs w:val="24"/>
          <w14:ligatures w14:val="none"/>
        </w:rPr>
        <w:t xml:space="preserve"> </w:t>
      </w:r>
      <w:r w:rsidRPr="00B35ED9">
        <w:rPr>
          <w:rFonts w:ascii="Times New Roman" w:eastAsia="Times New Roman" w:hAnsi="Times New Roman" w:cs="Times New Roman"/>
          <w:kern w:val="0"/>
          <w:sz w:val="24"/>
          <w:szCs w:val="24"/>
          <w14:ligatures w14:val="none"/>
        </w:rPr>
        <w:t>while J. Sainsbury’s borrowing ratio ranged between 47</w:t>
      </w:r>
      <w:r>
        <w:rPr>
          <w:rFonts w:ascii="Times New Roman" w:eastAsia="Times New Roman" w:hAnsi="Times New Roman" w:cs="Times New Roman"/>
          <w:kern w:val="0"/>
          <w:sz w:val="24"/>
          <w:szCs w:val="24"/>
          <w14:ligatures w14:val="none"/>
        </w:rPr>
        <w:t>%</w:t>
      </w:r>
      <w:r w:rsidRPr="00B35ED9">
        <w:rPr>
          <w:rFonts w:ascii="Times New Roman" w:eastAsia="Times New Roman" w:hAnsi="Times New Roman" w:cs="Times New Roman"/>
          <w:kern w:val="0"/>
          <w:sz w:val="24"/>
          <w:szCs w:val="24"/>
          <w14:ligatures w14:val="none"/>
        </w:rPr>
        <w:t xml:space="preserve"> to 51</w:t>
      </w:r>
      <w:r>
        <w:rPr>
          <w:rFonts w:ascii="Times New Roman" w:eastAsia="Times New Roman" w:hAnsi="Times New Roman" w:cs="Times New Roman"/>
          <w:kern w:val="0"/>
          <w:sz w:val="24"/>
          <w:szCs w:val="24"/>
          <w14:ligatures w14:val="none"/>
        </w:rPr>
        <w:t>%</w:t>
      </w:r>
      <w:r w:rsidRPr="00B35ED9">
        <w:rPr>
          <w:rFonts w:ascii="Times New Roman" w:eastAsia="Times New Roman" w:hAnsi="Times New Roman" w:cs="Times New Roman"/>
          <w:kern w:val="0"/>
          <w:sz w:val="24"/>
          <w:szCs w:val="24"/>
          <w14:ligatures w14:val="none"/>
        </w:rPr>
        <w:t>. This shows that Tesco relies on borrowing for its operations than Sainsbury.</w:t>
      </w:r>
    </w:p>
    <w:p w14:paraId="2446C1D0" w14:textId="2635FA48" w:rsidR="00B35ED9" w:rsidRPr="00B35ED9" w:rsidRDefault="00B35ED9" w:rsidP="00B35ED9">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B35ED9">
        <w:rPr>
          <w:rFonts w:ascii="Times New Roman" w:eastAsia="Times New Roman" w:hAnsi="Times New Roman" w:cs="Times New Roman"/>
          <w:b/>
          <w:bCs/>
          <w:kern w:val="0"/>
          <w:sz w:val="24"/>
          <w:szCs w:val="24"/>
          <w14:ligatures w14:val="none"/>
        </w:rPr>
        <w:t>Gearing Ratio:</w:t>
      </w:r>
      <w:r>
        <w:rPr>
          <w:rFonts w:ascii="Times New Roman" w:eastAsia="Times New Roman" w:hAnsi="Times New Roman" w:cs="Times New Roman"/>
          <w:b/>
          <w:bCs/>
          <w:kern w:val="0"/>
          <w:sz w:val="24"/>
          <w:szCs w:val="24"/>
          <w14:ligatures w14:val="none"/>
        </w:rPr>
        <w:t xml:space="preserve"> </w:t>
      </w:r>
      <w:r w:rsidRPr="00B35ED9">
        <w:rPr>
          <w:rFonts w:ascii="Times New Roman" w:eastAsia="Times New Roman" w:hAnsi="Times New Roman" w:cs="Times New Roman"/>
          <w:kern w:val="0"/>
          <w:sz w:val="24"/>
          <w:szCs w:val="24"/>
          <w14:ligatures w14:val="none"/>
        </w:rPr>
        <w:t>Tesco also had a higher gearing ratio than J. Sainsbury but both the firms were decreasing their gearing ratio. The gearing ratio of Tesco was 62</w:t>
      </w:r>
      <w:r>
        <w:rPr>
          <w:rFonts w:ascii="Times New Roman" w:eastAsia="Times New Roman" w:hAnsi="Times New Roman" w:cs="Times New Roman"/>
          <w:kern w:val="0"/>
          <w:sz w:val="24"/>
          <w:szCs w:val="24"/>
          <w14:ligatures w14:val="none"/>
        </w:rPr>
        <w:t>.</w:t>
      </w:r>
      <w:r w:rsidRPr="00B35ED9">
        <w:rPr>
          <w:rFonts w:ascii="Times New Roman" w:eastAsia="Times New Roman" w:hAnsi="Times New Roman" w:cs="Times New Roman"/>
          <w:kern w:val="0"/>
          <w:sz w:val="24"/>
          <w:szCs w:val="24"/>
          <w14:ligatures w14:val="none"/>
        </w:rPr>
        <w:t>61% in 2019 and 56.73% in 2023, meanwhile the ratio of J. Sainsbury remained almost constant at 50%.</w:t>
      </w:r>
    </w:p>
    <w:p w14:paraId="055AFDF4" w14:textId="6071394F" w:rsidR="008B255B" w:rsidRPr="00B35ED9" w:rsidRDefault="00B35ED9" w:rsidP="00B35ED9">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B35ED9">
        <w:rPr>
          <w:rFonts w:ascii="Times New Roman" w:eastAsia="Times New Roman" w:hAnsi="Times New Roman" w:cs="Times New Roman"/>
          <w:b/>
          <w:bCs/>
          <w:kern w:val="0"/>
          <w:sz w:val="24"/>
          <w:szCs w:val="24"/>
          <w14:ligatures w14:val="none"/>
        </w:rPr>
        <w:t>Interest Cover (GAAP):</w:t>
      </w:r>
      <w:r>
        <w:rPr>
          <w:rFonts w:ascii="Times New Roman" w:eastAsia="Times New Roman" w:hAnsi="Times New Roman" w:cs="Times New Roman"/>
          <w:b/>
          <w:bCs/>
          <w:kern w:val="0"/>
          <w:sz w:val="24"/>
          <w:szCs w:val="24"/>
          <w14:ligatures w14:val="none"/>
        </w:rPr>
        <w:t xml:space="preserve"> </w:t>
      </w:r>
      <w:r w:rsidRPr="00B35ED9">
        <w:rPr>
          <w:rFonts w:ascii="Times New Roman" w:eastAsia="Times New Roman" w:hAnsi="Times New Roman" w:cs="Times New Roman"/>
          <w:kern w:val="0"/>
          <w:sz w:val="24"/>
          <w:szCs w:val="24"/>
          <w14:ligatures w14:val="none"/>
        </w:rPr>
        <w:t xml:space="preserve">Here, J. Sainsbury had better interest cover as compared to the industry with specifically in the year 2023 the figure of 105.48%. For interest cover, Tesco’s was lower, ranged from </w:t>
      </w:r>
      <w:r>
        <w:rPr>
          <w:rFonts w:ascii="Times New Roman" w:eastAsia="Times New Roman" w:hAnsi="Times New Roman" w:cs="Times New Roman"/>
          <w:kern w:val="0"/>
          <w:sz w:val="24"/>
          <w:szCs w:val="24"/>
          <w14:ligatures w14:val="none"/>
        </w:rPr>
        <w:t>0.96</w:t>
      </w:r>
      <w:r w:rsidRPr="00B35ED9">
        <w:rPr>
          <w:rFonts w:ascii="Times New Roman" w:eastAsia="Times New Roman" w:hAnsi="Times New Roman" w:cs="Times New Roman"/>
          <w:kern w:val="0"/>
          <w:sz w:val="24"/>
          <w:szCs w:val="24"/>
          <w14:ligatures w14:val="none"/>
        </w:rPr>
        <w:t>% only to 3.32% in 2022. This means that J. Sainsbury has the capacity to recover its interest cost from operating income than Tesco which indicates that the company has better operating solvency than Tesco</w:t>
      </w:r>
      <w:r w:rsidRPr="00B35ED9">
        <w:rPr>
          <w:rFonts w:ascii="Times New Roman" w:eastAsia="Times New Roman" w:hAnsi="Times New Roman" w:cs="Times New Roman"/>
          <w:b/>
          <w:bCs/>
          <w:kern w:val="0"/>
          <w:sz w:val="24"/>
          <w:szCs w:val="24"/>
          <w14:ligatures w14:val="none"/>
        </w:rPr>
        <w:t xml:space="preserve"> </w:t>
      </w:r>
      <w:r w:rsidR="0085689E">
        <w:rPr>
          <w:rFonts w:ascii="Times New Roman" w:eastAsia="Times New Roman" w:hAnsi="Times New Roman" w:cs="Times New Roman"/>
          <w:kern w:val="0"/>
          <w:sz w:val="24"/>
          <w:szCs w:val="24"/>
          <w14:ligatures w14:val="none"/>
        </w:rPr>
        <w:t xml:space="preserve">(Harris and </w:t>
      </w:r>
      <w:proofErr w:type="spellStart"/>
      <w:r w:rsidR="0085689E">
        <w:rPr>
          <w:rFonts w:ascii="Times New Roman" w:eastAsia="Times New Roman" w:hAnsi="Times New Roman" w:cs="Times New Roman"/>
          <w:kern w:val="0"/>
          <w:sz w:val="24"/>
          <w:szCs w:val="24"/>
          <w14:ligatures w14:val="none"/>
        </w:rPr>
        <w:t>Mawardi</w:t>
      </w:r>
      <w:proofErr w:type="spellEnd"/>
      <w:r w:rsidR="0085689E">
        <w:rPr>
          <w:rFonts w:ascii="Times New Roman" w:eastAsia="Times New Roman" w:hAnsi="Times New Roman" w:cs="Times New Roman"/>
          <w:kern w:val="0"/>
          <w:sz w:val="24"/>
          <w:szCs w:val="24"/>
          <w14:ligatures w14:val="none"/>
        </w:rPr>
        <w:t>, 2023)</w:t>
      </w:r>
      <w:r w:rsidR="0085689E" w:rsidRPr="002C0E24">
        <w:rPr>
          <w:rFonts w:ascii="Times New Roman" w:eastAsia="Times New Roman" w:hAnsi="Times New Roman" w:cs="Times New Roman"/>
          <w:kern w:val="0"/>
          <w:sz w:val="24"/>
          <w:szCs w:val="24"/>
          <w14:ligatures w14:val="none"/>
        </w:rPr>
        <w:t>.</w:t>
      </w:r>
      <w:r w:rsidR="002C0E24" w:rsidRPr="002C0E24">
        <w:rPr>
          <w:rFonts w:ascii="Times New Roman" w:eastAsia="Times New Roman" w:hAnsi="Times New Roman" w:cs="Times New Roman"/>
          <w:kern w:val="0"/>
          <w:sz w:val="24"/>
          <w:szCs w:val="24"/>
          <w14:ligatures w14:val="none"/>
        </w:rPr>
        <w:br/>
      </w:r>
      <w:r w:rsidR="002C0E24" w:rsidRPr="002C0E24">
        <w:rPr>
          <w:rFonts w:ascii="Times New Roman" w:eastAsia="Times New Roman" w:hAnsi="Times New Roman" w:cs="Times New Roman"/>
          <w:kern w:val="0"/>
          <w:sz w:val="24"/>
          <w:szCs w:val="24"/>
          <w14:ligatures w14:val="none"/>
        </w:rPr>
        <w:br/>
      </w:r>
      <w:r w:rsidR="002C0E24" w:rsidRPr="005C07AE">
        <w:rPr>
          <w:rStyle w:val="Heading1Char"/>
          <w:b/>
          <w:bCs/>
        </w:rPr>
        <w:t>Efficiency Ratios</w:t>
      </w:r>
    </w:p>
    <w:p w14:paraId="1CE76D80" w14:textId="77ACC6A5" w:rsidR="008B255B" w:rsidRDefault="001E7CD6" w:rsidP="002C0E24">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1E7CD6">
        <w:rPr>
          <w:noProof/>
        </w:rPr>
        <w:drawing>
          <wp:inline distT="0" distB="0" distL="0" distR="0" wp14:anchorId="25FD46B7" wp14:editId="561BFDBE">
            <wp:extent cx="5943600" cy="2053590"/>
            <wp:effectExtent l="0" t="0" r="0" b="0"/>
            <wp:docPr id="19999004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53590"/>
                    </a:xfrm>
                    <a:prstGeom prst="rect">
                      <a:avLst/>
                    </a:prstGeom>
                    <a:noFill/>
                    <a:ln>
                      <a:noFill/>
                    </a:ln>
                  </pic:spPr>
                </pic:pic>
              </a:graphicData>
            </a:graphic>
          </wp:inline>
        </w:drawing>
      </w:r>
    </w:p>
    <w:p w14:paraId="22035BE5" w14:textId="4E644AD0" w:rsidR="00B35ED9" w:rsidRPr="00B35ED9" w:rsidRDefault="001E7CD6" w:rsidP="00B35ED9">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1E7CD6">
        <w:rPr>
          <w:noProof/>
        </w:rPr>
        <w:lastRenderedPageBreak/>
        <w:drawing>
          <wp:inline distT="0" distB="0" distL="0" distR="0" wp14:anchorId="30078FDA" wp14:editId="54DDB609">
            <wp:extent cx="5943600" cy="2053590"/>
            <wp:effectExtent l="0" t="0" r="0" b="0"/>
            <wp:docPr id="1842212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53590"/>
                    </a:xfrm>
                    <a:prstGeom prst="rect">
                      <a:avLst/>
                    </a:prstGeom>
                    <a:noFill/>
                    <a:ln>
                      <a:noFill/>
                    </a:ln>
                  </pic:spPr>
                </pic:pic>
              </a:graphicData>
            </a:graphic>
          </wp:inline>
        </w:drawing>
      </w:r>
      <w:r w:rsidR="002C0E24" w:rsidRPr="002C0E24">
        <w:rPr>
          <w:rFonts w:ascii="Times New Roman" w:eastAsia="Times New Roman" w:hAnsi="Times New Roman" w:cs="Times New Roman"/>
          <w:b/>
          <w:bCs/>
          <w:kern w:val="0"/>
          <w:sz w:val="24"/>
          <w:szCs w:val="24"/>
          <w14:ligatures w14:val="none"/>
        </w:rPr>
        <w:br/>
      </w:r>
      <w:r w:rsidR="00B35ED9" w:rsidRPr="00B35ED9">
        <w:rPr>
          <w:rFonts w:ascii="Times New Roman" w:eastAsia="Times New Roman" w:hAnsi="Times New Roman" w:cs="Times New Roman"/>
          <w:b/>
          <w:bCs/>
          <w:kern w:val="0"/>
          <w:sz w:val="24"/>
          <w:szCs w:val="24"/>
          <w14:ligatures w14:val="none"/>
        </w:rPr>
        <w:t xml:space="preserve">Fixed Asset Turnover: </w:t>
      </w:r>
      <w:r w:rsidR="00B35ED9" w:rsidRPr="00B35ED9">
        <w:rPr>
          <w:rFonts w:ascii="Times New Roman" w:eastAsia="Times New Roman" w:hAnsi="Times New Roman" w:cs="Times New Roman"/>
          <w:kern w:val="0"/>
          <w:sz w:val="24"/>
          <w:szCs w:val="24"/>
          <w14:ligatures w14:val="none"/>
        </w:rPr>
        <w:t>Fixed asset turnover ratios of both J. Sainsbury and Tesco were higher in the current year which shows that both the companies are using their fixed assets more effectively to generate sales. J. Sainsbury also increased the times relevant ratio from 2.05, while in the previous year it was 2.32 in 2023, whereas the ratio of Tesco enhanced more remarkably from 2.38 to 2.92 over the same period to research the possible reasons for the increased rate of crowding</w:t>
      </w:r>
      <w:r w:rsidR="00B35ED9">
        <w:rPr>
          <w:rFonts w:ascii="Times New Roman" w:eastAsia="Times New Roman" w:hAnsi="Times New Roman" w:cs="Times New Roman"/>
          <w:kern w:val="0"/>
          <w:sz w:val="24"/>
          <w:szCs w:val="24"/>
          <w14:ligatures w14:val="none"/>
        </w:rPr>
        <w:t xml:space="preserve"> (Patin et al., 2020)</w:t>
      </w:r>
      <w:r w:rsidR="00B35ED9" w:rsidRPr="00B35ED9">
        <w:rPr>
          <w:rFonts w:ascii="Times New Roman" w:eastAsia="Times New Roman" w:hAnsi="Times New Roman" w:cs="Times New Roman"/>
          <w:kern w:val="0"/>
          <w:sz w:val="24"/>
          <w:szCs w:val="24"/>
          <w14:ligatures w14:val="none"/>
        </w:rPr>
        <w:t>.</w:t>
      </w:r>
    </w:p>
    <w:p w14:paraId="19D55C52" w14:textId="761669ED" w:rsidR="00BF4B55" w:rsidRPr="008B255B" w:rsidRDefault="00B35ED9" w:rsidP="00B35ED9">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B35ED9">
        <w:rPr>
          <w:rFonts w:ascii="Times New Roman" w:eastAsia="Times New Roman" w:hAnsi="Times New Roman" w:cs="Times New Roman"/>
          <w:b/>
          <w:bCs/>
          <w:kern w:val="0"/>
          <w:sz w:val="24"/>
          <w:szCs w:val="24"/>
          <w14:ligatures w14:val="none"/>
        </w:rPr>
        <w:t xml:space="preserve">Total Sales Turnover: </w:t>
      </w:r>
      <w:r w:rsidRPr="00B35ED9">
        <w:rPr>
          <w:rFonts w:ascii="Times New Roman" w:eastAsia="Times New Roman" w:hAnsi="Times New Roman" w:cs="Times New Roman"/>
          <w:kern w:val="0"/>
          <w:sz w:val="24"/>
          <w:szCs w:val="24"/>
          <w14:ligatures w14:val="none"/>
        </w:rPr>
        <w:t>Total sales turnover ratios of both the companies were also found to have increased. J. Sainsbury’s ratio also improved and became 1.</w:t>
      </w:r>
      <w:r>
        <w:rPr>
          <w:rFonts w:ascii="Times New Roman" w:eastAsia="Times New Roman" w:hAnsi="Times New Roman" w:cs="Times New Roman"/>
          <w:kern w:val="0"/>
          <w:sz w:val="24"/>
          <w:szCs w:val="24"/>
          <w14:ligatures w14:val="none"/>
        </w:rPr>
        <w:t>0</w:t>
      </w:r>
      <w:r w:rsidRPr="00B35ED9">
        <w:rPr>
          <w:rFonts w:ascii="Times New Roman" w:eastAsia="Times New Roman" w:hAnsi="Times New Roman" w:cs="Times New Roman"/>
          <w:kern w:val="0"/>
          <w:sz w:val="24"/>
          <w:szCs w:val="24"/>
          <w14:ligatures w14:val="none"/>
        </w:rPr>
        <w:t>4 in 2019 to 1.20 in 2023, which means that the relation between sales and assets is constantly increasing. Tesco’s ratio rose from 1.12 to 1.42, illustrating even a higher sales growth</w:t>
      </w:r>
      <w:r>
        <w:rPr>
          <w:rFonts w:ascii="Times New Roman" w:eastAsia="Times New Roman" w:hAnsi="Times New Roman" w:cs="Times New Roman"/>
          <w:kern w:val="0"/>
          <w:sz w:val="24"/>
          <w:szCs w:val="24"/>
          <w14:ligatures w14:val="none"/>
        </w:rPr>
        <w:t xml:space="preserve"> (Iqbal and Anwar, 2022)</w:t>
      </w:r>
      <w:r w:rsidRPr="002C0E24">
        <w:rPr>
          <w:rFonts w:ascii="Times New Roman" w:eastAsia="Times New Roman" w:hAnsi="Times New Roman" w:cs="Times New Roman"/>
          <w:kern w:val="0"/>
          <w:sz w:val="24"/>
          <w:szCs w:val="24"/>
          <w14:ligatures w14:val="none"/>
        </w:rPr>
        <w:t>.</w:t>
      </w:r>
    </w:p>
    <w:p w14:paraId="19C22D93" w14:textId="73EF8A55" w:rsidR="002C0E24" w:rsidRDefault="002C0E24" w:rsidP="00B35ED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C0E24">
        <w:rPr>
          <w:rFonts w:ascii="Times New Roman" w:eastAsia="Times New Roman" w:hAnsi="Times New Roman" w:cs="Times New Roman"/>
          <w:b/>
          <w:bCs/>
          <w:kern w:val="0"/>
          <w:sz w:val="24"/>
          <w:szCs w:val="24"/>
          <w14:ligatures w14:val="none"/>
        </w:rPr>
        <w:t xml:space="preserve">Sale of capital used: </w:t>
      </w:r>
      <w:r w:rsidRPr="002C0E24">
        <w:rPr>
          <w:rFonts w:ascii="Times New Roman" w:eastAsia="Times New Roman" w:hAnsi="Times New Roman" w:cs="Times New Roman"/>
          <w:kern w:val="0"/>
          <w:sz w:val="24"/>
          <w:szCs w:val="24"/>
          <w14:ligatures w14:val="none"/>
        </w:rPr>
        <w:t xml:space="preserve">Tesco's ratio increased from 2.21% in 2019 to 2.62% in 2023. J Sainsbury's ratio strengthened </w:t>
      </w:r>
      <w:r w:rsidR="00B35ED9">
        <w:rPr>
          <w:rFonts w:ascii="Times New Roman" w:eastAsia="Times New Roman" w:hAnsi="Times New Roman" w:cs="Times New Roman"/>
          <w:kern w:val="0"/>
          <w:sz w:val="24"/>
          <w:szCs w:val="24"/>
          <w14:ligatures w14:val="none"/>
        </w:rPr>
        <w:t xml:space="preserve">from </w:t>
      </w:r>
      <w:r w:rsidR="00B35ED9" w:rsidRPr="00B35ED9">
        <w:rPr>
          <w:rFonts w:ascii="Times New Roman" w:eastAsia="Times New Roman" w:hAnsi="Times New Roman" w:cs="Times New Roman"/>
          <w:kern w:val="0"/>
          <w:sz w:val="24"/>
          <w:szCs w:val="24"/>
          <w14:ligatures w14:val="none"/>
        </w:rPr>
        <w:t xml:space="preserve">2.08% in 2019 </w:t>
      </w:r>
      <w:r w:rsidRPr="002C0E24">
        <w:rPr>
          <w:rFonts w:ascii="Times New Roman" w:eastAsia="Times New Roman" w:hAnsi="Times New Roman" w:cs="Times New Roman"/>
          <w:kern w:val="0"/>
          <w:sz w:val="24"/>
          <w:szCs w:val="24"/>
          <w14:ligatures w14:val="none"/>
        </w:rPr>
        <w:t>to 2.46% in 2023. Both companies show that capital a utilization has improved, with Tesco slightly ahead</w:t>
      </w:r>
      <w:r>
        <w:rPr>
          <w:rFonts w:ascii="Times New Roman" w:eastAsia="Times New Roman" w:hAnsi="Times New Roman" w:cs="Times New Roman"/>
          <w:kern w:val="0"/>
          <w:sz w:val="24"/>
          <w:szCs w:val="24"/>
          <w14:ligatures w14:val="none"/>
        </w:rPr>
        <w:t>.</w:t>
      </w:r>
    </w:p>
    <w:p w14:paraId="495B0D49" w14:textId="69811958" w:rsidR="002C0E24" w:rsidRPr="005C07AE" w:rsidRDefault="002C0E24" w:rsidP="005C07AE">
      <w:pPr>
        <w:pStyle w:val="Heading1"/>
        <w:rPr>
          <w:rFonts w:eastAsia="Times New Roman"/>
          <w:b/>
          <w:bCs/>
        </w:rPr>
      </w:pPr>
      <w:r w:rsidRPr="005C07AE">
        <w:rPr>
          <w:rFonts w:eastAsia="Times New Roman"/>
          <w:b/>
          <w:bCs/>
        </w:rPr>
        <w:lastRenderedPageBreak/>
        <w:t>Investment Ratio</w:t>
      </w:r>
    </w:p>
    <w:p w14:paraId="57B27577" w14:textId="19005D26" w:rsidR="00B35ED9" w:rsidRDefault="001E7CD6" w:rsidP="002C0E24">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1E7CD6">
        <w:rPr>
          <w:noProof/>
        </w:rPr>
        <w:drawing>
          <wp:inline distT="0" distB="0" distL="0" distR="0" wp14:anchorId="70E41D5C" wp14:editId="2D614A68">
            <wp:extent cx="5943600" cy="3638550"/>
            <wp:effectExtent l="0" t="0" r="0" b="0"/>
            <wp:docPr id="66618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4959"/>
                    <a:stretch/>
                  </pic:blipFill>
                  <pic:spPr bwMode="auto">
                    <a:xfrm>
                      <a:off x="0" y="0"/>
                      <a:ext cx="5943600" cy="3638550"/>
                    </a:xfrm>
                    <a:prstGeom prst="rect">
                      <a:avLst/>
                    </a:prstGeom>
                    <a:noFill/>
                    <a:ln>
                      <a:noFill/>
                    </a:ln>
                    <a:extLst>
                      <a:ext uri="{53640926-AAD7-44D8-BBD7-CCE9431645EC}">
                        <a14:shadowObscured xmlns:a14="http://schemas.microsoft.com/office/drawing/2010/main"/>
                      </a:ext>
                    </a:extLst>
                  </pic:spPr>
                </pic:pic>
              </a:graphicData>
            </a:graphic>
          </wp:inline>
        </w:drawing>
      </w:r>
    </w:p>
    <w:p w14:paraId="45197BCA" w14:textId="17C2F14C" w:rsidR="002C0E24" w:rsidRPr="002C0E24" w:rsidRDefault="002C0E24" w:rsidP="00B35ED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C0E24">
        <w:rPr>
          <w:rFonts w:ascii="Times New Roman" w:eastAsia="Times New Roman" w:hAnsi="Times New Roman" w:cs="Times New Roman"/>
          <w:b/>
          <w:bCs/>
          <w:kern w:val="0"/>
          <w:sz w:val="24"/>
          <w:szCs w:val="24"/>
          <w14:ligatures w14:val="none"/>
        </w:rPr>
        <w:t xml:space="preserve">Dividend yield: </w:t>
      </w:r>
      <w:r w:rsidRPr="002C0E24">
        <w:rPr>
          <w:rFonts w:ascii="Times New Roman" w:eastAsia="Times New Roman" w:hAnsi="Times New Roman" w:cs="Times New Roman"/>
          <w:kern w:val="0"/>
          <w:sz w:val="24"/>
          <w:szCs w:val="24"/>
          <w14:ligatures w14:val="none"/>
        </w:rPr>
        <w:t>Tesco's dividend yield has remained at 4-</w:t>
      </w:r>
      <w:r w:rsidR="00B35ED9">
        <w:rPr>
          <w:rFonts w:ascii="Times New Roman" w:eastAsia="Times New Roman" w:hAnsi="Times New Roman" w:cs="Times New Roman"/>
          <w:kern w:val="0"/>
          <w:sz w:val="24"/>
          <w:szCs w:val="24"/>
          <w14:ligatures w14:val="none"/>
        </w:rPr>
        <w:t>6</w:t>
      </w:r>
      <w:r w:rsidRPr="002C0E24">
        <w:rPr>
          <w:rFonts w:ascii="Times New Roman" w:eastAsia="Times New Roman" w:hAnsi="Times New Roman" w:cs="Times New Roman"/>
          <w:kern w:val="0"/>
          <w:sz w:val="24"/>
          <w:szCs w:val="24"/>
          <w14:ligatures w14:val="none"/>
        </w:rPr>
        <w:t>%, while J Sainsbury's has been more diversified, increas</w:t>
      </w:r>
      <w:r w:rsidR="00B35ED9">
        <w:rPr>
          <w:rFonts w:ascii="Times New Roman" w:eastAsia="Times New Roman" w:hAnsi="Times New Roman" w:cs="Times New Roman"/>
          <w:kern w:val="0"/>
          <w:sz w:val="24"/>
          <w:szCs w:val="24"/>
          <w14:ligatures w14:val="none"/>
        </w:rPr>
        <w:t>ed</w:t>
      </w:r>
      <w:r w:rsidRPr="002C0E24">
        <w:rPr>
          <w:rFonts w:ascii="Times New Roman" w:eastAsia="Times New Roman" w:hAnsi="Times New Roman" w:cs="Times New Roman"/>
          <w:kern w:val="0"/>
          <w:sz w:val="24"/>
          <w:szCs w:val="24"/>
          <w14:ligatures w14:val="none"/>
        </w:rPr>
        <w:t xml:space="preserve"> to 6.59% in 2019 and falling to 5.33% in 2023. J Sainsbury's dividend is high</w:t>
      </w:r>
      <w:r>
        <w:rPr>
          <w:rFonts w:ascii="Times New Roman" w:eastAsia="Times New Roman" w:hAnsi="Times New Roman" w:cs="Times New Roman"/>
          <w:kern w:val="0"/>
          <w:sz w:val="24"/>
          <w:szCs w:val="24"/>
          <w14:ligatures w14:val="none"/>
        </w:rPr>
        <w:t xml:space="preserve"> as compared to Tesco.</w:t>
      </w:r>
    </w:p>
    <w:p w14:paraId="7DAEDF27" w14:textId="4CF1735E" w:rsidR="002C0E24" w:rsidRPr="002C0E24" w:rsidRDefault="002C0E24" w:rsidP="00B35ED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C0E24">
        <w:rPr>
          <w:rFonts w:ascii="Times New Roman" w:eastAsia="Times New Roman" w:hAnsi="Times New Roman" w:cs="Times New Roman"/>
          <w:b/>
          <w:bCs/>
          <w:kern w:val="0"/>
          <w:sz w:val="24"/>
          <w:szCs w:val="24"/>
          <w14:ligatures w14:val="none"/>
        </w:rPr>
        <w:t xml:space="preserve">Dividend-Payout Ratio: </w:t>
      </w:r>
      <w:r w:rsidRPr="002C0E24">
        <w:rPr>
          <w:rFonts w:ascii="Times New Roman" w:eastAsia="Times New Roman" w:hAnsi="Times New Roman" w:cs="Times New Roman"/>
          <w:kern w:val="0"/>
          <w:sz w:val="24"/>
          <w:szCs w:val="24"/>
          <w14:ligatures w14:val="none"/>
        </w:rPr>
        <w:t>Tesco's payout ratio has changed, increasing to 116.55% by 2023. J Sainsbury's ratio is much lower</w:t>
      </w:r>
      <w:r w:rsidR="00B35ED9">
        <w:rPr>
          <w:rFonts w:ascii="Times New Roman" w:eastAsia="Times New Roman" w:hAnsi="Times New Roman" w:cs="Times New Roman"/>
          <w:kern w:val="0"/>
          <w:sz w:val="24"/>
          <w:szCs w:val="24"/>
          <w14:ligatures w14:val="none"/>
        </w:rPr>
        <w:t xml:space="preserve"> 1.54%</w:t>
      </w:r>
      <w:r w:rsidRPr="002C0E24">
        <w:rPr>
          <w:rFonts w:ascii="Times New Roman" w:eastAsia="Times New Roman" w:hAnsi="Times New Roman" w:cs="Times New Roman"/>
          <w:kern w:val="0"/>
          <w:sz w:val="24"/>
          <w:szCs w:val="24"/>
          <w14:ligatures w14:val="none"/>
        </w:rPr>
        <w:t>, indicating a more conservative payout policy</w:t>
      </w:r>
      <w:r w:rsidR="00271C3C">
        <w:rPr>
          <w:rFonts w:ascii="Times New Roman" w:eastAsia="Times New Roman" w:hAnsi="Times New Roman" w:cs="Times New Roman"/>
          <w:kern w:val="0"/>
          <w:sz w:val="24"/>
          <w:szCs w:val="24"/>
          <w14:ligatures w14:val="none"/>
        </w:rPr>
        <w:t xml:space="preserve"> (Hasanuddin</w:t>
      </w:r>
      <w:r w:rsidR="0085689E">
        <w:rPr>
          <w:rFonts w:ascii="Times New Roman" w:eastAsia="Times New Roman" w:hAnsi="Times New Roman" w:cs="Times New Roman"/>
          <w:kern w:val="0"/>
          <w:sz w:val="24"/>
          <w:szCs w:val="24"/>
          <w14:ligatures w14:val="none"/>
        </w:rPr>
        <w:t xml:space="preserve"> et al.</w:t>
      </w:r>
      <w:r w:rsidR="00271C3C">
        <w:rPr>
          <w:rFonts w:ascii="Times New Roman" w:eastAsia="Times New Roman" w:hAnsi="Times New Roman" w:cs="Times New Roman"/>
          <w:kern w:val="0"/>
          <w:sz w:val="24"/>
          <w:szCs w:val="24"/>
          <w14:ligatures w14:val="none"/>
        </w:rPr>
        <w:t>, 2021)</w:t>
      </w:r>
      <w:r>
        <w:rPr>
          <w:rFonts w:ascii="Times New Roman" w:eastAsia="Times New Roman" w:hAnsi="Times New Roman" w:cs="Times New Roman"/>
          <w:kern w:val="0"/>
          <w:sz w:val="24"/>
          <w:szCs w:val="24"/>
          <w14:ligatures w14:val="none"/>
        </w:rPr>
        <w:t>.</w:t>
      </w:r>
    </w:p>
    <w:p w14:paraId="38B3D527" w14:textId="3DC3C6F8" w:rsidR="002C0E24" w:rsidRPr="002C0E24" w:rsidRDefault="002C0E24" w:rsidP="00B35ED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C0E24">
        <w:rPr>
          <w:rFonts w:ascii="Times New Roman" w:eastAsia="Times New Roman" w:hAnsi="Times New Roman" w:cs="Times New Roman"/>
          <w:b/>
          <w:bCs/>
          <w:kern w:val="0"/>
          <w:sz w:val="24"/>
          <w:szCs w:val="24"/>
          <w14:ligatures w14:val="none"/>
        </w:rPr>
        <w:t xml:space="preserve">Price-earnings ratio: </w:t>
      </w:r>
      <w:r w:rsidRPr="002C0E24">
        <w:rPr>
          <w:rFonts w:ascii="Times New Roman" w:eastAsia="Times New Roman" w:hAnsi="Times New Roman" w:cs="Times New Roman"/>
          <w:kern w:val="0"/>
          <w:sz w:val="24"/>
          <w:szCs w:val="24"/>
          <w14:ligatures w14:val="none"/>
        </w:rPr>
        <w:t xml:space="preserve">Tesco's P/E ratio was significantly different, increasing at 23% by 2023. J Sainsbury's P/E ratio increased, reaching 27.11% by 2023. J Sainsbury seems expensive compared </w:t>
      </w:r>
      <w:proofErr w:type="spellStart"/>
      <w:r w:rsidR="00B35ED9">
        <w:rPr>
          <w:rFonts w:ascii="Times New Roman" w:eastAsia="Times New Roman" w:hAnsi="Times New Roman" w:cs="Times New Roman"/>
          <w:kern w:val="0"/>
          <w:sz w:val="24"/>
          <w:szCs w:val="24"/>
          <w14:ligatures w14:val="none"/>
        </w:rPr>
        <w:t>tesco</w:t>
      </w:r>
      <w:proofErr w:type="spellEnd"/>
      <w:r w:rsidR="00B35ED9">
        <w:rPr>
          <w:rFonts w:ascii="Times New Roman" w:eastAsia="Times New Roman" w:hAnsi="Times New Roman" w:cs="Times New Roman"/>
          <w:kern w:val="0"/>
          <w:sz w:val="24"/>
          <w:szCs w:val="24"/>
          <w14:ligatures w14:val="none"/>
        </w:rPr>
        <w:t>.</w:t>
      </w:r>
    </w:p>
    <w:p w14:paraId="1156FF6D" w14:textId="77777777" w:rsidR="00B35ED9" w:rsidRDefault="002C0E24" w:rsidP="00B35ED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C0E24">
        <w:rPr>
          <w:rFonts w:ascii="Times New Roman" w:eastAsia="Times New Roman" w:hAnsi="Times New Roman" w:cs="Times New Roman"/>
          <w:b/>
          <w:bCs/>
          <w:kern w:val="0"/>
          <w:sz w:val="24"/>
          <w:szCs w:val="24"/>
          <w14:ligatures w14:val="none"/>
        </w:rPr>
        <w:t xml:space="preserve">Market to book ratio: </w:t>
      </w:r>
      <w:r w:rsidRPr="002C0E24">
        <w:rPr>
          <w:rFonts w:ascii="Times New Roman" w:eastAsia="Times New Roman" w:hAnsi="Times New Roman" w:cs="Times New Roman"/>
          <w:kern w:val="0"/>
          <w:sz w:val="24"/>
          <w:szCs w:val="24"/>
          <w14:ligatures w14:val="none"/>
        </w:rPr>
        <w:t>Tesco’s ratio remained low, around 1.39</w:t>
      </w:r>
      <w:r w:rsidR="00B35ED9">
        <w:rPr>
          <w:rFonts w:ascii="Times New Roman" w:eastAsia="Times New Roman" w:hAnsi="Times New Roman" w:cs="Times New Roman"/>
          <w:kern w:val="0"/>
          <w:sz w:val="24"/>
          <w:szCs w:val="24"/>
          <w14:ligatures w14:val="none"/>
        </w:rPr>
        <w:t xml:space="preserve"> </w:t>
      </w:r>
      <w:r w:rsidRPr="002C0E24">
        <w:rPr>
          <w:rFonts w:ascii="Times New Roman" w:eastAsia="Times New Roman" w:hAnsi="Times New Roman" w:cs="Times New Roman"/>
          <w:kern w:val="0"/>
          <w:sz w:val="24"/>
          <w:szCs w:val="24"/>
          <w14:ligatures w14:val="none"/>
        </w:rPr>
        <w:t>-</w:t>
      </w:r>
      <w:r w:rsidR="00B35ED9">
        <w:rPr>
          <w:rFonts w:ascii="Times New Roman" w:eastAsia="Times New Roman" w:hAnsi="Times New Roman" w:cs="Times New Roman"/>
          <w:kern w:val="0"/>
          <w:sz w:val="24"/>
          <w:szCs w:val="24"/>
          <w14:ligatures w14:val="none"/>
        </w:rPr>
        <w:t xml:space="preserve"> 2</w:t>
      </w:r>
      <w:r w:rsidRPr="002C0E24">
        <w:rPr>
          <w:rFonts w:ascii="Times New Roman" w:eastAsia="Times New Roman" w:hAnsi="Times New Roman" w:cs="Times New Roman"/>
          <w:kern w:val="0"/>
          <w:sz w:val="24"/>
          <w:szCs w:val="24"/>
          <w14:ligatures w14:val="none"/>
        </w:rPr>
        <w:t>%. J Sainsbury’s ratio increased</w:t>
      </w:r>
      <w:r w:rsidR="00B35ED9">
        <w:rPr>
          <w:rFonts w:ascii="Times New Roman" w:eastAsia="Times New Roman" w:hAnsi="Times New Roman" w:cs="Times New Roman"/>
          <w:kern w:val="0"/>
          <w:sz w:val="24"/>
          <w:szCs w:val="24"/>
          <w14:ligatures w14:val="none"/>
        </w:rPr>
        <w:t xml:space="preserve"> to</w:t>
      </w:r>
      <w:r w:rsidRPr="002C0E24">
        <w:rPr>
          <w:rFonts w:ascii="Times New Roman" w:eastAsia="Times New Roman" w:hAnsi="Times New Roman" w:cs="Times New Roman"/>
          <w:kern w:val="0"/>
          <w:sz w:val="24"/>
          <w:szCs w:val="24"/>
          <w14:ligatures w14:val="none"/>
        </w:rPr>
        <w:t xml:space="preserve"> 85.74% by 2023, indicating an increase in market value.</w:t>
      </w:r>
    </w:p>
    <w:p w14:paraId="1BC7DF3E" w14:textId="5191C64C" w:rsidR="00BF4B55" w:rsidRPr="00B35ED9" w:rsidRDefault="002C0E24" w:rsidP="00B35ED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C0E24">
        <w:rPr>
          <w:rFonts w:ascii="Times New Roman" w:eastAsia="Times New Roman" w:hAnsi="Times New Roman" w:cs="Times New Roman"/>
          <w:kern w:val="0"/>
          <w:sz w:val="24"/>
          <w:szCs w:val="24"/>
          <w14:ligatures w14:val="none"/>
        </w:rPr>
        <w:lastRenderedPageBreak/>
        <w:t>Both Tesco and J Sainsbury show strength and weakness in financial metrics. This analysis provides a comprehensive view of the financial health and performance of both companies, helping stakeholders make informed decisions</w:t>
      </w:r>
      <w:r w:rsidRPr="002C0E24">
        <w:rPr>
          <w:rFonts w:ascii="Times New Roman" w:eastAsia="Times New Roman" w:hAnsi="Times New Roman" w:cs="Times New Roman"/>
          <w:b/>
          <w:bCs/>
          <w:kern w:val="0"/>
          <w:sz w:val="24"/>
          <w:szCs w:val="24"/>
          <w14:ligatures w14:val="none"/>
        </w:rPr>
        <w:t>.</w:t>
      </w:r>
      <w:r w:rsidR="00BF4B55" w:rsidRPr="002C0E24">
        <w:rPr>
          <w:rFonts w:ascii="Times New Roman" w:eastAsia="Times New Roman" w:hAnsi="Times New Roman" w:cs="Times New Roman"/>
          <w:vanish/>
          <w:kern w:val="0"/>
          <w:sz w:val="24"/>
          <w:szCs w:val="24"/>
          <w14:ligatures w14:val="none"/>
        </w:rPr>
        <w:t>Top of Form</w:t>
      </w:r>
    </w:p>
    <w:p w14:paraId="5DCC0DE3" w14:textId="77777777" w:rsidR="00BF4B55" w:rsidRPr="002C0E24" w:rsidRDefault="00BF4B55" w:rsidP="002C0E24">
      <w:pPr>
        <w:pBdr>
          <w:top w:val="single" w:sz="6" w:space="1" w:color="auto"/>
        </w:pBdr>
        <w:spacing w:after="0" w:line="360" w:lineRule="auto"/>
        <w:jc w:val="center"/>
        <w:rPr>
          <w:rFonts w:ascii="Times New Roman" w:eastAsia="Times New Roman" w:hAnsi="Times New Roman" w:cs="Times New Roman"/>
          <w:vanish/>
          <w:kern w:val="0"/>
          <w:sz w:val="24"/>
          <w:szCs w:val="24"/>
          <w14:ligatures w14:val="none"/>
        </w:rPr>
      </w:pPr>
      <w:r w:rsidRPr="002C0E24">
        <w:rPr>
          <w:rFonts w:ascii="Times New Roman" w:eastAsia="Times New Roman" w:hAnsi="Times New Roman" w:cs="Times New Roman"/>
          <w:vanish/>
          <w:kern w:val="0"/>
          <w:sz w:val="24"/>
          <w:szCs w:val="24"/>
          <w14:ligatures w14:val="none"/>
        </w:rPr>
        <w:t>Bottom of Form</w:t>
      </w:r>
    </w:p>
    <w:p w14:paraId="48472CF5" w14:textId="77777777" w:rsidR="00C773BA" w:rsidRPr="002C0E24" w:rsidRDefault="00C773BA" w:rsidP="002C0E24">
      <w:pPr>
        <w:spacing w:line="360" w:lineRule="auto"/>
        <w:rPr>
          <w:rFonts w:ascii="Times New Roman" w:hAnsi="Times New Roman" w:cs="Times New Roman"/>
          <w:sz w:val="24"/>
          <w:szCs w:val="24"/>
        </w:rPr>
      </w:pPr>
    </w:p>
    <w:p w14:paraId="5C5BB31C" w14:textId="77777777" w:rsidR="00BF4B55" w:rsidRDefault="00BF4B55" w:rsidP="002C0E24">
      <w:pPr>
        <w:spacing w:line="360" w:lineRule="auto"/>
        <w:rPr>
          <w:rFonts w:ascii="Times New Roman" w:hAnsi="Times New Roman" w:cs="Times New Roman"/>
          <w:sz w:val="24"/>
          <w:szCs w:val="24"/>
        </w:rPr>
      </w:pPr>
    </w:p>
    <w:p w14:paraId="08F7DFB7" w14:textId="77777777" w:rsidR="005C07AE" w:rsidRDefault="005C07AE" w:rsidP="002C0E24">
      <w:pPr>
        <w:spacing w:line="360" w:lineRule="auto"/>
        <w:rPr>
          <w:rFonts w:ascii="Times New Roman" w:hAnsi="Times New Roman" w:cs="Times New Roman"/>
          <w:sz w:val="24"/>
          <w:szCs w:val="24"/>
        </w:rPr>
      </w:pPr>
    </w:p>
    <w:p w14:paraId="596BF97E" w14:textId="77777777" w:rsidR="005C07AE" w:rsidRDefault="005C07AE" w:rsidP="002C0E24">
      <w:pPr>
        <w:spacing w:line="360" w:lineRule="auto"/>
        <w:rPr>
          <w:rFonts w:ascii="Times New Roman" w:hAnsi="Times New Roman" w:cs="Times New Roman"/>
          <w:sz w:val="24"/>
          <w:szCs w:val="24"/>
        </w:rPr>
      </w:pPr>
    </w:p>
    <w:p w14:paraId="4DFB9C0B" w14:textId="77777777" w:rsidR="005C07AE" w:rsidRDefault="005C07AE" w:rsidP="002C0E24">
      <w:pPr>
        <w:spacing w:line="360" w:lineRule="auto"/>
        <w:rPr>
          <w:rFonts w:ascii="Times New Roman" w:hAnsi="Times New Roman" w:cs="Times New Roman"/>
          <w:sz w:val="24"/>
          <w:szCs w:val="24"/>
        </w:rPr>
      </w:pPr>
    </w:p>
    <w:p w14:paraId="30C4B187" w14:textId="77777777" w:rsidR="00FB0AA2" w:rsidRDefault="00FB0AA2" w:rsidP="002C0E24">
      <w:pPr>
        <w:spacing w:line="360" w:lineRule="auto"/>
        <w:rPr>
          <w:rFonts w:ascii="Times New Roman" w:hAnsi="Times New Roman" w:cs="Times New Roman"/>
          <w:sz w:val="24"/>
          <w:szCs w:val="24"/>
        </w:rPr>
      </w:pPr>
    </w:p>
    <w:p w14:paraId="632FDBD7" w14:textId="77777777" w:rsidR="001E7CD6" w:rsidRDefault="001E7CD6" w:rsidP="002C0E24">
      <w:pPr>
        <w:spacing w:line="360" w:lineRule="auto"/>
        <w:rPr>
          <w:rFonts w:ascii="Times New Roman" w:hAnsi="Times New Roman" w:cs="Times New Roman"/>
          <w:sz w:val="24"/>
          <w:szCs w:val="24"/>
        </w:rPr>
      </w:pPr>
    </w:p>
    <w:p w14:paraId="1CD92AF2" w14:textId="77777777" w:rsidR="001E7CD6" w:rsidRDefault="001E7CD6" w:rsidP="002C0E24">
      <w:pPr>
        <w:spacing w:line="360" w:lineRule="auto"/>
        <w:rPr>
          <w:rFonts w:ascii="Times New Roman" w:hAnsi="Times New Roman" w:cs="Times New Roman"/>
          <w:sz w:val="24"/>
          <w:szCs w:val="24"/>
        </w:rPr>
      </w:pPr>
    </w:p>
    <w:p w14:paraId="131EAB77" w14:textId="77777777" w:rsidR="001E7CD6" w:rsidRDefault="001E7CD6" w:rsidP="002C0E24">
      <w:pPr>
        <w:spacing w:line="360" w:lineRule="auto"/>
        <w:rPr>
          <w:rFonts w:ascii="Times New Roman" w:hAnsi="Times New Roman" w:cs="Times New Roman"/>
          <w:sz w:val="24"/>
          <w:szCs w:val="24"/>
        </w:rPr>
      </w:pPr>
    </w:p>
    <w:p w14:paraId="3C467F75" w14:textId="77777777" w:rsidR="001E7CD6" w:rsidRDefault="001E7CD6" w:rsidP="002C0E24">
      <w:pPr>
        <w:spacing w:line="360" w:lineRule="auto"/>
        <w:rPr>
          <w:rFonts w:ascii="Times New Roman" w:hAnsi="Times New Roman" w:cs="Times New Roman"/>
          <w:sz w:val="24"/>
          <w:szCs w:val="24"/>
        </w:rPr>
      </w:pPr>
    </w:p>
    <w:p w14:paraId="175F178F" w14:textId="77777777" w:rsidR="001E7CD6" w:rsidRDefault="001E7CD6" w:rsidP="002C0E24">
      <w:pPr>
        <w:spacing w:line="360" w:lineRule="auto"/>
        <w:rPr>
          <w:rFonts w:ascii="Times New Roman" w:hAnsi="Times New Roman" w:cs="Times New Roman"/>
          <w:sz w:val="24"/>
          <w:szCs w:val="24"/>
        </w:rPr>
      </w:pPr>
    </w:p>
    <w:p w14:paraId="3E74AE9D" w14:textId="77777777" w:rsidR="001E7CD6" w:rsidRDefault="001E7CD6" w:rsidP="002C0E24">
      <w:pPr>
        <w:spacing w:line="360" w:lineRule="auto"/>
        <w:rPr>
          <w:rFonts w:ascii="Times New Roman" w:hAnsi="Times New Roman" w:cs="Times New Roman"/>
          <w:sz w:val="24"/>
          <w:szCs w:val="24"/>
        </w:rPr>
      </w:pPr>
    </w:p>
    <w:p w14:paraId="5E6A1907" w14:textId="77777777" w:rsidR="001E7CD6" w:rsidRDefault="001E7CD6" w:rsidP="002C0E24">
      <w:pPr>
        <w:spacing w:line="360" w:lineRule="auto"/>
        <w:rPr>
          <w:rFonts w:ascii="Times New Roman" w:hAnsi="Times New Roman" w:cs="Times New Roman"/>
          <w:sz w:val="24"/>
          <w:szCs w:val="24"/>
        </w:rPr>
      </w:pPr>
    </w:p>
    <w:p w14:paraId="1DF19A8D" w14:textId="77777777" w:rsidR="001E7CD6" w:rsidRDefault="001E7CD6" w:rsidP="002C0E24">
      <w:pPr>
        <w:spacing w:line="360" w:lineRule="auto"/>
        <w:rPr>
          <w:rFonts w:ascii="Times New Roman" w:hAnsi="Times New Roman" w:cs="Times New Roman"/>
          <w:sz w:val="24"/>
          <w:szCs w:val="24"/>
        </w:rPr>
      </w:pPr>
    </w:p>
    <w:p w14:paraId="42F75694" w14:textId="77777777" w:rsidR="001E7CD6" w:rsidRDefault="001E7CD6" w:rsidP="002C0E24">
      <w:pPr>
        <w:spacing w:line="360" w:lineRule="auto"/>
        <w:rPr>
          <w:rFonts w:ascii="Times New Roman" w:hAnsi="Times New Roman" w:cs="Times New Roman"/>
          <w:sz w:val="24"/>
          <w:szCs w:val="24"/>
        </w:rPr>
      </w:pPr>
    </w:p>
    <w:p w14:paraId="03CE8F04" w14:textId="77777777" w:rsidR="001E7CD6" w:rsidRDefault="001E7CD6" w:rsidP="002C0E24">
      <w:pPr>
        <w:spacing w:line="360" w:lineRule="auto"/>
        <w:rPr>
          <w:rFonts w:ascii="Times New Roman" w:hAnsi="Times New Roman" w:cs="Times New Roman"/>
          <w:sz w:val="24"/>
          <w:szCs w:val="24"/>
        </w:rPr>
      </w:pPr>
    </w:p>
    <w:p w14:paraId="6262ABE4" w14:textId="77777777" w:rsidR="001E7CD6" w:rsidRDefault="001E7CD6" w:rsidP="002C0E24">
      <w:pPr>
        <w:spacing w:line="360" w:lineRule="auto"/>
        <w:rPr>
          <w:rFonts w:ascii="Times New Roman" w:hAnsi="Times New Roman" w:cs="Times New Roman"/>
          <w:sz w:val="24"/>
          <w:szCs w:val="24"/>
        </w:rPr>
      </w:pPr>
    </w:p>
    <w:p w14:paraId="767316F0" w14:textId="77777777" w:rsidR="00B35ED9" w:rsidRDefault="00B35ED9" w:rsidP="002C0E24">
      <w:pPr>
        <w:spacing w:line="360" w:lineRule="auto"/>
        <w:rPr>
          <w:rFonts w:ascii="Times New Roman" w:hAnsi="Times New Roman" w:cs="Times New Roman"/>
          <w:sz w:val="24"/>
          <w:szCs w:val="24"/>
        </w:rPr>
      </w:pPr>
    </w:p>
    <w:p w14:paraId="61C1FAEF" w14:textId="77777777" w:rsidR="00973960" w:rsidRDefault="00973960" w:rsidP="002C0E24">
      <w:pPr>
        <w:spacing w:line="360" w:lineRule="auto"/>
        <w:rPr>
          <w:rFonts w:ascii="Times New Roman" w:hAnsi="Times New Roman" w:cs="Times New Roman"/>
          <w:sz w:val="24"/>
          <w:szCs w:val="24"/>
        </w:rPr>
      </w:pPr>
    </w:p>
    <w:p w14:paraId="365624BC" w14:textId="77777777" w:rsidR="00973960" w:rsidRDefault="00973960" w:rsidP="002C0E24">
      <w:pPr>
        <w:spacing w:line="360" w:lineRule="auto"/>
        <w:rPr>
          <w:rFonts w:ascii="Times New Roman" w:hAnsi="Times New Roman" w:cs="Times New Roman"/>
          <w:sz w:val="24"/>
          <w:szCs w:val="24"/>
        </w:rPr>
      </w:pPr>
    </w:p>
    <w:p w14:paraId="7843940E" w14:textId="552E7E02" w:rsidR="005C07AE" w:rsidRPr="00973960" w:rsidRDefault="005C07AE" w:rsidP="00973960">
      <w:pPr>
        <w:pStyle w:val="Heading1"/>
        <w:rPr>
          <w:b/>
          <w:bCs/>
        </w:rPr>
      </w:pPr>
      <w:r w:rsidRPr="00973960">
        <w:rPr>
          <w:b/>
          <w:bCs/>
        </w:rPr>
        <w:lastRenderedPageBreak/>
        <w:t>References</w:t>
      </w:r>
    </w:p>
    <w:p w14:paraId="67A5047F" w14:textId="77777777" w:rsidR="00B35ED9" w:rsidRDefault="00B35ED9" w:rsidP="002C0E24">
      <w:pPr>
        <w:spacing w:line="360" w:lineRule="auto"/>
        <w:rPr>
          <w:rFonts w:ascii="Times New Roman" w:hAnsi="Times New Roman" w:cs="Times New Roman"/>
          <w:sz w:val="24"/>
          <w:szCs w:val="24"/>
        </w:rPr>
      </w:pPr>
      <w:r w:rsidRPr="00051CE2">
        <w:rPr>
          <w:rFonts w:ascii="Times New Roman" w:hAnsi="Times New Roman" w:cs="Times New Roman"/>
          <w:sz w:val="24"/>
          <w:szCs w:val="24"/>
        </w:rPr>
        <w:t xml:space="preserve">Harris, R.M. and </w:t>
      </w:r>
      <w:proofErr w:type="spellStart"/>
      <w:r w:rsidRPr="00051CE2">
        <w:rPr>
          <w:rFonts w:ascii="Times New Roman" w:hAnsi="Times New Roman" w:cs="Times New Roman"/>
          <w:sz w:val="24"/>
          <w:szCs w:val="24"/>
        </w:rPr>
        <w:t>Mawardi</w:t>
      </w:r>
      <w:proofErr w:type="spellEnd"/>
      <w:r w:rsidRPr="00051CE2">
        <w:rPr>
          <w:rFonts w:ascii="Times New Roman" w:hAnsi="Times New Roman" w:cs="Times New Roman"/>
          <w:sz w:val="24"/>
          <w:szCs w:val="24"/>
        </w:rPr>
        <w:t xml:space="preserve">, W., </w:t>
      </w:r>
      <w:r>
        <w:rPr>
          <w:rFonts w:ascii="Times New Roman" w:hAnsi="Times New Roman" w:cs="Times New Roman"/>
          <w:sz w:val="24"/>
          <w:szCs w:val="24"/>
        </w:rPr>
        <w:t>(</w:t>
      </w:r>
      <w:r w:rsidRPr="00051CE2">
        <w:rPr>
          <w:rFonts w:ascii="Times New Roman" w:hAnsi="Times New Roman" w:cs="Times New Roman"/>
          <w:sz w:val="24"/>
          <w:szCs w:val="24"/>
        </w:rPr>
        <w:t>2023</w:t>
      </w:r>
      <w:r>
        <w:rPr>
          <w:rFonts w:ascii="Times New Roman" w:hAnsi="Times New Roman" w:cs="Times New Roman"/>
          <w:sz w:val="24"/>
          <w:szCs w:val="24"/>
        </w:rPr>
        <w:t>)</w:t>
      </w:r>
      <w:r w:rsidRPr="00051CE2">
        <w:rPr>
          <w:rFonts w:ascii="Times New Roman" w:hAnsi="Times New Roman" w:cs="Times New Roman"/>
          <w:sz w:val="24"/>
          <w:szCs w:val="24"/>
        </w:rPr>
        <w:t xml:space="preserve">. </w:t>
      </w:r>
      <w:r w:rsidRPr="00B35ED9">
        <w:rPr>
          <w:rFonts w:ascii="Times New Roman" w:hAnsi="Times New Roman" w:cs="Times New Roman"/>
          <w:i/>
          <w:iCs/>
          <w:sz w:val="24"/>
          <w:szCs w:val="24"/>
        </w:rPr>
        <w:t xml:space="preserve">The Influence Of NPF, </w:t>
      </w:r>
      <w:proofErr w:type="spellStart"/>
      <w:r w:rsidRPr="00B35ED9">
        <w:rPr>
          <w:rFonts w:ascii="Times New Roman" w:hAnsi="Times New Roman" w:cs="Times New Roman"/>
          <w:i/>
          <w:iCs/>
          <w:sz w:val="24"/>
          <w:szCs w:val="24"/>
        </w:rPr>
        <w:t>Bopo</w:t>
      </w:r>
      <w:proofErr w:type="spellEnd"/>
      <w:r w:rsidRPr="00B35ED9">
        <w:rPr>
          <w:rFonts w:ascii="Times New Roman" w:hAnsi="Times New Roman" w:cs="Times New Roman"/>
          <w:i/>
          <w:iCs/>
          <w:sz w:val="24"/>
          <w:szCs w:val="24"/>
        </w:rPr>
        <w:t xml:space="preserve">, Current Ratio and Gearing Ratio </w:t>
      </w:r>
      <w:proofErr w:type="gramStart"/>
      <w:r w:rsidRPr="00B35ED9">
        <w:rPr>
          <w:rFonts w:ascii="Times New Roman" w:hAnsi="Times New Roman" w:cs="Times New Roman"/>
          <w:i/>
          <w:iCs/>
          <w:sz w:val="24"/>
          <w:szCs w:val="24"/>
        </w:rPr>
        <w:t>On</w:t>
      </w:r>
      <w:proofErr w:type="gramEnd"/>
      <w:r w:rsidRPr="00B35ED9">
        <w:rPr>
          <w:rFonts w:ascii="Times New Roman" w:hAnsi="Times New Roman" w:cs="Times New Roman"/>
          <w:i/>
          <w:iCs/>
          <w:sz w:val="24"/>
          <w:szCs w:val="24"/>
        </w:rPr>
        <w:t xml:space="preserve"> Financing Company Performance</w:t>
      </w:r>
      <w:r w:rsidRPr="00051CE2">
        <w:rPr>
          <w:rFonts w:ascii="Times New Roman" w:hAnsi="Times New Roman" w:cs="Times New Roman"/>
          <w:sz w:val="24"/>
          <w:szCs w:val="24"/>
        </w:rPr>
        <w:t xml:space="preserve"> (Comparation Study Of Financing Companies In Indonesia Before and During The Covid-19 Period). </w:t>
      </w:r>
      <w:r w:rsidRPr="00B35ED9">
        <w:rPr>
          <w:rFonts w:ascii="Times New Roman" w:hAnsi="Times New Roman" w:cs="Times New Roman"/>
          <w:sz w:val="24"/>
          <w:szCs w:val="24"/>
        </w:rPr>
        <w:t xml:space="preserve">Equivalent: </w:t>
      </w:r>
      <w:proofErr w:type="spellStart"/>
      <w:r w:rsidRPr="00B35ED9">
        <w:rPr>
          <w:rFonts w:ascii="Times New Roman" w:hAnsi="Times New Roman" w:cs="Times New Roman"/>
          <w:sz w:val="24"/>
          <w:szCs w:val="24"/>
        </w:rPr>
        <w:t>Jurnal</w:t>
      </w:r>
      <w:proofErr w:type="spellEnd"/>
      <w:r w:rsidRPr="00B35ED9">
        <w:rPr>
          <w:rFonts w:ascii="Times New Roman" w:hAnsi="Times New Roman" w:cs="Times New Roman"/>
          <w:sz w:val="24"/>
          <w:szCs w:val="24"/>
        </w:rPr>
        <w:t xml:space="preserve"> </w:t>
      </w:r>
      <w:proofErr w:type="spellStart"/>
      <w:r w:rsidRPr="00B35ED9">
        <w:rPr>
          <w:rFonts w:ascii="Times New Roman" w:hAnsi="Times New Roman" w:cs="Times New Roman"/>
          <w:sz w:val="24"/>
          <w:szCs w:val="24"/>
        </w:rPr>
        <w:t>Ilmiah</w:t>
      </w:r>
      <w:proofErr w:type="spellEnd"/>
      <w:r w:rsidRPr="00B35ED9">
        <w:rPr>
          <w:rFonts w:ascii="Times New Roman" w:hAnsi="Times New Roman" w:cs="Times New Roman"/>
          <w:sz w:val="24"/>
          <w:szCs w:val="24"/>
        </w:rPr>
        <w:t xml:space="preserve"> </w:t>
      </w:r>
      <w:proofErr w:type="spellStart"/>
      <w:r w:rsidRPr="00B35ED9">
        <w:rPr>
          <w:rFonts w:ascii="Times New Roman" w:hAnsi="Times New Roman" w:cs="Times New Roman"/>
          <w:sz w:val="24"/>
          <w:szCs w:val="24"/>
        </w:rPr>
        <w:t>Sosial</w:t>
      </w:r>
      <w:proofErr w:type="spellEnd"/>
      <w:r w:rsidRPr="00B35ED9">
        <w:rPr>
          <w:rFonts w:ascii="Times New Roman" w:hAnsi="Times New Roman" w:cs="Times New Roman"/>
          <w:sz w:val="24"/>
          <w:szCs w:val="24"/>
        </w:rPr>
        <w:t xml:space="preserve"> Teknik,</w:t>
      </w:r>
      <w:r w:rsidRPr="00051CE2">
        <w:rPr>
          <w:rFonts w:ascii="Times New Roman" w:hAnsi="Times New Roman" w:cs="Times New Roman"/>
          <w:sz w:val="24"/>
          <w:szCs w:val="24"/>
        </w:rPr>
        <w:t> </w:t>
      </w:r>
      <w:r w:rsidRPr="00051CE2">
        <w:rPr>
          <w:rFonts w:ascii="Times New Roman" w:hAnsi="Times New Roman" w:cs="Times New Roman"/>
          <w:i/>
          <w:iCs/>
          <w:sz w:val="24"/>
          <w:szCs w:val="24"/>
        </w:rPr>
        <w:t>5</w:t>
      </w:r>
      <w:r w:rsidRPr="00051CE2">
        <w:rPr>
          <w:rFonts w:ascii="Times New Roman" w:hAnsi="Times New Roman" w:cs="Times New Roman"/>
          <w:sz w:val="24"/>
          <w:szCs w:val="24"/>
        </w:rPr>
        <w:t>(2), pp.132-145.</w:t>
      </w:r>
    </w:p>
    <w:p w14:paraId="40AA61BD" w14:textId="77777777" w:rsidR="00B35ED9" w:rsidRPr="002C0E24" w:rsidRDefault="00B35ED9" w:rsidP="002C0E24">
      <w:pPr>
        <w:spacing w:line="360" w:lineRule="auto"/>
        <w:rPr>
          <w:rFonts w:ascii="Times New Roman" w:hAnsi="Times New Roman" w:cs="Times New Roman"/>
          <w:sz w:val="24"/>
          <w:szCs w:val="24"/>
        </w:rPr>
      </w:pPr>
      <w:r w:rsidRPr="001C6078">
        <w:rPr>
          <w:rFonts w:ascii="Times New Roman" w:hAnsi="Times New Roman" w:cs="Times New Roman"/>
          <w:sz w:val="24"/>
          <w:szCs w:val="24"/>
        </w:rPr>
        <w:t xml:space="preserve">Hasanuddin, R., Darman, D., Taufan, M.Y., Salim, A., Muslim, M. and Putra, A.H.P.K., </w:t>
      </w:r>
      <w:r>
        <w:rPr>
          <w:rFonts w:ascii="Times New Roman" w:hAnsi="Times New Roman" w:cs="Times New Roman"/>
          <w:sz w:val="24"/>
          <w:szCs w:val="24"/>
        </w:rPr>
        <w:t>(</w:t>
      </w:r>
      <w:r w:rsidRPr="001C6078">
        <w:rPr>
          <w:rFonts w:ascii="Times New Roman" w:hAnsi="Times New Roman" w:cs="Times New Roman"/>
          <w:sz w:val="24"/>
          <w:szCs w:val="24"/>
        </w:rPr>
        <w:t>2021</w:t>
      </w:r>
      <w:r>
        <w:rPr>
          <w:rFonts w:ascii="Times New Roman" w:hAnsi="Times New Roman" w:cs="Times New Roman"/>
          <w:sz w:val="24"/>
          <w:szCs w:val="24"/>
        </w:rPr>
        <w:t>)</w:t>
      </w:r>
      <w:r w:rsidRPr="001C6078">
        <w:rPr>
          <w:rFonts w:ascii="Times New Roman" w:hAnsi="Times New Roman" w:cs="Times New Roman"/>
          <w:sz w:val="24"/>
          <w:szCs w:val="24"/>
        </w:rPr>
        <w:t xml:space="preserve">. </w:t>
      </w:r>
      <w:r w:rsidRPr="00B35ED9">
        <w:rPr>
          <w:rFonts w:ascii="Times New Roman" w:hAnsi="Times New Roman" w:cs="Times New Roman"/>
          <w:i/>
          <w:iCs/>
          <w:sz w:val="24"/>
          <w:szCs w:val="24"/>
        </w:rPr>
        <w:t>The effect of firm size, debt, current ratio, and investment opportunity set on earnings quality: an empirical study in Indonesia</w:t>
      </w:r>
      <w:r w:rsidRPr="001C6078">
        <w:rPr>
          <w:rFonts w:ascii="Times New Roman" w:hAnsi="Times New Roman" w:cs="Times New Roman"/>
          <w:sz w:val="24"/>
          <w:szCs w:val="24"/>
        </w:rPr>
        <w:t>. </w:t>
      </w:r>
      <w:r w:rsidRPr="00B35ED9">
        <w:rPr>
          <w:rFonts w:ascii="Times New Roman" w:hAnsi="Times New Roman" w:cs="Times New Roman"/>
          <w:sz w:val="24"/>
          <w:szCs w:val="24"/>
        </w:rPr>
        <w:t>The Journal of Asian Finance, Economics and Business,</w:t>
      </w:r>
      <w:r w:rsidRPr="001C6078">
        <w:rPr>
          <w:rFonts w:ascii="Times New Roman" w:hAnsi="Times New Roman" w:cs="Times New Roman"/>
          <w:sz w:val="24"/>
          <w:szCs w:val="24"/>
        </w:rPr>
        <w:t> </w:t>
      </w:r>
      <w:r w:rsidRPr="001C6078">
        <w:rPr>
          <w:rFonts w:ascii="Times New Roman" w:hAnsi="Times New Roman" w:cs="Times New Roman"/>
          <w:i/>
          <w:iCs/>
          <w:sz w:val="24"/>
          <w:szCs w:val="24"/>
        </w:rPr>
        <w:t>8</w:t>
      </w:r>
      <w:r w:rsidRPr="001C6078">
        <w:rPr>
          <w:rFonts w:ascii="Times New Roman" w:hAnsi="Times New Roman" w:cs="Times New Roman"/>
          <w:sz w:val="24"/>
          <w:szCs w:val="24"/>
        </w:rPr>
        <w:t>(6), pp.179-188.</w:t>
      </w:r>
    </w:p>
    <w:p w14:paraId="63747530" w14:textId="77777777" w:rsidR="00B35ED9" w:rsidRDefault="00B35ED9" w:rsidP="002C0E24">
      <w:pPr>
        <w:spacing w:line="360" w:lineRule="auto"/>
        <w:rPr>
          <w:rFonts w:ascii="Times New Roman" w:hAnsi="Times New Roman" w:cs="Times New Roman"/>
          <w:sz w:val="24"/>
          <w:szCs w:val="24"/>
        </w:rPr>
      </w:pPr>
      <w:r w:rsidRPr="004C20A9">
        <w:rPr>
          <w:rFonts w:ascii="Times New Roman" w:hAnsi="Times New Roman" w:cs="Times New Roman"/>
          <w:sz w:val="24"/>
          <w:szCs w:val="24"/>
        </w:rPr>
        <w:t xml:space="preserve">Husain, T. and </w:t>
      </w:r>
      <w:proofErr w:type="spellStart"/>
      <w:r w:rsidRPr="004C20A9">
        <w:rPr>
          <w:rFonts w:ascii="Times New Roman" w:hAnsi="Times New Roman" w:cs="Times New Roman"/>
          <w:sz w:val="24"/>
          <w:szCs w:val="24"/>
        </w:rPr>
        <w:t>Sunardi</w:t>
      </w:r>
      <w:proofErr w:type="spellEnd"/>
      <w:r w:rsidRPr="004C20A9">
        <w:rPr>
          <w:rFonts w:ascii="Times New Roman" w:hAnsi="Times New Roman" w:cs="Times New Roman"/>
          <w:sz w:val="24"/>
          <w:szCs w:val="24"/>
        </w:rPr>
        <w:t xml:space="preserve">, N., (2020). </w:t>
      </w:r>
      <w:r w:rsidRPr="00B35ED9">
        <w:rPr>
          <w:rFonts w:ascii="Times New Roman" w:hAnsi="Times New Roman" w:cs="Times New Roman"/>
          <w:i/>
          <w:iCs/>
          <w:sz w:val="24"/>
          <w:szCs w:val="24"/>
        </w:rPr>
        <w:t>Firm's Value Prediction Based on Profitability Ratios and Dividend Policy. </w:t>
      </w:r>
      <w:r w:rsidRPr="00B35ED9">
        <w:rPr>
          <w:rFonts w:ascii="Times New Roman" w:hAnsi="Times New Roman" w:cs="Times New Roman"/>
          <w:sz w:val="24"/>
          <w:szCs w:val="24"/>
        </w:rPr>
        <w:t>Finance &amp; Economics Review</w:t>
      </w:r>
      <w:r w:rsidRPr="004C20A9">
        <w:rPr>
          <w:rFonts w:ascii="Times New Roman" w:hAnsi="Times New Roman" w:cs="Times New Roman"/>
          <w:sz w:val="24"/>
          <w:szCs w:val="24"/>
        </w:rPr>
        <w:t>, </w:t>
      </w:r>
      <w:r w:rsidRPr="004C20A9">
        <w:rPr>
          <w:rFonts w:ascii="Times New Roman" w:hAnsi="Times New Roman" w:cs="Times New Roman"/>
          <w:i/>
          <w:iCs/>
          <w:sz w:val="24"/>
          <w:szCs w:val="24"/>
        </w:rPr>
        <w:t>2</w:t>
      </w:r>
      <w:r w:rsidRPr="004C20A9">
        <w:rPr>
          <w:rFonts w:ascii="Times New Roman" w:hAnsi="Times New Roman" w:cs="Times New Roman"/>
          <w:sz w:val="24"/>
          <w:szCs w:val="24"/>
        </w:rPr>
        <w:t>(2), pp.13-26.</w:t>
      </w:r>
    </w:p>
    <w:p w14:paraId="05C09100" w14:textId="77777777" w:rsidR="00B35ED9" w:rsidRDefault="00B35ED9" w:rsidP="002C0E24">
      <w:pPr>
        <w:spacing w:line="360" w:lineRule="auto"/>
        <w:rPr>
          <w:rFonts w:ascii="Times New Roman" w:hAnsi="Times New Roman" w:cs="Times New Roman"/>
          <w:sz w:val="24"/>
          <w:szCs w:val="24"/>
        </w:rPr>
      </w:pPr>
      <w:r w:rsidRPr="00051CE2">
        <w:rPr>
          <w:rFonts w:ascii="Times New Roman" w:hAnsi="Times New Roman" w:cs="Times New Roman"/>
          <w:sz w:val="24"/>
          <w:szCs w:val="24"/>
        </w:rPr>
        <w:t xml:space="preserve">Iqbal, M. and Anwar, S., </w:t>
      </w:r>
      <w:r>
        <w:rPr>
          <w:rFonts w:ascii="Times New Roman" w:hAnsi="Times New Roman" w:cs="Times New Roman"/>
          <w:sz w:val="24"/>
          <w:szCs w:val="24"/>
        </w:rPr>
        <w:t>(</w:t>
      </w:r>
      <w:r w:rsidRPr="00051CE2">
        <w:rPr>
          <w:rFonts w:ascii="Times New Roman" w:hAnsi="Times New Roman" w:cs="Times New Roman"/>
          <w:sz w:val="24"/>
          <w:szCs w:val="24"/>
        </w:rPr>
        <w:t>2022</w:t>
      </w:r>
      <w:r>
        <w:rPr>
          <w:rFonts w:ascii="Times New Roman" w:hAnsi="Times New Roman" w:cs="Times New Roman"/>
          <w:sz w:val="24"/>
          <w:szCs w:val="24"/>
        </w:rPr>
        <w:t>)</w:t>
      </w:r>
      <w:r w:rsidRPr="00051CE2">
        <w:rPr>
          <w:rFonts w:ascii="Times New Roman" w:hAnsi="Times New Roman" w:cs="Times New Roman"/>
          <w:sz w:val="24"/>
          <w:szCs w:val="24"/>
        </w:rPr>
        <w:t xml:space="preserve">. </w:t>
      </w:r>
      <w:proofErr w:type="spellStart"/>
      <w:r w:rsidRPr="00B35ED9">
        <w:rPr>
          <w:rFonts w:ascii="Times New Roman" w:hAnsi="Times New Roman" w:cs="Times New Roman"/>
          <w:i/>
          <w:iCs/>
          <w:sz w:val="24"/>
          <w:szCs w:val="24"/>
        </w:rPr>
        <w:t>Pengaruh</w:t>
      </w:r>
      <w:proofErr w:type="spellEnd"/>
      <w:r w:rsidRPr="00B35ED9">
        <w:rPr>
          <w:rFonts w:ascii="Times New Roman" w:hAnsi="Times New Roman" w:cs="Times New Roman"/>
          <w:i/>
          <w:iCs/>
          <w:sz w:val="24"/>
          <w:szCs w:val="24"/>
        </w:rPr>
        <w:t xml:space="preserve"> Capital Adequacy Ratio, </w:t>
      </w:r>
      <w:proofErr w:type="gramStart"/>
      <w:r w:rsidRPr="00B35ED9">
        <w:rPr>
          <w:rFonts w:ascii="Times New Roman" w:hAnsi="Times New Roman" w:cs="Times New Roman"/>
          <w:i/>
          <w:iCs/>
          <w:sz w:val="24"/>
          <w:szCs w:val="24"/>
        </w:rPr>
        <w:t>Non Performing</w:t>
      </w:r>
      <w:proofErr w:type="gramEnd"/>
      <w:r w:rsidRPr="00B35ED9">
        <w:rPr>
          <w:rFonts w:ascii="Times New Roman" w:hAnsi="Times New Roman" w:cs="Times New Roman"/>
          <w:i/>
          <w:iCs/>
          <w:sz w:val="24"/>
          <w:szCs w:val="24"/>
        </w:rPr>
        <w:t xml:space="preserve"> Financing, Financing to Deposit Ratio, Operational Efficiency Ratio, dan Profit Sharing Ratio </w:t>
      </w:r>
      <w:proofErr w:type="spellStart"/>
      <w:r w:rsidRPr="00B35ED9">
        <w:rPr>
          <w:rFonts w:ascii="Times New Roman" w:hAnsi="Times New Roman" w:cs="Times New Roman"/>
          <w:i/>
          <w:iCs/>
          <w:sz w:val="24"/>
          <w:szCs w:val="24"/>
        </w:rPr>
        <w:t>Terhadap</w:t>
      </w:r>
      <w:proofErr w:type="spellEnd"/>
      <w:r w:rsidRPr="00B35ED9">
        <w:rPr>
          <w:rFonts w:ascii="Times New Roman" w:hAnsi="Times New Roman" w:cs="Times New Roman"/>
          <w:i/>
          <w:iCs/>
          <w:sz w:val="24"/>
          <w:szCs w:val="24"/>
        </w:rPr>
        <w:t xml:space="preserve"> Kinerja </w:t>
      </w:r>
      <w:proofErr w:type="spellStart"/>
      <w:r w:rsidRPr="00B35ED9">
        <w:rPr>
          <w:rFonts w:ascii="Times New Roman" w:hAnsi="Times New Roman" w:cs="Times New Roman"/>
          <w:i/>
          <w:iCs/>
          <w:sz w:val="24"/>
          <w:szCs w:val="24"/>
        </w:rPr>
        <w:t>Keuangan</w:t>
      </w:r>
      <w:proofErr w:type="spellEnd"/>
      <w:r w:rsidRPr="00B35ED9">
        <w:rPr>
          <w:rFonts w:ascii="Times New Roman" w:hAnsi="Times New Roman" w:cs="Times New Roman"/>
          <w:i/>
          <w:iCs/>
          <w:sz w:val="24"/>
          <w:szCs w:val="24"/>
        </w:rPr>
        <w:t xml:space="preserve"> Bank Umum Syariah. </w:t>
      </w:r>
      <w:proofErr w:type="spellStart"/>
      <w:r w:rsidRPr="00B35ED9">
        <w:rPr>
          <w:rFonts w:ascii="Times New Roman" w:hAnsi="Times New Roman" w:cs="Times New Roman"/>
          <w:sz w:val="24"/>
          <w:szCs w:val="24"/>
        </w:rPr>
        <w:t>Jurnal</w:t>
      </w:r>
      <w:proofErr w:type="spellEnd"/>
      <w:r w:rsidRPr="00B35ED9">
        <w:rPr>
          <w:rFonts w:ascii="Times New Roman" w:hAnsi="Times New Roman" w:cs="Times New Roman"/>
          <w:sz w:val="24"/>
          <w:szCs w:val="24"/>
        </w:rPr>
        <w:t xml:space="preserve"> Revenue: </w:t>
      </w:r>
      <w:proofErr w:type="spellStart"/>
      <w:r w:rsidRPr="00B35ED9">
        <w:rPr>
          <w:rFonts w:ascii="Times New Roman" w:hAnsi="Times New Roman" w:cs="Times New Roman"/>
          <w:sz w:val="24"/>
          <w:szCs w:val="24"/>
        </w:rPr>
        <w:t>Jurnal</w:t>
      </w:r>
      <w:proofErr w:type="spellEnd"/>
      <w:r w:rsidRPr="00B35ED9">
        <w:rPr>
          <w:rFonts w:ascii="Times New Roman" w:hAnsi="Times New Roman" w:cs="Times New Roman"/>
          <w:sz w:val="24"/>
          <w:szCs w:val="24"/>
        </w:rPr>
        <w:t xml:space="preserve"> </w:t>
      </w:r>
      <w:proofErr w:type="spellStart"/>
      <w:r w:rsidRPr="00B35ED9">
        <w:rPr>
          <w:rFonts w:ascii="Times New Roman" w:hAnsi="Times New Roman" w:cs="Times New Roman"/>
          <w:sz w:val="24"/>
          <w:szCs w:val="24"/>
        </w:rPr>
        <w:t>Ilmiah</w:t>
      </w:r>
      <w:proofErr w:type="spellEnd"/>
      <w:r w:rsidRPr="00B35ED9">
        <w:rPr>
          <w:rFonts w:ascii="Times New Roman" w:hAnsi="Times New Roman" w:cs="Times New Roman"/>
          <w:sz w:val="24"/>
          <w:szCs w:val="24"/>
        </w:rPr>
        <w:t xml:space="preserve"> </w:t>
      </w:r>
      <w:proofErr w:type="spellStart"/>
      <w:r w:rsidRPr="00B35ED9">
        <w:rPr>
          <w:rFonts w:ascii="Times New Roman" w:hAnsi="Times New Roman" w:cs="Times New Roman"/>
          <w:sz w:val="24"/>
          <w:szCs w:val="24"/>
        </w:rPr>
        <w:t>Akuntansi</w:t>
      </w:r>
      <w:proofErr w:type="spellEnd"/>
      <w:r w:rsidRPr="00B35ED9">
        <w:rPr>
          <w:rFonts w:ascii="Times New Roman" w:hAnsi="Times New Roman" w:cs="Times New Roman"/>
          <w:sz w:val="24"/>
          <w:szCs w:val="24"/>
        </w:rPr>
        <w:t>, </w:t>
      </w:r>
      <w:r w:rsidRPr="00051CE2">
        <w:rPr>
          <w:rFonts w:ascii="Times New Roman" w:hAnsi="Times New Roman" w:cs="Times New Roman"/>
          <w:i/>
          <w:iCs/>
          <w:sz w:val="24"/>
          <w:szCs w:val="24"/>
        </w:rPr>
        <w:t>2</w:t>
      </w:r>
      <w:r w:rsidRPr="00051CE2">
        <w:rPr>
          <w:rFonts w:ascii="Times New Roman" w:hAnsi="Times New Roman" w:cs="Times New Roman"/>
          <w:sz w:val="24"/>
          <w:szCs w:val="24"/>
        </w:rPr>
        <w:t>(2), pp.259-270.</w:t>
      </w:r>
    </w:p>
    <w:p w14:paraId="47876951" w14:textId="77777777" w:rsidR="00B35ED9" w:rsidRDefault="00B35ED9" w:rsidP="002C0E24">
      <w:pPr>
        <w:spacing w:line="360" w:lineRule="auto"/>
        <w:rPr>
          <w:rFonts w:ascii="Times New Roman" w:hAnsi="Times New Roman" w:cs="Times New Roman"/>
          <w:sz w:val="24"/>
          <w:szCs w:val="24"/>
        </w:rPr>
      </w:pPr>
      <w:r w:rsidRPr="00B041F6">
        <w:rPr>
          <w:rFonts w:ascii="Times New Roman" w:hAnsi="Times New Roman" w:cs="Times New Roman"/>
          <w:sz w:val="24"/>
          <w:szCs w:val="24"/>
        </w:rPr>
        <w:t xml:space="preserve">Patin, J.C., Rahman, M. and Mustafa, M., </w:t>
      </w:r>
      <w:r>
        <w:rPr>
          <w:rFonts w:ascii="Times New Roman" w:hAnsi="Times New Roman" w:cs="Times New Roman"/>
          <w:sz w:val="24"/>
          <w:szCs w:val="24"/>
        </w:rPr>
        <w:t>(</w:t>
      </w:r>
      <w:r w:rsidRPr="00B041F6">
        <w:rPr>
          <w:rFonts w:ascii="Times New Roman" w:hAnsi="Times New Roman" w:cs="Times New Roman"/>
          <w:sz w:val="24"/>
          <w:szCs w:val="24"/>
        </w:rPr>
        <w:t>2020</w:t>
      </w:r>
      <w:r>
        <w:rPr>
          <w:rFonts w:ascii="Times New Roman" w:hAnsi="Times New Roman" w:cs="Times New Roman"/>
          <w:sz w:val="24"/>
          <w:szCs w:val="24"/>
        </w:rPr>
        <w:t>)</w:t>
      </w:r>
      <w:r w:rsidRPr="00B041F6">
        <w:rPr>
          <w:rFonts w:ascii="Times New Roman" w:hAnsi="Times New Roman" w:cs="Times New Roman"/>
          <w:sz w:val="24"/>
          <w:szCs w:val="24"/>
        </w:rPr>
        <w:t xml:space="preserve">. </w:t>
      </w:r>
      <w:r w:rsidRPr="00B35ED9">
        <w:rPr>
          <w:rFonts w:ascii="Times New Roman" w:hAnsi="Times New Roman" w:cs="Times New Roman"/>
          <w:i/>
          <w:iCs/>
          <w:sz w:val="24"/>
          <w:szCs w:val="24"/>
        </w:rPr>
        <w:t>Impact of total asset turnover ratios on equity returns: Dynamic panel data analyses. </w:t>
      </w:r>
      <w:r w:rsidRPr="00B35ED9">
        <w:rPr>
          <w:rFonts w:ascii="Times New Roman" w:hAnsi="Times New Roman" w:cs="Times New Roman"/>
          <w:sz w:val="24"/>
          <w:szCs w:val="24"/>
        </w:rPr>
        <w:t>Journal of Accounting, Business and Management (JABM),</w:t>
      </w:r>
      <w:r w:rsidRPr="00B041F6">
        <w:rPr>
          <w:rFonts w:ascii="Times New Roman" w:hAnsi="Times New Roman" w:cs="Times New Roman"/>
          <w:sz w:val="24"/>
          <w:szCs w:val="24"/>
        </w:rPr>
        <w:t> </w:t>
      </w:r>
      <w:r w:rsidRPr="00B041F6">
        <w:rPr>
          <w:rFonts w:ascii="Times New Roman" w:hAnsi="Times New Roman" w:cs="Times New Roman"/>
          <w:i/>
          <w:iCs/>
          <w:sz w:val="24"/>
          <w:szCs w:val="24"/>
        </w:rPr>
        <w:t>27</w:t>
      </w:r>
      <w:r w:rsidRPr="00B041F6">
        <w:rPr>
          <w:rFonts w:ascii="Times New Roman" w:hAnsi="Times New Roman" w:cs="Times New Roman"/>
          <w:sz w:val="24"/>
          <w:szCs w:val="24"/>
        </w:rPr>
        <w:t>(1), pp.19-29.</w:t>
      </w:r>
    </w:p>
    <w:p w14:paraId="30E02ABC" w14:textId="77777777" w:rsidR="00B35ED9" w:rsidRPr="004C20A9" w:rsidRDefault="00B35ED9" w:rsidP="002C0E24">
      <w:pPr>
        <w:spacing w:line="360" w:lineRule="auto"/>
        <w:rPr>
          <w:rFonts w:ascii="Times New Roman" w:hAnsi="Times New Roman" w:cs="Times New Roman"/>
          <w:sz w:val="24"/>
          <w:szCs w:val="24"/>
        </w:rPr>
      </w:pPr>
      <w:r w:rsidRPr="004C20A9">
        <w:rPr>
          <w:rFonts w:ascii="Times New Roman" w:hAnsi="Times New Roman" w:cs="Times New Roman"/>
          <w:sz w:val="24"/>
          <w:szCs w:val="24"/>
        </w:rPr>
        <w:t xml:space="preserve">Sari, D.P., Nabella, S.D. and </w:t>
      </w:r>
      <w:proofErr w:type="spellStart"/>
      <w:r w:rsidRPr="004C20A9">
        <w:rPr>
          <w:rFonts w:ascii="Times New Roman" w:hAnsi="Times New Roman" w:cs="Times New Roman"/>
          <w:sz w:val="24"/>
          <w:szCs w:val="24"/>
        </w:rPr>
        <w:t>Fadlilah</w:t>
      </w:r>
      <w:proofErr w:type="spellEnd"/>
      <w:r w:rsidRPr="004C20A9">
        <w:rPr>
          <w:rFonts w:ascii="Times New Roman" w:hAnsi="Times New Roman" w:cs="Times New Roman"/>
          <w:sz w:val="24"/>
          <w:szCs w:val="24"/>
        </w:rPr>
        <w:t xml:space="preserve">, A.H., </w:t>
      </w:r>
      <w:r>
        <w:rPr>
          <w:rFonts w:ascii="Times New Roman" w:hAnsi="Times New Roman" w:cs="Times New Roman"/>
          <w:sz w:val="24"/>
          <w:szCs w:val="24"/>
        </w:rPr>
        <w:t>(</w:t>
      </w:r>
      <w:r w:rsidRPr="004C20A9">
        <w:rPr>
          <w:rFonts w:ascii="Times New Roman" w:hAnsi="Times New Roman" w:cs="Times New Roman"/>
          <w:sz w:val="24"/>
          <w:szCs w:val="24"/>
        </w:rPr>
        <w:t>2022</w:t>
      </w:r>
      <w:r>
        <w:rPr>
          <w:rFonts w:ascii="Times New Roman" w:hAnsi="Times New Roman" w:cs="Times New Roman"/>
          <w:sz w:val="24"/>
          <w:szCs w:val="24"/>
        </w:rPr>
        <w:t>)</w:t>
      </w:r>
      <w:r w:rsidRPr="004C20A9">
        <w:rPr>
          <w:rFonts w:ascii="Times New Roman" w:hAnsi="Times New Roman" w:cs="Times New Roman"/>
          <w:sz w:val="24"/>
          <w:szCs w:val="24"/>
        </w:rPr>
        <w:t xml:space="preserve">. </w:t>
      </w:r>
      <w:r w:rsidRPr="00B35ED9">
        <w:rPr>
          <w:rFonts w:ascii="Times New Roman" w:hAnsi="Times New Roman" w:cs="Times New Roman"/>
          <w:i/>
          <w:iCs/>
          <w:sz w:val="24"/>
          <w:szCs w:val="24"/>
        </w:rPr>
        <w:t>The effect of profitability, liquidity, leverage, and activity ratios on dividend policy in manufacturing companies in the food and beverage industry sector listed on the Indonesia Stock Exchange in the 2016-2020 period.</w:t>
      </w:r>
      <w:r w:rsidRPr="004C20A9">
        <w:rPr>
          <w:rFonts w:ascii="Times New Roman" w:hAnsi="Times New Roman" w:cs="Times New Roman"/>
          <w:sz w:val="24"/>
          <w:szCs w:val="24"/>
        </w:rPr>
        <w:t> </w:t>
      </w:r>
      <w:proofErr w:type="spellStart"/>
      <w:r w:rsidRPr="00B35ED9">
        <w:rPr>
          <w:rFonts w:ascii="Times New Roman" w:hAnsi="Times New Roman" w:cs="Times New Roman"/>
          <w:sz w:val="24"/>
          <w:szCs w:val="24"/>
        </w:rPr>
        <w:t>Jurnal</w:t>
      </w:r>
      <w:proofErr w:type="spellEnd"/>
      <w:r w:rsidRPr="00B35ED9">
        <w:rPr>
          <w:rFonts w:ascii="Times New Roman" w:hAnsi="Times New Roman" w:cs="Times New Roman"/>
          <w:sz w:val="24"/>
          <w:szCs w:val="24"/>
        </w:rPr>
        <w:t xml:space="preserve"> Mantik,</w:t>
      </w:r>
      <w:r w:rsidRPr="004C20A9">
        <w:rPr>
          <w:rFonts w:ascii="Times New Roman" w:hAnsi="Times New Roman" w:cs="Times New Roman"/>
          <w:sz w:val="24"/>
          <w:szCs w:val="24"/>
        </w:rPr>
        <w:t> </w:t>
      </w:r>
      <w:r w:rsidRPr="004C20A9">
        <w:rPr>
          <w:rFonts w:ascii="Times New Roman" w:hAnsi="Times New Roman" w:cs="Times New Roman"/>
          <w:i/>
          <w:iCs/>
          <w:sz w:val="24"/>
          <w:szCs w:val="24"/>
        </w:rPr>
        <w:t>6</w:t>
      </w:r>
      <w:r w:rsidRPr="004C20A9">
        <w:rPr>
          <w:rFonts w:ascii="Times New Roman" w:hAnsi="Times New Roman" w:cs="Times New Roman"/>
          <w:sz w:val="24"/>
          <w:szCs w:val="24"/>
        </w:rPr>
        <w:t>(2), pp.1365-1375.</w:t>
      </w:r>
    </w:p>
    <w:sectPr w:rsidR="00B35ED9" w:rsidRPr="004C2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C8"/>
    <w:rsid w:val="00014904"/>
    <w:rsid w:val="00051CE2"/>
    <w:rsid w:val="001C6078"/>
    <w:rsid w:val="001E7CD6"/>
    <w:rsid w:val="00271C3C"/>
    <w:rsid w:val="002A490A"/>
    <w:rsid w:val="002B71D0"/>
    <w:rsid w:val="002C0E24"/>
    <w:rsid w:val="002E3BC9"/>
    <w:rsid w:val="00306094"/>
    <w:rsid w:val="00333628"/>
    <w:rsid w:val="00357504"/>
    <w:rsid w:val="003B5A6A"/>
    <w:rsid w:val="004C20A9"/>
    <w:rsid w:val="005C07AE"/>
    <w:rsid w:val="006769EA"/>
    <w:rsid w:val="0068042F"/>
    <w:rsid w:val="006E7161"/>
    <w:rsid w:val="006F7589"/>
    <w:rsid w:val="007422DA"/>
    <w:rsid w:val="007D6EBB"/>
    <w:rsid w:val="0085689E"/>
    <w:rsid w:val="008716B0"/>
    <w:rsid w:val="008B255B"/>
    <w:rsid w:val="00973960"/>
    <w:rsid w:val="009959F5"/>
    <w:rsid w:val="00A02D97"/>
    <w:rsid w:val="00AE1F8B"/>
    <w:rsid w:val="00B041F6"/>
    <w:rsid w:val="00B35ED9"/>
    <w:rsid w:val="00BE43D3"/>
    <w:rsid w:val="00BF4B55"/>
    <w:rsid w:val="00BF50A2"/>
    <w:rsid w:val="00C57CC8"/>
    <w:rsid w:val="00C773BA"/>
    <w:rsid w:val="00CC264B"/>
    <w:rsid w:val="00D2328B"/>
    <w:rsid w:val="00D60721"/>
    <w:rsid w:val="00EC30C0"/>
    <w:rsid w:val="00FB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7699"/>
  <w15:chartTrackingRefBased/>
  <w15:docId w15:val="{B21B51CD-5F68-4C1C-8BC3-ABED8F58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7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F4B5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F4B5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4B5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F4B5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F4B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F4B55"/>
    <w:rPr>
      <w:b/>
      <w:bCs/>
    </w:rPr>
  </w:style>
  <w:style w:type="character" w:customStyle="1" w:styleId="line-clamp-1">
    <w:name w:val="line-clamp-1"/>
    <w:basedOn w:val="DefaultParagraphFont"/>
    <w:rsid w:val="00BF4B55"/>
  </w:style>
  <w:style w:type="paragraph" w:styleId="z-TopofForm">
    <w:name w:val="HTML Top of Form"/>
    <w:basedOn w:val="Normal"/>
    <w:next w:val="Normal"/>
    <w:link w:val="z-TopofFormChar"/>
    <w:hidden/>
    <w:uiPriority w:val="99"/>
    <w:semiHidden/>
    <w:unhideWhenUsed/>
    <w:rsid w:val="00BF4B5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F4B5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F4B5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F4B55"/>
    <w:rPr>
      <w:rFonts w:ascii="Arial" w:eastAsia="Times New Roman" w:hAnsi="Arial" w:cs="Arial"/>
      <w:vanish/>
      <w:kern w:val="0"/>
      <w:sz w:val="16"/>
      <w:szCs w:val="16"/>
      <w14:ligatures w14:val="none"/>
    </w:rPr>
  </w:style>
  <w:style w:type="table" w:styleId="TableGrid">
    <w:name w:val="Table Grid"/>
    <w:basedOn w:val="TableNormal"/>
    <w:uiPriority w:val="39"/>
    <w:rsid w:val="008B255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07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648107">
      <w:bodyDiv w:val="1"/>
      <w:marLeft w:val="0"/>
      <w:marRight w:val="0"/>
      <w:marTop w:val="0"/>
      <w:marBottom w:val="0"/>
      <w:divBdr>
        <w:top w:val="none" w:sz="0" w:space="0" w:color="auto"/>
        <w:left w:val="none" w:sz="0" w:space="0" w:color="auto"/>
        <w:bottom w:val="none" w:sz="0" w:space="0" w:color="auto"/>
        <w:right w:val="none" w:sz="0" w:space="0" w:color="auto"/>
      </w:divBdr>
    </w:div>
    <w:div w:id="525215260">
      <w:bodyDiv w:val="1"/>
      <w:marLeft w:val="0"/>
      <w:marRight w:val="0"/>
      <w:marTop w:val="0"/>
      <w:marBottom w:val="0"/>
      <w:divBdr>
        <w:top w:val="none" w:sz="0" w:space="0" w:color="auto"/>
        <w:left w:val="none" w:sz="0" w:space="0" w:color="auto"/>
        <w:bottom w:val="none" w:sz="0" w:space="0" w:color="auto"/>
        <w:right w:val="none" w:sz="0" w:space="0" w:color="auto"/>
      </w:divBdr>
      <w:divsChild>
        <w:div w:id="402724212">
          <w:marLeft w:val="0"/>
          <w:marRight w:val="0"/>
          <w:marTop w:val="0"/>
          <w:marBottom w:val="0"/>
          <w:divBdr>
            <w:top w:val="single" w:sz="6" w:space="0" w:color="auto"/>
            <w:left w:val="single" w:sz="6" w:space="0" w:color="auto"/>
            <w:bottom w:val="single" w:sz="6" w:space="0" w:color="auto"/>
            <w:right w:val="single" w:sz="6" w:space="0" w:color="auto"/>
          </w:divBdr>
        </w:div>
      </w:divsChild>
    </w:div>
    <w:div w:id="738208739">
      <w:bodyDiv w:val="1"/>
      <w:marLeft w:val="0"/>
      <w:marRight w:val="0"/>
      <w:marTop w:val="0"/>
      <w:marBottom w:val="0"/>
      <w:divBdr>
        <w:top w:val="none" w:sz="0" w:space="0" w:color="auto"/>
        <w:left w:val="none" w:sz="0" w:space="0" w:color="auto"/>
        <w:bottom w:val="none" w:sz="0" w:space="0" w:color="auto"/>
        <w:right w:val="none" w:sz="0" w:space="0" w:color="auto"/>
      </w:divBdr>
      <w:divsChild>
        <w:div w:id="1764296066">
          <w:marLeft w:val="0"/>
          <w:marRight w:val="0"/>
          <w:marTop w:val="0"/>
          <w:marBottom w:val="0"/>
          <w:divBdr>
            <w:top w:val="none" w:sz="0" w:space="0" w:color="auto"/>
            <w:left w:val="none" w:sz="0" w:space="0" w:color="auto"/>
            <w:bottom w:val="none" w:sz="0" w:space="0" w:color="auto"/>
            <w:right w:val="none" w:sz="0" w:space="0" w:color="auto"/>
          </w:divBdr>
          <w:divsChild>
            <w:div w:id="1061518331">
              <w:marLeft w:val="0"/>
              <w:marRight w:val="0"/>
              <w:marTop w:val="0"/>
              <w:marBottom w:val="0"/>
              <w:divBdr>
                <w:top w:val="none" w:sz="0" w:space="0" w:color="auto"/>
                <w:left w:val="none" w:sz="0" w:space="0" w:color="auto"/>
                <w:bottom w:val="none" w:sz="0" w:space="0" w:color="auto"/>
                <w:right w:val="none" w:sz="0" w:space="0" w:color="auto"/>
              </w:divBdr>
              <w:divsChild>
                <w:div w:id="752631857">
                  <w:marLeft w:val="0"/>
                  <w:marRight w:val="0"/>
                  <w:marTop w:val="0"/>
                  <w:marBottom w:val="0"/>
                  <w:divBdr>
                    <w:top w:val="none" w:sz="0" w:space="0" w:color="auto"/>
                    <w:left w:val="none" w:sz="0" w:space="0" w:color="auto"/>
                    <w:bottom w:val="none" w:sz="0" w:space="0" w:color="auto"/>
                    <w:right w:val="none" w:sz="0" w:space="0" w:color="auto"/>
                  </w:divBdr>
                  <w:divsChild>
                    <w:div w:id="602569761">
                      <w:marLeft w:val="0"/>
                      <w:marRight w:val="0"/>
                      <w:marTop w:val="0"/>
                      <w:marBottom w:val="0"/>
                      <w:divBdr>
                        <w:top w:val="none" w:sz="0" w:space="0" w:color="auto"/>
                        <w:left w:val="none" w:sz="0" w:space="0" w:color="auto"/>
                        <w:bottom w:val="none" w:sz="0" w:space="0" w:color="auto"/>
                        <w:right w:val="none" w:sz="0" w:space="0" w:color="auto"/>
                      </w:divBdr>
                      <w:divsChild>
                        <w:div w:id="1491674906">
                          <w:marLeft w:val="0"/>
                          <w:marRight w:val="0"/>
                          <w:marTop w:val="0"/>
                          <w:marBottom w:val="0"/>
                          <w:divBdr>
                            <w:top w:val="none" w:sz="0" w:space="0" w:color="auto"/>
                            <w:left w:val="none" w:sz="0" w:space="0" w:color="auto"/>
                            <w:bottom w:val="none" w:sz="0" w:space="0" w:color="auto"/>
                            <w:right w:val="none" w:sz="0" w:space="0" w:color="auto"/>
                          </w:divBdr>
                          <w:divsChild>
                            <w:div w:id="1637105921">
                              <w:marLeft w:val="0"/>
                              <w:marRight w:val="0"/>
                              <w:marTop w:val="0"/>
                              <w:marBottom w:val="0"/>
                              <w:divBdr>
                                <w:top w:val="none" w:sz="0" w:space="0" w:color="auto"/>
                                <w:left w:val="none" w:sz="0" w:space="0" w:color="auto"/>
                                <w:bottom w:val="none" w:sz="0" w:space="0" w:color="auto"/>
                                <w:right w:val="none" w:sz="0" w:space="0" w:color="auto"/>
                              </w:divBdr>
                              <w:divsChild>
                                <w:div w:id="1044712555">
                                  <w:marLeft w:val="0"/>
                                  <w:marRight w:val="0"/>
                                  <w:marTop w:val="0"/>
                                  <w:marBottom w:val="0"/>
                                  <w:divBdr>
                                    <w:top w:val="none" w:sz="0" w:space="0" w:color="auto"/>
                                    <w:left w:val="none" w:sz="0" w:space="0" w:color="auto"/>
                                    <w:bottom w:val="none" w:sz="0" w:space="0" w:color="auto"/>
                                    <w:right w:val="none" w:sz="0" w:space="0" w:color="auto"/>
                                  </w:divBdr>
                                  <w:divsChild>
                                    <w:div w:id="26875066">
                                      <w:marLeft w:val="0"/>
                                      <w:marRight w:val="0"/>
                                      <w:marTop w:val="0"/>
                                      <w:marBottom w:val="0"/>
                                      <w:divBdr>
                                        <w:top w:val="none" w:sz="0" w:space="0" w:color="auto"/>
                                        <w:left w:val="none" w:sz="0" w:space="0" w:color="auto"/>
                                        <w:bottom w:val="none" w:sz="0" w:space="0" w:color="auto"/>
                                        <w:right w:val="none" w:sz="0" w:space="0" w:color="auto"/>
                                      </w:divBdr>
                                      <w:divsChild>
                                        <w:div w:id="1216162228">
                                          <w:marLeft w:val="0"/>
                                          <w:marRight w:val="0"/>
                                          <w:marTop w:val="0"/>
                                          <w:marBottom w:val="0"/>
                                          <w:divBdr>
                                            <w:top w:val="none" w:sz="0" w:space="0" w:color="auto"/>
                                            <w:left w:val="none" w:sz="0" w:space="0" w:color="auto"/>
                                            <w:bottom w:val="none" w:sz="0" w:space="0" w:color="auto"/>
                                            <w:right w:val="none" w:sz="0" w:space="0" w:color="auto"/>
                                          </w:divBdr>
                                          <w:divsChild>
                                            <w:div w:id="1537886735">
                                              <w:marLeft w:val="0"/>
                                              <w:marRight w:val="0"/>
                                              <w:marTop w:val="0"/>
                                              <w:marBottom w:val="0"/>
                                              <w:divBdr>
                                                <w:top w:val="none" w:sz="0" w:space="0" w:color="auto"/>
                                                <w:left w:val="none" w:sz="0" w:space="0" w:color="auto"/>
                                                <w:bottom w:val="none" w:sz="0" w:space="0" w:color="auto"/>
                                                <w:right w:val="none" w:sz="0" w:space="0" w:color="auto"/>
                                              </w:divBdr>
                                              <w:divsChild>
                                                <w:div w:id="1868328749">
                                                  <w:marLeft w:val="0"/>
                                                  <w:marRight w:val="0"/>
                                                  <w:marTop w:val="0"/>
                                                  <w:marBottom w:val="0"/>
                                                  <w:divBdr>
                                                    <w:top w:val="none" w:sz="0" w:space="0" w:color="auto"/>
                                                    <w:left w:val="none" w:sz="0" w:space="0" w:color="auto"/>
                                                    <w:bottom w:val="none" w:sz="0" w:space="0" w:color="auto"/>
                                                    <w:right w:val="none" w:sz="0" w:space="0" w:color="auto"/>
                                                  </w:divBdr>
                                                  <w:divsChild>
                                                    <w:div w:id="735396985">
                                                      <w:marLeft w:val="0"/>
                                                      <w:marRight w:val="0"/>
                                                      <w:marTop w:val="0"/>
                                                      <w:marBottom w:val="0"/>
                                                      <w:divBdr>
                                                        <w:top w:val="none" w:sz="0" w:space="0" w:color="auto"/>
                                                        <w:left w:val="none" w:sz="0" w:space="0" w:color="auto"/>
                                                        <w:bottom w:val="none" w:sz="0" w:space="0" w:color="auto"/>
                                                        <w:right w:val="none" w:sz="0" w:space="0" w:color="auto"/>
                                                      </w:divBdr>
                                                      <w:divsChild>
                                                        <w:div w:id="5862069">
                                                          <w:marLeft w:val="0"/>
                                                          <w:marRight w:val="0"/>
                                                          <w:marTop w:val="0"/>
                                                          <w:marBottom w:val="0"/>
                                                          <w:divBdr>
                                                            <w:top w:val="none" w:sz="0" w:space="0" w:color="auto"/>
                                                            <w:left w:val="none" w:sz="0" w:space="0" w:color="auto"/>
                                                            <w:bottom w:val="none" w:sz="0" w:space="0" w:color="auto"/>
                                                            <w:right w:val="none" w:sz="0" w:space="0" w:color="auto"/>
                                                          </w:divBdr>
                                                          <w:divsChild>
                                                            <w:div w:id="19158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73691">
                                                  <w:marLeft w:val="0"/>
                                                  <w:marRight w:val="0"/>
                                                  <w:marTop w:val="0"/>
                                                  <w:marBottom w:val="0"/>
                                                  <w:divBdr>
                                                    <w:top w:val="none" w:sz="0" w:space="0" w:color="auto"/>
                                                    <w:left w:val="none" w:sz="0" w:space="0" w:color="auto"/>
                                                    <w:bottom w:val="none" w:sz="0" w:space="0" w:color="auto"/>
                                                    <w:right w:val="none" w:sz="0" w:space="0" w:color="auto"/>
                                                  </w:divBdr>
                                                  <w:divsChild>
                                                    <w:div w:id="1653409710">
                                                      <w:marLeft w:val="0"/>
                                                      <w:marRight w:val="0"/>
                                                      <w:marTop w:val="0"/>
                                                      <w:marBottom w:val="0"/>
                                                      <w:divBdr>
                                                        <w:top w:val="none" w:sz="0" w:space="0" w:color="auto"/>
                                                        <w:left w:val="none" w:sz="0" w:space="0" w:color="auto"/>
                                                        <w:bottom w:val="none" w:sz="0" w:space="0" w:color="auto"/>
                                                        <w:right w:val="none" w:sz="0" w:space="0" w:color="auto"/>
                                                      </w:divBdr>
                                                      <w:divsChild>
                                                        <w:div w:id="647396520">
                                                          <w:marLeft w:val="0"/>
                                                          <w:marRight w:val="0"/>
                                                          <w:marTop w:val="0"/>
                                                          <w:marBottom w:val="0"/>
                                                          <w:divBdr>
                                                            <w:top w:val="none" w:sz="0" w:space="0" w:color="auto"/>
                                                            <w:left w:val="none" w:sz="0" w:space="0" w:color="auto"/>
                                                            <w:bottom w:val="none" w:sz="0" w:space="0" w:color="auto"/>
                                                            <w:right w:val="none" w:sz="0" w:space="0" w:color="auto"/>
                                                          </w:divBdr>
                                                          <w:divsChild>
                                                            <w:div w:id="9711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0188313">
          <w:marLeft w:val="0"/>
          <w:marRight w:val="0"/>
          <w:marTop w:val="0"/>
          <w:marBottom w:val="0"/>
          <w:divBdr>
            <w:top w:val="none" w:sz="0" w:space="0" w:color="auto"/>
            <w:left w:val="none" w:sz="0" w:space="0" w:color="auto"/>
            <w:bottom w:val="none" w:sz="0" w:space="0" w:color="auto"/>
            <w:right w:val="none" w:sz="0" w:space="0" w:color="auto"/>
          </w:divBdr>
          <w:divsChild>
            <w:div w:id="845245948">
              <w:marLeft w:val="0"/>
              <w:marRight w:val="0"/>
              <w:marTop w:val="0"/>
              <w:marBottom w:val="0"/>
              <w:divBdr>
                <w:top w:val="none" w:sz="0" w:space="0" w:color="auto"/>
                <w:left w:val="none" w:sz="0" w:space="0" w:color="auto"/>
                <w:bottom w:val="none" w:sz="0" w:space="0" w:color="auto"/>
                <w:right w:val="none" w:sz="0" w:space="0" w:color="auto"/>
              </w:divBdr>
              <w:divsChild>
                <w:div w:id="11581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32467">
      <w:bodyDiv w:val="1"/>
      <w:marLeft w:val="0"/>
      <w:marRight w:val="0"/>
      <w:marTop w:val="0"/>
      <w:marBottom w:val="0"/>
      <w:divBdr>
        <w:top w:val="none" w:sz="0" w:space="0" w:color="auto"/>
        <w:left w:val="none" w:sz="0" w:space="0" w:color="auto"/>
        <w:bottom w:val="none" w:sz="0" w:space="0" w:color="auto"/>
        <w:right w:val="none" w:sz="0" w:space="0" w:color="auto"/>
      </w:divBdr>
      <w:divsChild>
        <w:div w:id="471873936">
          <w:marLeft w:val="0"/>
          <w:marRight w:val="0"/>
          <w:marTop w:val="0"/>
          <w:marBottom w:val="0"/>
          <w:divBdr>
            <w:top w:val="single" w:sz="6" w:space="0" w:color="auto"/>
            <w:left w:val="single" w:sz="6" w:space="0" w:color="auto"/>
            <w:bottom w:val="single" w:sz="6" w:space="0" w:color="auto"/>
            <w:right w:val="single" w:sz="6" w:space="0" w:color="auto"/>
          </w:divBdr>
        </w:div>
      </w:divsChild>
    </w:div>
    <w:div w:id="1460149597">
      <w:bodyDiv w:val="1"/>
      <w:marLeft w:val="0"/>
      <w:marRight w:val="0"/>
      <w:marTop w:val="0"/>
      <w:marBottom w:val="0"/>
      <w:divBdr>
        <w:top w:val="none" w:sz="0" w:space="0" w:color="auto"/>
        <w:left w:val="none" w:sz="0" w:space="0" w:color="auto"/>
        <w:bottom w:val="none" w:sz="0" w:space="0" w:color="auto"/>
        <w:right w:val="none" w:sz="0" w:space="0" w:color="auto"/>
      </w:divBdr>
    </w:div>
    <w:div w:id="1700205484">
      <w:bodyDiv w:val="1"/>
      <w:marLeft w:val="0"/>
      <w:marRight w:val="0"/>
      <w:marTop w:val="0"/>
      <w:marBottom w:val="0"/>
      <w:divBdr>
        <w:top w:val="none" w:sz="0" w:space="0" w:color="auto"/>
        <w:left w:val="none" w:sz="0" w:space="0" w:color="auto"/>
        <w:bottom w:val="none" w:sz="0" w:space="0" w:color="auto"/>
        <w:right w:val="none" w:sz="0" w:space="0" w:color="auto"/>
      </w:divBdr>
      <w:divsChild>
        <w:div w:id="331877116">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ULLAH KHAN</dc:creator>
  <cp:keywords/>
  <dc:description/>
  <cp:lastModifiedBy>JAY VAGHELA</cp:lastModifiedBy>
  <cp:revision>3</cp:revision>
  <dcterms:created xsi:type="dcterms:W3CDTF">2024-07-11T14:24:00Z</dcterms:created>
  <dcterms:modified xsi:type="dcterms:W3CDTF">2024-12-04T19:04:00Z</dcterms:modified>
</cp:coreProperties>
</file>