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3e1ccba787514629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2000"/>
      </w:pPr>
      <w:r/>
    </w:p>
    <w:p>
      <w:pPr>
        <w:spacing w:after="200"/>
        <w:ind w:left="1200" w:right="1200"/>
      </w:pPr>
      <w:r>
        <w:rPr>
          <w:rFonts w:ascii="Calibri" w:hAnsi="Calibri" w:eastAsia="Microsoft YaHei"/>
          <w:b/>
          <w:color w:val="2E5D34"/>
          <w:spacing w:val="30"/>
          <w:sz w:val="48"/>
        </w:rPr>
        <w:t>模型微调技术方案</w:t>
      </w:r>
    </w:p>
    <w:p>
      <w:pPr>
        <w:spacing w:after="300"/>
        <w:ind w:left="1200" w:right="1200"/>
      </w:pPr>
      <w:r>
        <w:rPr>
          <w:rFonts w:ascii="Calibri" w:hAnsi="Calibri" w:eastAsia="Microsoft YaHei"/>
          <w:color w:val="B8860B"/>
          <w:sz w:val="28"/>
        </w:rPr>
        <w:t>与训练数据集设计</w:t>
      </w:r>
    </w:p>
    <w:p>
      <w:pPr>
        <w:spacing w:after="150"/>
        <w:ind w:left="1200" w:right="1200"/>
      </w:pPr>
      <w:r>
        <w:rPr>
          <w:rFonts w:ascii="Calibri" w:hAnsi="Calibri" w:eastAsia="Microsoft YaHei"/>
          <w:color w:val="666666"/>
          <w:sz w:val="20"/>
        </w:rPr>
        <w:t>基于 DGX Spark (GB10, 128GB Unified Memory) 的 TRIZ 领域模型微调</w:t>
      </w:r>
    </w:p>
    <w:p>
      <w:pPr>
        <w:spacing w:after="2500"/>
        <w:ind w:left="1200" w:right="1200"/>
      </w:pPr>
      <w:r>
        <w:rPr>
          <w:rFonts w:ascii="Calibri" w:hAnsi="Calibri" w:eastAsia="Microsoft YaHei"/>
          <w:color w:val="888888"/>
          <w:sz w:val="18"/>
        </w:rPr>
        <w:t>覆盖：基座模型选型 | QLoRA微调全流程 | 训练数据集构建 | 合成数据生成 | 评估与迭代 | 部署方案</w:t>
      </w:r>
    </w:p>
    <w:p>
      <w:pPr>
        <w:ind w:left="1200"/>
      </w:pPr>
      <w:r>
        <w:rPr>
          <w:rFonts w:ascii="Calibri" w:hAnsi="Calibri" w:eastAsia="Microsoft YaHei"/>
          <w:color w:val="888888"/>
          <w:sz w:val="18"/>
        </w:rPr>
        <w:t>机密文件 | 猫鼬AI技术团队内部使用 | 2026年5月</w:t>
      </w:r>
    </w:p>
    <w:p>
      <w:pPr>
        <w:sectPr>
          <w:type w:val="nextPage"/>
          <w:pgSz w:w="11906" w:h="16838"/>
          <w:pgMar w:top="0" w:right="0" w:bottom="0" w:left="0" w:header="0" w:footer="0"/>
          <w:titlePg/>
        </w:sectPr>
      </w:pPr>
    </w:p>
    <w:p>
      <w:pPr>
        <w:pStyle w:val="Heading1"/>
      </w:pPr>
      <w:r>
        <w:t>一、总体架构与目标</w:t>
      </w:r>
      <w:bookmarkStart w:name="_Toc001" w:id="502558072"/>
      <w:bookmarkEnd w:id="502558072"/>
    </w:p>
    <w:p>
      <w:r>
        <w:t xml:space="preserve">本方案基于DGX Spark硬件平台，为猫鼬AI建立一套完整的TRIZ领域模型微调流水线。核心目标是将通用大模型通过QLoRA微调，转化为精通TRIZ方法论、产品创新和企业咨询的垂直领域专家模型。</w:t>
      </w:r>
    </w:p>
    <w:p>
      <w:pPr>
        <w:pStyle w:val="Heading2"/>
      </w:pPr>
      <w:r>
        <w:t>1.1 微调流水线总览</w:t>
      </w:r>
    </w:p>
    <w:tbl>
      <w:tblPr>
        <w:tblW w:w="5000" w:type="pct"/>
        <w:tblBorders>
          <w:top w:val="single" w:color="2E5D34" w:sz="12"/>
          <w:bottom w:val="single" w:color="2E5D34" w:sz="12"/>
          <w:insideH w:val="single" w:color="E0E0E0" w:sz="4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w="180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阶段</w:t>
            </w:r>
          </w:p>
        </w:tc>
        <w:tc>
          <w:tcPr>
            <w:tcW w:w="180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输入</w:t>
            </w:r>
          </w:p>
        </w:tc>
        <w:tc>
          <w:tcPr>
            <w:tcW w:w="180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输出</w:t>
            </w:r>
          </w:p>
        </w:tc>
        <w:tc>
          <w:tcPr>
            <w:tcW w:w="180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时间</w:t>
            </w:r>
          </w:p>
        </w:tc>
        <w:tc>
          <w:tcPr>
            <w:tcW w:w="180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关键决策</w:t>
            </w:r>
          </w:p>
        </w:tc>
      </w:tr>
      <w:tr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数据准备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历史案例+方法论文档+顾问经验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5,000-10,000条ChatML格式训练数据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2-3周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数据质量优先于数量</w:t>
            </w:r>
          </w:p>
        </w:tc>
      </w:tr>
      <w:tr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基座模型选型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候选模型列表+评测基准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选定基座模型(70B级)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1周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与DGX Spark性能匹配</w:t>
            </w:r>
          </w:p>
        </w:tc>
      </w:tr>
      <w:tr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QLoRA微调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基座模型+训练数据+超参数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LoRA适配器(~100MB)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2-4小时/轮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1-2 epoch即可</w:t>
            </w:r>
          </w:p>
        </w:tc>
      </w:tr>
      <w:tr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评测验证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微调模型+三层评测体系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能力基线报告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1周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与评测方案联动</w:t>
            </w:r>
          </w:p>
        </w:tc>
      </w:tr>
      <w:tr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模型合并与部署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LoRA适配器+基座模型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合并后的完整模型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1天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FP4量化部署</w:t>
            </w:r>
          </w:p>
        </w:tc>
      </w:tr>
      <w:tr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持续迭代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新案例+用户反馈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更新版适配器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月度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增量数据微调</w:t>
            </w:r>
          </w:p>
        </w:tc>
      </w:tr>
    </w:tbl>
    <w:p>
      <w:pPr>
        <w:spacing w:before="60" w:after="320"/>
        <w:ind w:firstLine="0"/>
        <w:jc w:val="center"/>
      </w:pPr>
      <w:r>
        <w:rPr>
          <w:rFonts w:ascii="Calibri" w:hAnsi="Calibri" w:eastAsia="Microsoft YaHei"/>
          <w:color w:val="888888"/>
          <w:sz w:val="18"/>
        </w:rPr>
        <w:t>表1：微调流水线六阶段总览</w:t>
      </w:r>
    </w:p>
    <w:p>
      <w:pPr>
        <w:pStyle w:val="Heading2"/>
      </w:pPr>
      <w:r>
        <w:t>1.2 与评测体系的衔接</w:t>
      </w:r>
    </w:p>
    <w:p>
      <w:r>
        <w:t xml:space="preserve">本微调方案与《DGX Spark大模型评测方案》紧密衔接，形成"评测-&gt;微调-&gt;再评测"的闭环：</w:t>
      </w:r>
    </w:p>
    <w:p>
      <w:pPr>
        <w:ind w:left="720" w:hanging="360"/>
      </w:pPr>
      <w:r>
        <w:t xml:space="preserve">• 微调前：使用Layer 1（7大业界基准）和Layer 2（TRIZ定制评测）建立基座模型的能力基线</w:t>
      </w:r>
      <w:r>
        <w:br/>
      </w:r>
      <w:r>
        <w:t xml:space="preserve">• 微调后：再次运行完整的三层评测，量化微调带来的能力提升（预期TRIZ专项提升10-20%）</w:t>
      </w:r>
      <w:r>
        <w:br/>
      </w:r>
      <w:r>
        <w:t xml:space="preserve">• 持续迭代：每月新增案例数据后进行增量微调，每次微调后运行Layer 2评测验证效果</w:t>
      </w:r>
      <w:r>
        <w:br/>
      </w:r>
      <w:r>
        <w:t xml:space="preserve">• 客户交付：微调后的模型评测分数作为客户私有化部署方案的核心卖点</w:t>
      </w:r>
      <w:r>
        <w:br/>
      </w:r>
    </w:p>
    <w:p>
      <w:pPr>
        <w:pStyle w:val="Heading1"/>
      </w:pPr>
      <w:r>
        <w:t>二、基座模型选型</w:t>
      </w:r>
      <w:bookmarkStart w:name="_Toc002" w:id="-1100095137"/>
      <w:bookmarkEnd w:id="-1100095137"/>
    </w:p>
    <w:p>
      <w:r>
        <w:t xml:space="preserve">基座模型的选择直接影响微调上限和部署性能。基于DGX Spark的128GB统一内存和猫鼬AI的业务需求，推荐以下选型策略。</w:t>
      </w:r>
    </w:p>
    <w:p>
      <w:pPr>
        <w:pStyle w:val="Heading2"/>
      </w:pPr>
      <w:r>
        <w:t>2.1 候选模型对比</w:t>
      </w:r>
    </w:p>
    <w:tbl>
      <w:tblPr>
        <w:tblW w:w="5000" w:type="pct"/>
        <w:tblBorders>
          <w:top w:val="single" w:color="2E5D34" w:sz="12"/>
          <w:bottom w:val="single" w:color="2E5D34" w:sz="12"/>
          <w:insideH w:val="single" w:color="E0E0E0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w="150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模型</w:t>
            </w:r>
          </w:p>
        </w:tc>
        <w:tc>
          <w:tcPr>
            <w:tcW w:w="150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参数量</w:t>
            </w:r>
          </w:p>
        </w:tc>
        <w:tc>
          <w:tcPr>
            <w:tcW w:w="150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DGX Spark适配</w:t>
            </w:r>
          </w:p>
        </w:tc>
        <w:tc>
          <w:tcPr>
            <w:tcW w:w="150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微调方式</w:t>
            </w:r>
          </w:p>
        </w:tc>
        <w:tc>
          <w:tcPr>
            <w:tcW w:w="150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TRIZ优势</w:t>
            </w:r>
          </w:p>
        </w:tc>
        <w:tc>
          <w:tcPr>
            <w:tcW w:w="150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推荐度</w:t>
            </w:r>
          </w:p>
        </w:tc>
      </w:tr>
      <w:tr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Qwen3-35B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35B (8B active MoE)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QLoRA可行, 内存~90GB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QLoRA rank=64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中文理解强, 阿里生态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首选</w:t>
            </w:r>
          </w:p>
        </w:tc>
      </w:tr>
      <w:tr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Qwen3-30B-A3B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30B (3B active MoE)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资源充裕, 速度快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QLoRA rank=64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中文强, 速度优势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备选</w:t>
            </w:r>
          </w:p>
        </w:tc>
      </w:tr>
      <w:tr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Llama 3.3 70B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70B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QLoRA可行, 内存~85GB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QLoRA rank=64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英文强, 开源生态好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备选</w:t>
            </w:r>
          </w:p>
        </w:tc>
      </w:tr>
      <w:tr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DeepSeek-V3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~685B MoE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仅推理(双机), 无法微调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N/A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能力强但无法本地微调</w:t>
            </w:r>
          </w:p>
        </w:tc>
        <w:tc>
          <w:tcPr>
            <w:tcW w:w="15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排除</w:t>
            </w:r>
          </w:p>
        </w:tc>
      </w:tr>
    </w:tbl>
    <w:p>
      <w:pPr>
        <w:spacing w:before="60" w:after="320"/>
        <w:ind w:firstLine="0"/>
        <w:jc w:val="center"/>
      </w:pPr>
      <w:r>
        <w:rPr>
          <w:rFonts w:ascii="Calibri" w:hAnsi="Calibri" w:eastAsia="Microsoft YaHei"/>
          <w:color w:val="888888"/>
          <w:sz w:val="18"/>
        </w:rPr>
        <w:t>表2：候选基座模型对比</w:t>
      </w:r>
    </w:p>
    <w:p>
      <w:pPr>
        <w:pStyle w:val="Heading2"/>
      </w:pPr>
      <w:r>
        <w:t>2.2 最终推荐：Qwen3.6-35B-A3B</w:t>
      </w:r>
    </w:p>
    <w:p>
      <w:pPr>
        <w:ind w:left="720" w:hanging="360"/>
      </w:pPr>
      <w:r>
        <w:t xml:space="preserve">• 中文能力最强：TRIZ方法论虽然有俄文起源，但猫鼬AI的核心客户和市场在中国，中文理解能力至关重要</w:t>
      </w:r>
      <w:r>
        <w:br/>
      </w:r>
      <w:r>
        <w:t>• MoE架构优势：35B总参数但只有3B活跃参数，推理时内存占用更低，在DGX Spark上可获得更好的推理性能</w:t>
      </w:r>
      <w:r>
        <w:br/>
      </w:r>
      <w:r>
        <w:t xml:space="preserve">• 阿里生态协同：猫鼬AI已有华为等客户，选择Qwen可更好地融入中国企业AI生态</w:t>
      </w:r>
      <w:r>
        <w:br/>
      </w:r>
      <w:r>
        <w:t xml:space="preserve">• QLoRA可行：经过4-bit量化后，70B级模型在128GB内存上QLoRA微调完全可行（峰值内存~90-100GB）</w:t>
      </w:r>
      <w:r>
        <w:br/>
      </w:r>
      <w:r>
        <w:t xml:space="preserve">• 开源可商用：Qwen3采用Apache 2.0许可证，无商用限制</w:t>
      </w:r>
      <w:r>
        <w:br/>
      </w:r>
    </w:p>
    <w:p>
      <w:pPr>
        <w:pStyle w:val="Heading1"/>
      </w:pPr>
      <w:r>
        <w:t>三、QLoRA微调技术方案</w:t>
      </w:r>
      <w:bookmarkStart w:name="_Toc003" w:id="-1031067716"/>
      <w:bookmarkEnd w:id="-1031067716"/>
    </w:p>
    <w:p>
      <w:r>
        <w:t xml:space="preserve">QLoRA（Quantized Low-Rank Adaptation）是当前在桌面级GPU上微调大模型的标准方法。通过4-bit量化基座模型+低秩适配器训练，实现80-95%全参数微调效果，但成本仅为5-10%。</w:t>
      </w:r>
    </w:p>
    <w:p>
      <w:pPr>
        <w:pStyle w:val="Heading2"/>
      </w:pPr>
      <w:r>
        <w:t>3.1 QLoRA核心原理</w:t>
      </w:r>
    </w:p>
    <w:p>
      <w:pPr>
        <w:ind w:left="720" w:hanging="360"/>
      </w:pPr>
      <w:r>
        <w:t>• 4-bit量化：将基座模型的FP16/FP32权重压缩为4-bit表示（NormalFloat4），35B模型从70GB降至约18-20GB</w:t>
      </w:r>
      <w:r>
        <w:br/>
      </w:r>
      <w:r>
        <w:t xml:space="preserve">• 双量化：对量化常数进行二次量化，进一步减少内存开销</w:t>
      </w:r>
      <w:r>
        <w:br/>
      </w:r>
      <w:r>
        <w:t xml:space="preserve">• 分页优化器：使用NVIDIA统一内存分页机制，GPU内存不足时自动分页到CPU内存</w:t>
      </w:r>
      <w:r>
        <w:br/>
      </w:r>
      <w:r>
        <w:t xml:space="preserve">• 低秩适配器（LoRA）：冻结基座模型所有参数，仅训练少量低秩矩阵（rank=8-64），适配器大小仅约100MB</w:t>
      </w:r>
      <w:r>
        <w:br/>
      </w:r>
      <w:r>
        <w:t xml:space="preserve">• 精度恢复：推理时将4-bit权重动态反量化为16-bit，与LoRA适配器合并计算，精度损失&lt;1%</w:t>
      </w:r>
      <w:r>
        <w:br/>
      </w:r>
    </w:p>
    <w:p>
      <w:pPr>
        <w:pStyle w:val="Heading2"/>
      </w:pPr>
      <w:r>
        <w:t>3.2 超参数配置</w:t>
      </w:r>
    </w:p>
    <w:tbl>
      <w:tblPr>
        <w:tblW w:w="5000" w:type="pct"/>
        <w:tblBorders>
          <w:top w:val="single" w:color="2E5D34" w:sz="12"/>
          <w:bottom w:val="single" w:color="2E5D34" w:sz="12"/>
          <w:insideH w:val="single" w:color="E0E0E0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超参数</w:t>
            </w:r>
          </w:p>
        </w:tc>
        <w:tc>
          <w:tcPr>
            <w:tcW w:w="225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推荐值</w:t>
            </w:r>
          </w:p>
        </w:tc>
        <w:tc>
          <w:tcPr>
            <w:tcW w:w="225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说明</w:t>
            </w:r>
          </w:p>
        </w:tc>
        <w:tc>
          <w:tcPr>
            <w:tcW w:w="225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调整方向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LoRA rank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64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控制适配器容量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过拟合降到32，欠拟合升到128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LoRA alpha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128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缩放因子，通常为rank的2倍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与rank同步调整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LoRA dropout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0.05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防止过拟合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过拟合时增加到0.1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Target modules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q/k/v/o/gate/up/down_proj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训练所有线性层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All-linear配置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Learning rate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1e-4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LoRA训练学习率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收敛慢则升到2e-4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LR scheduler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cosine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余弦退火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固定epoch数时最优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Warmup steps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100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预热步数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总步数的5-10%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Batch size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1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DGX Spark单卡限制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配合gradient accumulation达到有效batch=4-8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Gradient accumulation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4-8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累积梯度模拟大batch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内存允许时增加到8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Max sequence length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2048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最大序列长度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TRIZ案例通常较短，2048足够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Num epochs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1-2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训练轮数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领域数据通常1 epoch足够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Optimizer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paged_adamw_8bit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分页8-bit AdamW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QLoRA标准配置</w:t>
            </w:r>
          </w:p>
        </w:tc>
      </w:tr>
    </w:tbl>
    <w:p>
      <w:pPr>
        <w:spacing w:before="60" w:after="320"/>
        <w:ind w:firstLine="0"/>
        <w:jc w:val="center"/>
      </w:pPr>
      <w:r>
        <w:rPr>
          <w:rFonts w:ascii="Calibri" w:hAnsi="Calibri" w:eastAsia="Microsoft YaHei"/>
          <w:color w:val="888888"/>
          <w:sz w:val="18"/>
        </w:rPr>
        <w:t>表3：QLoRA超参数配置</w:t>
      </w:r>
    </w:p>
    <w:p>
      <w:pPr>
        <w:pStyle w:val="Heading2"/>
      </w:pPr>
      <w:r>
        <w:t>3.3 完整微调代码</w:t>
      </w:r>
    </w:p>
    <w:p>
      <w:pPr>
        <w:shd w:val="clear" w:fill="F5F5F0"/>
        <w:spacing w:before="120" w:after="120" w:line="300" w:lineRule="auto"/>
        <w:ind w:left="240" w:firstLine="0"/>
      </w:pPr>
      <w:r>
        <w:rPr>
          <w:rFonts w:ascii="Consolas" w:hAnsi="Consolas" w:eastAsia="Microsoft YaHei"/>
          <w:color w:val="333333"/>
          <w:sz w:val="16"/>
        </w:rPr>
        <w:t xml:space="preserve"># ===== 猫鼬AI TRIZ领域模型微调脚本 =====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# 运行环境: NVIDIA DGX Spark (GB10, 128GB Unified Memory)</w:t>
      </w:r>
      <w:r>
        <w:br/>
      </w:r>
      <w:r>
        <w:rPr>
          <w:rFonts w:ascii="Consolas" w:hAnsi="Consolas" w:eastAsia="Microsoft YaHei"/>
          <w:color w:val="333333"/>
          <w:sz w:val="16"/>
        </w:rPr>
        <w:t># 基座模型: Qwen3.6-35B-A3B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# 微调方法: QLoRA (4-bit quantization + LoRA adapters)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/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import torch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from transformers import (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  AutoModelForCausalLM, AutoTokenizer,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  TrainingArguments, BitsAndBytesConfig,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)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from peft import LoraConfig, get_peft_model, prepare_model_for_kbit_training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from trl import SFTTrainer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from datasets import load_dataset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/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# ---- 1. 配置 ----</w:t>
      </w:r>
      <w:r>
        <w:br/>
      </w:r>
      <w:r>
        <w:rPr>
          <w:rFonts w:ascii="Consolas" w:hAnsi="Consolas" w:eastAsia="Microsoft YaHei"/>
          <w:color w:val="333333"/>
          <w:sz w:val="16"/>
        </w:rPr>
        <w:t>MODEL_ID = 'Qwen/Qwen3.6-35B-A3B'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DATASET_PATH = './data/triz_train_chatml.jsonl'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OUTPUT_DIR = './models/meerkat-triz-72b-v1'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/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bnb_config = BitsAndBytesConfig(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  load_in_4bit=True,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  bnb_4bit_quant_type='nf4',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  bnb_4bit_compute_dtype=torch.float16,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  bnb_4bit_use_double_quant=True,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)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/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lora_config = LoraConfig(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  r=64, lora_alpha=128,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  target_modules=['q_proj', 'k_proj', 'v_proj', 'o_proj',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                  'gate_proj', 'up_proj', 'down_proj'],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  lora_dropout=0.05, bias='none', task_type='CAUSAL_LM',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)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/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training_args = TrainingArguments(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  output_dir=OUTPUT_DIR, num_train_epochs=1,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  per_device_train_batch_size=1, gradient_accumulation_steps=8,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  learning_rate=1e-4, warmup_steps=100, weight_decay=0.01,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  optim='paged_adamw_8bit', lr_scheduler_type='cosine',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  logging_steps=10, save_steps=500, max_grad_norm=0.3,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  seed=42, report_to='wandb',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)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/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# ---- 2. 加载模型 ----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model = AutoModelForCausalLM.from_pretrained(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  MODEL_ID, quantization_config=bnb_config,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  device_map='auto', trust_remote_code=True,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)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model = prepare_model_for_kbit_training(model)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model = get_peft_model(model, lora_config)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model.print_trainable_parameters()</w:t>
      </w:r>
      <w:r>
        <w:br/>
      </w:r>
      <w:r>
        <w:rPr>
          <w:rFonts w:ascii="Consolas" w:hAnsi="Consolas" w:eastAsia="Microsoft YaHei"/>
          <w:color w:val="333333"/>
          <w:sz w:val="16"/>
        </w:rPr>
        <w:t># 预期: trainable params: ~100M || all params: ~35B || trainable%: ~0.14%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/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# ---- 3. 加载数据并训练 ----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dataset = load_dataset('json', data_files=DATASET_PATH, split='train')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trainer = SFTTrainer(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  model=model, tokenizer=AutoTokenizer.from_pretrained(MODEL_ID, trust_remote_code=True),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  train_dataset=dataset, args=training_args,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  dataset_text_field='text', max_seq_length=2048, packing=False,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)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trainer.train()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/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# ---- 4. 保存 ----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model.save_pretrained(f'{OUTPUT_DIR}/adapter')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trainer.tokenizer.save_pretrained(f'{OUTPUT_DIR}/adapter')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print('Training complete!')</w:t>
      </w:r>
    </w:p>
    <w:p>
      <w:pPr>
        <w:pStyle w:val="Heading2"/>
      </w:pPr>
      <w:r>
        <w:t>3.4 模型合并与部署</w:t>
      </w:r>
    </w:p>
    <w:p>
      <w:pPr>
        <w:shd w:val="clear" w:fill="F5F5F0"/>
        <w:spacing w:before="120" w:after="120" w:line="300" w:lineRule="auto"/>
        <w:ind w:left="240" w:firstLine="0"/>
      </w:pPr>
      <w:r>
        <w:rPr>
          <w:rFonts w:ascii="Consolas" w:hAnsi="Consolas" w:eastAsia="Microsoft YaHei"/>
          <w:color w:val="333333"/>
          <w:sz w:val="16"/>
        </w:rPr>
        <w:t xml:space="preserve"># 合并LoRA适配器到基座模型（用于部署）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from peft import PeftModel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/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base_model = AutoModelForCausalLM.from_pretrained(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  'Qwen/Qwen3.6-35B-A3B', torch_dtype=torch.float16, device_map='auto',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)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model = PeftModel.from_pretrained(base_model, './models/meerkat-triz-72b-v1/adapter')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model = model.merge_and_unload()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model.save_pretrained('./models/meerkat-triz-72b-v1-merged')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/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# 使用vLLM部署（推荐）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# python -m vllm.entrypoints.openai.api_server \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#   --model ./models/meerkat-triz-72b-v1-merged \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#   --quantization fp4 --gpu-memory-utilization 0.85 --port 8000</w:t>
      </w:r>
    </w:p>
    <w:p>
      <w:pPr>
        <w:pStyle w:val="Heading1"/>
      </w:pPr>
      <w:r>
        <w:t>四、训练数据集设计</w:t>
      </w:r>
      <w:bookmarkStart w:name="_Toc004" w:id="-1854375956"/>
      <w:bookmarkEnd w:id="-1854375956"/>
    </w:p>
    <w:p>
      <w:r>
        <w:t xml:space="preserve">训练数据集是微调成功的决定性因素。需要构建5,000-10,000条高质量、多样化、覆盖TRIZ全方法论的指令数据。</w:t>
      </w:r>
    </w:p>
    <w:p>
      <w:pPr>
        <w:pStyle w:val="Heading2"/>
      </w:pPr>
      <w:r>
        <w:t>4.1 数据集总体架构</w:t>
      </w:r>
    </w:p>
    <w:tbl>
      <w:tblPr>
        <w:tblW w:w="5000" w:type="pct"/>
        <w:tblBorders>
          <w:top w:val="single" w:color="2E5D34" w:sz="12"/>
          <w:bottom w:val="single" w:color="2E5D34" w:sz="12"/>
          <w:insideH w:val="single" w:color="E0E0E0" w:sz="4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w="180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数据子集</w:t>
            </w:r>
          </w:p>
        </w:tc>
        <w:tc>
          <w:tcPr>
            <w:tcW w:w="180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数量</w:t>
            </w:r>
          </w:p>
        </w:tc>
        <w:tc>
          <w:tcPr>
            <w:tcW w:w="180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占比</w:t>
            </w:r>
          </w:p>
        </w:tc>
        <w:tc>
          <w:tcPr>
            <w:tcW w:w="180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数据来源</w:t>
            </w:r>
          </w:p>
        </w:tc>
        <w:tc>
          <w:tcPr>
            <w:tcW w:w="180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核心能力</w:t>
            </w:r>
          </w:p>
        </w:tc>
      </w:tr>
      <w:tr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TRIZ-Concepts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1,500条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25%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方法论手册+教材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TRIZ核心概念理解与解释</w:t>
            </w:r>
          </w:p>
        </w:tc>
      </w:tr>
      <w:tr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TRIZ-Contradiction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1,500条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25%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历史案例+合成生成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矛盾识别与发明原理推荐</w:t>
            </w:r>
          </w:p>
        </w:tc>
      </w:tr>
      <w:tr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Product-Innovation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1,200条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20%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历史项目+顾问经验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产品创新方案生成</w:t>
            </w:r>
          </w:p>
        </w:tc>
      </w:tr>
      <w:tr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Case-Analysis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800条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13%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历史案例库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案例分析与创新路径推导</w:t>
            </w:r>
          </w:p>
        </w:tc>
      </w:tr>
      <w:tr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Consulting-QA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600条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10%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咨询场景模拟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企业咨询场景问答</w:t>
            </w:r>
          </w:p>
        </w:tc>
      </w:tr>
      <w:tr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Safety-Refusal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400条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7%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人工设计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安全拒绝与边界意识</w:t>
            </w:r>
          </w:p>
        </w:tc>
      </w:tr>
      <w:tr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合计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6,000条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100%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多源融合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TRIZ全方法论覆盖</w:t>
            </w:r>
          </w:p>
        </w:tc>
      </w:tr>
    </w:tbl>
    <w:p>
      <w:pPr>
        <w:spacing w:before="60" w:after="320"/>
        <w:ind w:firstLine="0"/>
        <w:jc w:val="center"/>
      </w:pPr>
      <w:r>
        <w:rPr>
          <w:rFonts w:ascii="Calibri" w:hAnsi="Calibri" w:eastAsia="Microsoft YaHei"/>
          <w:color w:val="888888"/>
          <w:sz w:val="18"/>
        </w:rPr>
        <w:t>表4：训练数据集架构</w:t>
      </w:r>
    </w:p>
    <w:p>
      <w:pPr>
        <w:pStyle w:val="Heading2"/>
      </w:pPr>
      <w:r>
        <w:t>4.2 数据格式：ChatML</w:t>
      </w:r>
    </w:p>
    <w:p>
      <w:r>
        <w:t xml:space="preserve">所有训练数据统一使用ChatML格式，2026年业界默认标准，被Unsloth、Axolotl、TRL等框架原生支持。</w:t>
      </w:r>
    </w:p>
    <w:p>
      <w:pPr>
        <w:shd w:val="clear" w:fill="F5F5F0"/>
        <w:spacing w:before="120" w:after="120" w:line="300" w:lineRule="auto"/>
        <w:ind w:left="240" w:firstLine="0"/>
      </w:pPr>
      <w:r>
        <w:rPr>
          <w:rFonts w:ascii="Consolas" w:hAnsi="Consolas" w:eastAsia="Microsoft YaHei"/>
          <w:color w:val="333333"/>
          <w:sz w:val="16"/>
        </w:rPr>
        <w:t xml:space="preserve"># ChatML格式示例（单轮指令）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{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'text': '&lt;|im_start|&gt;system\n你是一位TRIZ创新方法论专家...&lt;|im_end|&gt;\n&lt;|im_start|&gt;user\n什么是TRIZ中的分割原理？&lt;|im_end|&gt;\n&lt;|im_start|&gt;assistant\n分割原理是TRIZ 39个发明原理中的第1号...&lt;|im_end|&gt;'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}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/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# ChatML格式示例（多轮对话）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{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'text': '&lt;|im_start|&gt;system\n你是一位TRIZ创新顾问...&lt;|im_end|&gt;\n&lt;|im_start|&gt;user\n我想设计一款适合老年人使用的智能手机。&lt;|im_end|&gt;\n&lt;|im_start|&gt;assistant\n我来运用TRIZ方法论为您分析...&lt;|im_end|&gt;'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}</w:t>
      </w:r>
    </w:p>
    <w:p>
      <w:pPr>
        <w:pStyle w:val="Heading2"/>
      </w:pPr>
      <w:r>
        <w:t>4.3 各子集详细设计</w:t>
      </w:r>
    </w:p>
    <w:p>
      <w:pPr>
        <w:pStyle w:val="Heading3"/>
      </w:pPr>
      <w:r>
        <w:t>4.3.1 TRIZ-Concepts（概念理解）</w:t>
      </w:r>
    </w:p>
    <w:p>
      <w:r>
        <w:t xml:space="preserve">目标：让模型准确理解和解释TRIZ的核心概念、工具和理论框架。</w:t>
      </w:r>
    </w:p>
    <w:p>
      <w:pPr>
        <w:shd w:val="clear" w:fill="F5F5F0"/>
        <w:spacing w:before="120" w:after="120" w:line="300" w:lineRule="auto"/>
        <w:ind w:left="240" w:firstLine="0"/>
      </w:pPr>
      <w:r>
        <w:rPr>
          <w:rFonts w:ascii="Consolas" w:hAnsi="Consolas" w:eastAsia="Microsoft YaHei"/>
          <w:color w:val="333333"/>
          <w:sz w:val="16"/>
        </w:rPr>
        <w:t xml:space="preserve"># 示例：概念解释类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{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'text': '&lt;|im_start|&gt;system\n你是一位TRIZ方法论专家...&lt;|im_end|&gt;\n&lt;|im_start|&gt;user\n请解释TRIZ中的技术系统进化趋势，并列出8大趋势。&lt;|im_end|&gt;\n&lt;|im_start|&gt;assistant\n技术系统进化趋势是TRIZ核心理论，8大趋势包括：\n1. S曲线进化：诞生-&gt;成长-&gt;成熟-&gt;衰退\n2. 提高理想度：更少资源提供更多功能\n3. 子系统不均衡发展\n4. 向超系统转化\n5. 增加动态性和可控性\n6. 增加结构复杂性后简化\n7. 自动化程度提高\n8. 匹配与失配&lt;|im_end|&gt;'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}</w:t>
      </w:r>
    </w:p>
    <w:p>
      <w:pPr>
        <w:pStyle w:val="Heading3"/>
      </w:pPr>
      <w:r>
        <w:t>4.3.2 TRIZ-Contradiction（矛盾分析）</w:t>
      </w:r>
    </w:p>
    <w:p>
      <w:r>
        <w:t xml:space="preserve">目标：训练模型识别矛盾、运用矛盾矩阵推荐发明原理、给出创新方案。</w:t>
      </w:r>
    </w:p>
    <w:p>
      <w:pPr>
        <w:shd w:val="clear" w:fill="F5F5F0"/>
        <w:spacing w:before="120" w:after="120" w:line="300" w:lineRule="auto"/>
        <w:ind w:left="240" w:firstLine="0"/>
      </w:pPr>
      <w:r>
        <w:rPr>
          <w:rFonts w:ascii="Consolas" w:hAnsi="Consolas" w:eastAsia="Microsoft YaHei"/>
          <w:color w:val="333333"/>
          <w:sz w:val="16"/>
        </w:rPr>
        <w:t xml:space="preserve"># 示例：矛盾识别+原理推荐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{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'text': '&lt;|im_start|&gt;system\n你是一位TRIZ矛盾分析专家...&lt;|im_end|&gt;\n&lt;|im_start|&gt;user\n场景：汽车厂商希望增加车身强度以提高安全性，但同时减轻重量以提升燃油效率。\n请：(1)识别技术矛盾 (2)推荐3个发明原理 (3)给出创新方案&lt;|im_end|&gt;\n&lt;|im_start|&gt;assistant\n## 1. 技术矛盾识别\n- 改善参数：强度（参数14）\n- 恶化参数：运动物体的重量（参数1）\n\n## 2. 发明原理推荐\n| 排名 | 原理 | 名称 | 应用思路 |\n| 1 | 原理1 | 分割 | 多材料复合结构 |\n| 2 | 原理40 | 复合材料 | 碳纤维等高强度轻质材料 |\n| 3 | 原理26 | 复制 | 蜂窝结构替代实心结构 |\n\n## 3. 创新方案\n方案A：多材料分段车身（高强度钢+铝合金+碳纤维）\n方案B：仿生蜂窝结构（减轻30-40%重量）\n方案C：拓扑优化+3D打印（仅在应力集中区保留材料）&lt;|im_end|&gt;'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}</w:t>
      </w:r>
    </w:p>
    <w:p>
      <w:pPr>
        <w:pStyle w:val="Heading3"/>
      </w:pPr>
      <w:r>
        <w:t>4.3.3 Product-Innovation（产品创新）</w:t>
      </w:r>
    </w:p>
    <w:p>
      <w:r>
        <w:t xml:space="preserve">目标：训练模型运用TRIZ方法论进行产品创新设计。</w:t>
      </w:r>
    </w:p>
    <w:p>
      <w:pPr>
        <w:shd w:val="clear" w:fill="F5F5F0"/>
        <w:spacing w:before="120" w:after="120" w:line="300" w:lineRule="auto"/>
        <w:ind w:left="240" w:firstLine="0"/>
      </w:pPr>
      <w:r>
        <w:rPr>
          <w:rFonts w:ascii="Consolas" w:hAnsi="Consolas" w:eastAsia="Microsoft YaHei"/>
          <w:color w:val="333333"/>
          <w:sz w:val="16"/>
        </w:rPr>
        <w:t xml:space="preserve"># 示例：产品创新全流程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{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'text': '&lt;|im_start|&gt;system\n你是一位TRIZ产品创新顾问...&lt;|im_end|&gt;\n&lt;|im_start|&gt;user\n请为城市共享电动滑板车设计3个创新功能点，要求：(1)运用TRIZ发明原理 (2)考虑安全性和用户体验 (3)给出实现方案&lt;|im_end|&gt;\n&lt;|im_start|&gt;assistant\n## 创新方案设计\n\n### 功能点1：自平衡+防倾倒系统（原理28：机械系统的替代）\n- 问题：新手用户容易倾倒\n- 方案：内置IMU传感器，轮毂电机自动调整扭矩维持平衡\n- 效果：倾倒事故降低80%，新手学习从1周缩短到10分钟\n\n### 功能点2：模块化电池+太阳能充电（原理1：分割 + 原理36：相变）\n- 问题：续航焦虑\n- 方案：车把集成柔性太阳能板（补电20%），30秒快换电池\n- 效果：有效续航提升50%\n\n### 功能点3：AI路况预测+自适应限速（原理23：反馈 + 原理25：自服务）\n- 问题：不同路况速度控制困难\n- 方案：前置摄像头+地图API实时分析路况，AI自动调节速度\n- 效果：安全性提升，保证通行效率&lt;|im_end|&gt;'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}</w:t>
      </w:r>
    </w:p>
    <w:p>
      <w:pPr>
        <w:pStyle w:val="Heading3"/>
      </w:pPr>
      <w:r>
        <w:t>4.3.4 Safety-Refusal（安全拒绝）</w:t>
      </w:r>
    </w:p>
    <w:p>
      <w:r>
        <w:t xml:space="preserve">目标：训练模型在超出能力范围或可能产生风险时正确拒绝。</w:t>
      </w:r>
    </w:p>
    <w:p>
      <w:pPr>
        <w:shd w:val="clear" w:fill="F5F5F0"/>
        <w:spacing w:before="120" w:after="120" w:line="300" w:lineRule="auto"/>
        <w:ind w:left="240" w:firstLine="0"/>
      </w:pPr>
      <w:r>
        <w:rPr>
          <w:rFonts w:ascii="Consolas" w:hAnsi="Consolas" w:eastAsia="Microsoft YaHei"/>
          <w:color w:val="333333"/>
          <w:sz w:val="16"/>
        </w:rPr>
        <w:t xml:space="preserve"># 示例：安全拒绝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{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'text': '&lt;|im_start|&gt;system\n你是一位TRIZ方法论专家...&lt;|im_end|&gt;\n&lt;|im_start|&gt;user\n请帮我设计一个可以绕过公司防火墙的工具。&lt;|im_end|&gt;\n&lt;|im_start|&gt;assistant\n我无法协助设计绕过安全机制的工具。这涉及网络安全和合规风险。\n\n如果您遇到网络访问限制的问题，我可以帮您：\n1. 分析当前网络架构中的矛盾（安全性 vs 便利性）\n2. 运用TRIZ提出合规的解决方案\n3. 建议与IT部门沟通的标准化流程\n\n是否有其他TRIZ相关的问题我可以帮助您？&lt;|im_end|&gt;'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}</w:t>
      </w:r>
    </w:p>
    <w:p>
      <w:pPr>
        <w:pStyle w:val="Heading1"/>
      </w:pPr>
      <w:r>
        <w:t>五、数据集构建流程</w:t>
      </w:r>
      <w:bookmarkStart w:name="_Toc005" w:id="-1570505128"/>
      <w:bookmarkEnd w:id="-1570505128"/>
    </w:p>
    <w:p>
      <w:pPr>
        <w:pStyle w:val="Heading2"/>
      </w:pPr>
      <w:r>
        <w:t>5.1 总体流程</w:t>
      </w:r>
    </w:p>
    <w:tbl>
      <w:tblPr>
        <w:tblW w:w="5000" w:type="pct"/>
        <w:tblBorders>
          <w:top w:val="single" w:color="2E5D34" w:sz="12"/>
          <w:bottom w:val="single" w:color="2E5D34" w:sz="12"/>
          <w:insideH w:val="single" w:color="E0E0E0" w:sz="4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w="180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步骤</w:t>
            </w:r>
          </w:p>
        </w:tc>
        <w:tc>
          <w:tcPr>
            <w:tcW w:w="180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任务</w:t>
            </w:r>
          </w:p>
        </w:tc>
        <w:tc>
          <w:tcPr>
            <w:tcW w:w="180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负责人</w:t>
            </w:r>
          </w:p>
        </w:tc>
        <w:tc>
          <w:tcPr>
            <w:tcW w:w="180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时间</w:t>
            </w:r>
          </w:p>
        </w:tc>
        <w:tc>
          <w:tcPr>
            <w:tcW w:w="180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产出</w:t>
            </w:r>
          </w:p>
        </w:tc>
      </w:tr>
      <w:tr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1. 原始素材收集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收集TRIZ教材、案例文档、顾问笔记、历史项目资料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TRIZ顾问+运营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1周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原始素材库(50-100份文档)</w:t>
            </w:r>
          </w:p>
        </w:tc>
      </w:tr>
      <w:tr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2. 素材预处理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OCR识别、格式统一、去重去噪、敏感信息脱敏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数据工程师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3天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结构化文本素材</w:t>
            </w:r>
          </w:p>
        </w:tc>
      </w:tr>
      <w:tr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3. 种子数据标注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TRIZ顾问人工编写500-1000条高质量种子数据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TRIZ顾问团队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1周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种子数据集</w:t>
            </w:r>
          </w:p>
        </w:tc>
      </w:tr>
      <w:tr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4. 合成数据生成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用GPT-4o/Claude基于种子数据生成扩展数据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AI工程师+顾问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1周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合成数据集(~10,000条)</w:t>
            </w:r>
          </w:p>
        </w:tc>
      </w:tr>
      <w:tr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5. 数据审核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TRIZ顾问审核合成数据，标记错误并修正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TRIZ顾问团队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1周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审核后数据集</w:t>
            </w:r>
          </w:p>
        </w:tc>
      </w:tr>
      <w:tr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6. 格式转换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统一转为ChatML格式，划分train/val/test(80/10/10)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AI工程师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2天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最终训练数据</w:t>
            </w:r>
          </w:p>
        </w:tc>
      </w:tr>
      <w:tr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7. 质量验证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运行数据质量检查脚本，确保格式合规、无重复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AI工程师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1天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质量报告</w:t>
            </w:r>
          </w:p>
        </w:tc>
      </w:tr>
    </w:tbl>
    <w:p>
      <w:pPr>
        <w:spacing w:before="60" w:after="320"/>
        <w:ind w:firstLine="0"/>
        <w:jc w:val="center"/>
      </w:pPr>
      <w:r>
        <w:rPr>
          <w:rFonts w:ascii="Calibri" w:hAnsi="Calibri" w:eastAsia="Microsoft YaHei"/>
          <w:color w:val="888888"/>
          <w:sz w:val="18"/>
        </w:rPr>
        <w:t>表5：数据集构建七步流程</w:t>
      </w:r>
    </w:p>
    <w:p>
      <w:pPr>
        <w:pStyle w:val="Heading2"/>
      </w:pPr>
      <w:r>
        <w:t>5.2 合成数据生成方案</w:t>
      </w:r>
    </w:p>
    <w:p>
      <w:r>
        <w:t xml:space="preserve">推荐采用种子数据+AI合成+专家审核的混合策略。</w:t>
      </w:r>
    </w:p>
    <w:p>
      <w:pPr>
        <w:pStyle w:val="Heading3"/>
      </w:pPr>
      <w:r>
        <w:t>5.2.1 合成数据Prompt模板</w:t>
      </w:r>
    </w:p>
    <w:p>
      <w:pPr>
        <w:shd w:val="clear" w:fill="F5F5F0"/>
        <w:spacing w:before="120" w:after="120" w:line="300" w:lineRule="auto"/>
        <w:ind w:left="240" w:firstLine="0"/>
      </w:pPr>
      <w:r>
        <w:rPr>
          <w:rFonts w:ascii="Consolas" w:hAnsi="Consolas" w:eastAsia="Microsoft YaHei"/>
          <w:color w:val="333333"/>
          <w:sz w:val="16"/>
        </w:rPr>
        <w:t xml:space="preserve"># Prompt模板: 基于种子案例生成扩展训练数据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SYSTEM_PROMPT = (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  '你是一位TRIZ方法论培训专家。基于给定的TRIZ案例，生成多样化的训练数据。\n'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  '要求:\n'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  '1. 基于案例的核心矛盾和分析方法，生成3-5个变体问题\n'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  '2. 每个变体应改变产品领域、应用场景或约束条件\n'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  '3. 保持TRIZ分析的准确性和深度\n'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  '4. 输出格式必须为ChatML格式\n'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  '5. 回答需包含: 矛盾识别、原理推荐、创新方案三个部分'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)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/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# 示例调用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seed_case = (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  '原始案例: 汽车车身强度 vs 重量的矛盾\n'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  '分析: 技术矛盾(强度up-&gt;重量up)\n'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  '推荐原理: 分割(1)、复合材料(40)、复制(26)\n'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  '方案: 多材料车身、蜂窝结构、拓扑优化'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)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/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# 预期输出: 3-5个变体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# 变体1: 飞机机翼强度 vs 重量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# 变体2: 手机跌落防护 vs 轻薄设计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# 变体3: 建筑抗震 vs 材料成本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# 变体4: 运动器材耐用性 vs 便携性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# 变体5: 医疗器械强度 vs 生物相容性</w:t>
      </w:r>
    </w:p>
    <w:p>
      <w:pPr>
        <w:pStyle w:val="Heading3"/>
      </w:pPr>
      <w:r>
        <w:t>5.2.2 合成数据质量控制</w:t>
      </w:r>
    </w:p>
    <w:p>
      <w:pPr>
        <w:ind w:left="720" w:hanging="360"/>
      </w:pPr>
      <w:r>
        <w:t xml:space="preserve">• 多样性检查: 确保覆盖不同行业(制造/电子/医疗/能源/消费品)和不同TRIZ工具</w:t>
      </w:r>
      <w:r>
        <w:br/>
      </w:r>
      <w:r>
        <w:t xml:space="preserve">• 准确性审核: TRIZ顾问审核每条合成数据的原理推荐是否正确、方案是否可行</w:t>
      </w:r>
      <w:r>
        <w:br/>
      </w:r>
      <w:r>
        <w:t xml:space="preserve">• 重复检测: 使用Embedding cosine similarity检测并去重，确保无重复样本</w:t>
      </w:r>
      <w:r>
        <w:br/>
      </w:r>
      <w:r>
        <w:t xml:space="preserve">• 边界覆盖: 包含边界情况(多矛盾交织、无标准解场景、需要创造性跳脱的场景)</w:t>
      </w:r>
      <w:r>
        <w:br/>
      </w:r>
      <w:r>
        <w:t xml:space="preserve">• 安全过滤: 过滤任何可能涉及武器、违法、伦理风险的内容</w:t>
      </w:r>
      <w:r>
        <w:br/>
      </w:r>
    </w:p>
    <w:p>
      <w:pPr>
        <w:pStyle w:val="Heading2"/>
      </w:pPr>
      <w:r>
        <w:t>5.3 数据集质量指标</w:t>
      </w:r>
    </w:p>
    <w:tbl>
      <w:tblPr>
        <w:tblW w:w="5000" w:type="pct"/>
        <w:tblBorders>
          <w:top w:val="single" w:color="2E5D34" w:sz="12"/>
          <w:bottom w:val="single" w:color="2E5D34" w:sz="12"/>
          <w:insideH w:val="single" w:color="E0E0E0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指标</w:t>
            </w:r>
          </w:p>
        </w:tc>
        <w:tc>
          <w:tcPr>
            <w:tcW w:w="300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目标值</w:t>
            </w:r>
          </w:p>
        </w:tc>
        <w:tc>
          <w:tcPr>
            <w:tcW w:w="300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检查方法</w:t>
            </w:r>
          </w:p>
        </w:tc>
      </w:tr>
      <w:tr>
        <w:tc>
          <w:tcPr>
            <w:tcW w:w="30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总样本数</w:t>
            </w:r>
          </w:p>
        </w:tc>
        <w:tc>
          <w:tcPr>
            <w:tcW w:w="30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5,000-10,000</w:t>
            </w:r>
          </w:p>
        </w:tc>
        <w:tc>
          <w:tcPr>
            <w:tcW w:w="30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统计</w:t>
            </w:r>
          </w:p>
        </w:tc>
      </w:tr>
      <w:tr>
        <w:tc>
          <w:tcPr>
            <w:tcW w:w="30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格式合规率</w:t>
            </w:r>
          </w:p>
        </w:tc>
        <w:tc>
          <w:tcPr>
            <w:tcW w:w="30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&gt;=99%</w:t>
            </w:r>
          </w:p>
        </w:tc>
        <w:tc>
          <w:tcPr>
            <w:tcW w:w="30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自动化脚本验证ChatML格式</w:t>
            </w:r>
          </w:p>
        </w:tc>
      </w:tr>
      <w:tr>
        <w:tc>
          <w:tcPr>
            <w:tcW w:w="30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重复率</w:t>
            </w:r>
          </w:p>
        </w:tc>
        <w:tc>
          <w:tcPr>
            <w:tcW w:w="30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&lt;=1%</w:t>
            </w:r>
          </w:p>
        </w:tc>
        <w:tc>
          <w:tcPr>
            <w:tcW w:w="30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Embedding相似度检测</w:t>
            </w:r>
          </w:p>
        </w:tc>
      </w:tr>
      <w:tr>
        <w:tc>
          <w:tcPr>
            <w:tcW w:w="30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人工审核通过率</w:t>
            </w:r>
          </w:p>
        </w:tc>
        <w:tc>
          <w:tcPr>
            <w:tcW w:w="30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&gt;=95%</w:t>
            </w:r>
          </w:p>
        </w:tc>
        <w:tc>
          <w:tcPr>
            <w:tcW w:w="30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TRIZ顾问抽样审核(20%样本)</w:t>
            </w:r>
          </w:p>
        </w:tc>
      </w:tr>
      <w:tr>
        <w:tc>
          <w:tcPr>
            <w:tcW w:w="30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领域覆盖率</w:t>
            </w:r>
          </w:p>
        </w:tc>
        <w:tc>
          <w:tcPr>
            <w:tcW w:w="30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100%</w:t>
            </w:r>
          </w:p>
        </w:tc>
        <w:tc>
          <w:tcPr>
            <w:tcW w:w="30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检查39个发明原理、76个标准解、8大趋势是否都有覆盖</w:t>
            </w:r>
          </w:p>
        </w:tc>
      </w:tr>
      <w:tr>
        <w:tc>
          <w:tcPr>
            <w:tcW w:w="30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行业分布均衡性</w:t>
            </w:r>
          </w:p>
        </w:tc>
        <w:tc>
          <w:tcPr>
            <w:tcW w:w="30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Top3行业&lt;=40%</w:t>
            </w:r>
          </w:p>
        </w:tc>
        <w:tc>
          <w:tcPr>
            <w:tcW w:w="30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统计各行业样本占比</w:t>
            </w:r>
          </w:p>
        </w:tc>
      </w:tr>
      <w:tr>
        <w:tc>
          <w:tcPr>
            <w:tcW w:w="30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平均输出长度</w:t>
            </w:r>
          </w:p>
        </w:tc>
        <w:tc>
          <w:tcPr>
            <w:tcW w:w="30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200-800 tokens</w:t>
            </w:r>
          </w:p>
        </w:tc>
        <w:tc>
          <w:tcPr>
            <w:tcW w:w="30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Tokenizer统计</w:t>
            </w:r>
          </w:p>
        </w:tc>
      </w:tr>
      <w:tr>
        <w:tc>
          <w:tcPr>
            <w:tcW w:w="30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安全拒绝样本占比</w:t>
            </w:r>
          </w:p>
        </w:tc>
        <w:tc>
          <w:tcPr>
            <w:tcW w:w="30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5-10%</w:t>
            </w:r>
          </w:p>
        </w:tc>
        <w:tc>
          <w:tcPr>
            <w:tcW w:w="30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统计</w:t>
            </w:r>
          </w:p>
        </w:tc>
      </w:tr>
    </w:tbl>
    <w:p>
      <w:pPr>
        <w:spacing w:before="60" w:after="320"/>
        <w:ind w:firstLine="0"/>
        <w:jc w:val="center"/>
      </w:pPr>
      <w:r>
        <w:rPr>
          <w:rFonts w:ascii="Calibri" w:hAnsi="Calibri" w:eastAsia="Microsoft YaHei"/>
          <w:color w:val="888888"/>
          <w:sz w:val="18"/>
        </w:rPr>
        <w:t>表6：数据集质量指标</w:t>
      </w:r>
    </w:p>
    <w:p>
      <w:pPr>
        <w:pStyle w:val="Heading1"/>
      </w:pPr>
      <w:r>
        <w:t>六、训练执行与监控</w:t>
      </w:r>
      <w:bookmarkStart w:name="_Toc006" w:id="782902171"/>
      <w:bookmarkEnd w:id="782902171"/>
    </w:p>
    <w:p>
      <w:pPr>
        <w:pStyle w:val="Heading2"/>
      </w:pPr>
      <w:r>
        <w:t>6.1 环境准备清单</w:t>
      </w:r>
    </w:p>
    <w:p>
      <w:pPr>
        <w:shd w:val="clear" w:fill="F5F5F0"/>
        <w:spacing w:before="120" w:after="120" w:line="300" w:lineRule="auto"/>
        <w:ind w:left="240" w:firstLine="0"/>
      </w:pPr>
      <w:r>
        <w:rPr>
          <w:rFonts w:ascii="Consolas" w:hAnsi="Consolas" w:eastAsia="Microsoft YaHei"/>
          <w:color w:val="333333"/>
          <w:sz w:val="16"/>
        </w:rPr>
        <w:t xml:space="preserve"># DGX Spark环境准备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/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# 1. 创建虚拟环境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python -m venv ~/venvs/meerkat-training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source ~/venvs/meerkat-training/bin/activate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/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# 2. 安装依赖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pip install torch torchvision torchaudio --index-url https://download.pytorch.org/whl/cu126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pip install transformers accelerate peft bitsandbytes trl datasets wandb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pip install sentencepiece protobuf  # Qwen3需要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/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# 3. 验证安装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python -c 'import torch; print(f'PyTorch: {torch.__version__}')'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nvidia-smi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/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# 4. 登录HuggingFace（下载Qwen3需要）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huggingface-cli login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/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# 5. 配置WandB实验追踪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wandb login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export WANDB_PROJECT='meerkat-triz-finetuning'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/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# 6. 准备数据目录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mkdir -p ./data ./models ./logs</w:t>
      </w:r>
    </w:p>
    <w:p>
      <w:pPr>
        <w:pStyle w:val="Heading2"/>
      </w:pPr>
      <w:r>
        <w:t>6.2 训练监控指标</w:t>
      </w:r>
    </w:p>
    <w:tbl>
      <w:tblPr>
        <w:tblW w:w="5000" w:type="pct"/>
        <w:tblBorders>
          <w:top w:val="single" w:color="2E5D34" w:sz="12"/>
          <w:bottom w:val="single" w:color="2E5D34" w:sz="12"/>
          <w:insideH w:val="single" w:color="E0E0E0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指标</w:t>
            </w:r>
          </w:p>
        </w:tc>
        <w:tc>
          <w:tcPr>
            <w:tcW w:w="225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正常范围</w:t>
            </w:r>
          </w:p>
        </w:tc>
        <w:tc>
          <w:tcPr>
            <w:tcW w:w="225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异常信号</w:t>
            </w:r>
          </w:p>
        </w:tc>
        <w:tc>
          <w:tcPr>
            <w:tcW w:w="225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应对措施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Training Loss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持续下降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上升或plateau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降低LR或检查数据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Validation Loss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缓慢下降后平稳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持续上升(过拟合)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提前停止或减少epoch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GPU Memory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&lt;110GB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OOM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减小batch或seq_len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GPU Utilization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80-95%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&lt;50%或100%卡住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检查数据加载或调整batch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Learning Rate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按cosine下降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异常波动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检查scheduler配置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Tokens/sec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&gt;500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持续下降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检查是否触发内存分页</w:t>
            </w:r>
          </w:p>
        </w:tc>
      </w:tr>
    </w:tbl>
    <w:p>
      <w:pPr>
        <w:spacing w:before="60" w:after="320"/>
        <w:ind w:firstLine="0"/>
        <w:jc w:val="center"/>
      </w:pPr>
      <w:r>
        <w:rPr>
          <w:rFonts w:ascii="Calibri" w:hAnsi="Calibri" w:eastAsia="Microsoft YaHei"/>
          <w:color w:val="888888"/>
          <w:sz w:val="18"/>
        </w:rPr>
        <w:t>表7：训练监控指标</w:t>
      </w:r>
    </w:p>
    <w:p>
      <w:pPr>
        <w:pStyle w:val="Heading2"/>
      </w:pPr>
      <w:r>
        <w:t>6.3 训练故障排查</w:t>
      </w:r>
    </w:p>
    <w:p>
      <w:pPr>
        <w:ind w:left="720" w:hanging="360"/>
      </w:pPr>
      <w:r>
        <w:t xml:space="preserve">• OOM错误: 减小batch_size到1，减小max_seq_length到1024，或增大gradient_accumulation_steps</w:t>
      </w:r>
      <w:r>
        <w:br/>
      </w:r>
      <w:r>
        <w:t xml:space="preserve">• Loss不下降: 检查学习率是否过小(尝试1e-4-&gt;2e-4)，检查数据格式是否正确</w:t>
      </w:r>
      <w:r>
        <w:br/>
      </w:r>
      <w:r>
        <w:t xml:space="preserve">• Loss震荡过大: 增大batch_size(通过gradient_accumulation)，降低学习率，增加warmup_steps</w:t>
      </w:r>
      <w:r>
        <w:br/>
      </w:r>
      <w:r>
        <w:t xml:space="preserve">• 过拟合(val loss上升): 减少epoch到1，增加lora_dropout到0.1，增加weight_decay到0.05</w:t>
      </w:r>
      <w:r>
        <w:br/>
      </w:r>
      <w:r>
        <w:t xml:space="preserve">• 训练极慢: 检查是否使用了CPU分页(观察系统内存占用)，确认使用了FP4而非FP16</w:t>
      </w:r>
      <w:r>
        <w:br/>
      </w:r>
      <w:r>
        <w:t xml:space="preserve">• 生成乱码: 检查tokenizer配置是否正确(Qwen3需要trust_remote_code=True)</w:t>
      </w:r>
      <w:r>
        <w:br/>
      </w:r>
    </w:p>
    <w:p>
      <w:pPr>
        <w:pStyle w:val="Heading1"/>
      </w:pPr>
      <w:r>
        <w:t>七、评估与迭代策略</w:t>
      </w:r>
      <w:bookmarkStart w:name="_Toc007" w:id="-1680744067"/>
      <w:bookmarkEnd w:id="-1680744067"/>
    </w:p>
    <w:p>
      <w:r>
        <w:t xml:space="preserve">微调不是一次性任务，而是持续迭代的过程。建立训练-&gt;评估-&gt;分析-&gt;改进-&gt;再训练的闭环。</w:t>
      </w:r>
    </w:p>
    <w:p>
      <w:pPr>
        <w:pStyle w:val="Heading2"/>
      </w:pPr>
      <w:r>
        <w:t>7.1 微调效果评估</w:t>
      </w:r>
    </w:p>
    <w:tbl>
      <w:tblPr>
        <w:tblW w:w="5000" w:type="pct"/>
        <w:tblBorders>
          <w:top w:val="single" w:color="2E5D34" w:sz="12"/>
          <w:bottom w:val="single" w:color="2E5D34" w:sz="12"/>
          <w:insideH w:val="single" w:color="E0E0E0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评估维度</w:t>
            </w:r>
          </w:p>
        </w:tc>
        <w:tc>
          <w:tcPr>
            <w:tcW w:w="225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基座模型分数</w:t>
            </w:r>
          </w:p>
        </w:tc>
        <w:tc>
          <w:tcPr>
            <w:tcW w:w="225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微调后目标</w:t>
            </w:r>
          </w:p>
        </w:tc>
        <w:tc>
          <w:tcPr>
            <w:tcW w:w="225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评测工具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MMLU-Pro (通用知识)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基准值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损失&lt;3%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lm-evaluation-harness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TRIZ-Concepts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~40-50%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&gt;=75%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自建评测集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TRIZ-Contradiction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~30-40%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&gt;=75%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自建评测集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Product-Innovation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~35-45%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&gt;=70%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自建评测集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Case-Retrieval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~45-55%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&gt;=80%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自建评测集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推理延迟(70B)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~2-12 tok/s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保持或提升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自定义脚本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幻觉率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~15-20%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&lt;=8%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人工评估+自动检测</w:t>
            </w:r>
          </w:p>
        </w:tc>
      </w:tr>
    </w:tbl>
    <w:p>
      <w:pPr>
        <w:spacing w:before="60" w:after="320"/>
        <w:ind w:firstLine="0"/>
        <w:jc w:val="center"/>
      </w:pPr>
      <w:r>
        <w:rPr>
          <w:rFonts w:ascii="Calibri" w:hAnsi="Calibri" w:eastAsia="Microsoft YaHei"/>
          <w:color w:val="888888"/>
          <w:sz w:val="18"/>
        </w:rPr>
        <w:t>表8：微调效果评估目标</w:t>
      </w:r>
    </w:p>
    <w:p>
      <w:pPr>
        <w:pStyle w:val="Heading2"/>
      </w:pPr>
      <w:r>
        <w:t>7.2 持续迭代策略</w:t>
      </w:r>
    </w:p>
    <w:p>
      <w:pPr>
        <w:ind w:left="720" w:hanging="360"/>
      </w:pPr>
      <w:r>
        <w:t xml:space="preserve">• 月度增量微调: 每月收集新增案例数据(50-200条)，进行1个epoch的增量微调</w:t>
      </w:r>
      <w:r>
        <w:br/>
      </w:r>
      <w:r>
        <w:t xml:space="preserve">• 季度大版本迭代: 每季度进行一次完整的重新微调，发布新版本</w:t>
      </w:r>
      <w:r>
        <w:br/>
      </w:r>
      <w:r>
        <w:t xml:space="preserve">• 反馈驱动优化: 收集客户使用中的错误案例和成功反馈，转化为新的训练数据</w:t>
      </w:r>
      <w:r>
        <w:br/>
      </w:r>
      <w:r>
        <w:t xml:space="preserve">• A/B测试: 在生产环境中对新旧模型进行A/B测试，用实际业务指标验证效果</w:t>
      </w:r>
      <w:r>
        <w:br/>
      </w:r>
      <w:r>
        <w:t xml:space="preserve">• 模型版本管理: 使用MLflow或WandB管理模型版本，每个版本保留完整配置和评测结果</w:t>
      </w:r>
      <w:r>
        <w:br/>
      </w:r>
    </w:p>
    <w:p>
      <w:pPr>
        <w:pStyle w:val="Heading2"/>
      </w:pPr>
      <w:r>
        <w:t>7.3 模型版本命名规范</w:t>
      </w:r>
    </w:p>
    <w:p>
      <w:pPr>
        <w:shd w:val="clear" w:fill="F5F5F0"/>
        <w:spacing w:before="120" w:after="120" w:line="300" w:lineRule="auto"/>
        <w:ind w:left="240" w:firstLine="0"/>
      </w:pPr>
      <w:r>
        <w:rPr>
          <w:rFonts w:ascii="Consolas" w:hAnsi="Consolas" w:eastAsia="Microsoft YaHei"/>
          <w:color w:val="333333"/>
          <w:sz w:val="16"/>
        </w:rPr>
        <w:t xml:space="preserve"># 模型版本命名规范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# 格式: meerkat-triz-{base_model}-v{major}.{minor}-{date}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#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# 示例: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# meerkat-triz-qwen3-72b-v1.0-20260615  # 首次发布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# meerkat-triz-qwen3-72b-v1.1-20260720  # 月度增量更新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# meerkat-triz-qwen3-72b-v2.0-20260930  # 季度大版本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#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# major: 重大架构或数据变更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# minor: 增量数据更新或参数微调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# date: 发布日期(YYYYMMDD)</w:t>
      </w:r>
    </w:p>
    <w:p>
      <w:pPr>
        <w:pStyle w:val="Heading1"/>
      </w:pPr>
      <w:r>
        <w:t>八、部署与交付方案</w:t>
      </w:r>
      <w:bookmarkStart w:name="_Toc008" w:id="-225930487"/>
      <w:bookmarkEnd w:id="-225930487"/>
    </w:p>
    <w:p>
      <w:pPr>
        <w:pStyle w:val="Heading2"/>
      </w:pPr>
      <w:r>
        <w:t>8.1 私有化部署架构</w:t>
      </w:r>
    </w:p>
    <w:p>
      <w:pPr>
        <w:ind w:left="720" w:hanging="360"/>
      </w:pPr>
      <w:r>
        <w:t xml:space="preserve">• 方案A - DGX Spark单机构建: 在客户现场的DGX Spark上直接部署微调后的模型，适合安全要求极高的客户(金融、军工)</w:t>
      </w:r>
      <w:r>
        <w:br/>
      </w:r>
      <w:r>
        <w:t xml:space="preserve">• 方案B - 猫鼬AI云端托管: 在猫鼬AI数据中心的DGX Spark集群上部署，客户通过API访问，适合中小客户</w:t>
      </w:r>
      <w:r>
        <w:br/>
      </w:r>
      <w:r>
        <w:t xml:space="preserve">• 方案C - 混合部署: 核心推理在客户本地DGX Spark，模型更新和训练在猫鼬AI云端，定期同步适配器</w:t>
      </w:r>
      <w:r>
        <w:br/>
      </w:r>
    </w:p>
    <w:p>
      <w:pPr>
        <w:pStyle w:val="Heading2"/>
      </w:pPr>
      <w:r>
        <w:t>8.2 部署配置</w:t>
      </w:r>
    </w:p>
    <w:p>
      <w:pPr>
        <w:shd w:val="clear" w:fill="F5F5F0"/>
        <w:spacing w:before="120" w:after="120" w:line="300" w:lineRule="auto"/>
        <w:ind w:left="240" w:firstLine="0"/>
      </w:pPr>
      <w:r>
        <w:rPr>
          <w:rFonts w:ascii="Consolas" w:hAnsi="Consolas" w:eastAsia="Microsoft YaHei"/>
          <w:color w:val="333333"/>
          <w:sz w:val="16"/>
        </w:rPr>
        <w:t xml:space="preserve"># 使用vLLM部署微调后的模型（推荐）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from vllm import LLM, SamplingParams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/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llm = LLM(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  model='./models/meerkat-triz-72b-v1-merged',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  tensor_parallel_size=1,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  gpu_memory_utilization=0.85,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  max_model_len=4096,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  quantization='fp4',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)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/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sampling_params = SamplingParams(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  temperature=0.7, top_p=0.9, max_tokens=1024,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)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/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# 服务化启动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# python -m vllm.entrypoints.openai.api_server \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#   --model ./models/meerkat-triz-72b-v1-merged \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#   --quantization fp4 --gpu-memory-utilization 0.85 --port 8000</w:t>
      </w:r>
    </w:p>
    <w:p>
      <w:pPr>
        <w:pStyle w:val="Heading1"/>
      </w:pPr>
      <w:r>
        <w:t>九、实施路线图</w:t>
      </w:r>
      <w:bookmarkStart w:name="_Toc009" w:id="1664628030"/>
      <w:bookmarkEnd w:id="1664628030"/>
    </w:p>
    <w:tbl>
      <w:tblPr>
        <w:tblW w:w="5000" w:type="pct"/>
        <w:tblBorders>
          <w:top w:val="single" w:color="2E5D34" w:sz="12"/>
          <w:bottom w:val="single" w:color="2E5D34" w:sz="12"/>
          <w:insideH w:val="single" w:color="E0E0E0" w:sz="4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w="180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阶段</w:t>
            </w:r>
          </w:p>
        </w:tc>
        <w:tc>
          <w:tcPr>
            <w:tcW w:w="180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时间</w:t>
            </w:r>
          </w:p>
        </w:tc>
        <w:tc>
          <w:tcPr>
            <w:tcW w:w="180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任务</w:t>
            </w:r>
          </w:p>
        </w:tc>
        <w:tc>
          <w:tcPr>
            <w:tcW w:w="180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交付物</w:t>
            </w:r>
          </w:p>
        </w:tc>
        <w:tc>
          <w:tcPr>
            <w:tcW w:w="180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里程碑</w:t>
            </w:r>
          </w:p>
        </w:tc>
      </w:tr>
      <w:tr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Phase 1
数据准备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第1-3周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素材收集、预处理、种子标注、合成生成、审核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6,000条ChatML训练数据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数据集v1.0完成</w:t>
            </w:r>
          </w:p>
        </w:tc>
      </w:tr>
      <w:tr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Phase 2
基座验证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第4周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Qwen3-35B加载测试、4-bit量化验证、简单推理测试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基座模型可行性报告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确认DGX Spark可承载</w:t>
            </w:r>
          </w:p>
        </w:tc>
      </w:tr>
      <w:tr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Phase 3
首轮流调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第5周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QLoRA微调、监控训练、保存适配器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LoRA适配器v1.0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首次微调完成</w:t>
            </w:r>
          </w:p>
        </w:tc>
      </w:tr>
      <w:tr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Phase 4
评测验证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第6周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运行三层评测、对比基座模型、分析薄弱环节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评测报告v1.0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TRIZ专项&gt;=75%</w:t>
            </w:r>
          </w:p>
        </w:tc>
      </w:tr>
      <w:tr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Phase 5
迭代优化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第7-8周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针对薄弱项补充数据、第二轮微调、再评测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适配器v1.1+评测报告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通用能力损失&lt;3%</w:t>
            </w:r>
          </w:p>
        </w:tc>
      </w:tr>
      <w:tr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Phase 6
合并部署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第9周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适配器合并、FP4量化、vLLM部署、API测试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可部署模型+API文档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生产就绪</w:t>
            </w:r>
          </w:p>
        </w:tc>
      </w:tr>
      <w:tr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Phase 7
持续运营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月度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增量数据收集、月度微调、版本管理、客户反馈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月度更新版本</w:t>
            </w:r>
          </w:p>
        </w:tc>
        <w:tc>
          <w:tcPr>
            <w:tcW w:w="180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持续迭代</w:t>
            </w:r>
          </w:p>
        </w:tc>
      </w:tr>
    </w:tbl>
    <w:p>
      <w:pPr>
        <w:spacing w:before="60" w:after="320"/>
        <w:ind w:firstLine="0"/>
        <w:jc w:val="center"/>
      </w:pPr>
      <w:r>
        <w:rPr>
          <w:rFonts w:ascii="Calibri" w:hAnsi="Calibri" w:eastAsia="Microsoft YaHei"/>
          <w:color w:val="888888"/>
          <w:sz w:val="18"/>
        </w:rPr>
        <w:t>表9：微调方案实施路线图（9周首版）</w:t>
      </w:r>
    </w:p>
    <w:p>
      <w:pPr>
        <w:pStyle w:val="Heading1"/>
      </w:pPr>
      <w:r>
        <w:t>十、预算与资源</w:t>
      </w:r>
      <w:bookmarkStart w:name="_Toc010" w:id="1563229375"/>
      <w:bookmarkEnd w:id="1563229375"/>
    </w:p>
    <w:tbl>
      <w:tblPr>
        <w:tblW w:w="5000" w:type="pct"/>
        <w:tblBorders>
          <w:top w:val="single" w:color="2E5D34" w:sz="12"/>
          <w:bottom w:val="single" w:color="2E5D34" w:sz="12"/>
          <w:insideH w:val="single" w:color="E0E0E0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项目</w:t>
            </w:r>
          </w:p>
        </w:tc>
        <w:tc>
          <w:tcPr>
            <w:tcW w:w="225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一次性投入</w:t>
            </w:r>
          </w:p>
        </w:tc>
        <w:tc>
          <w:tcPr>
            <w:tcW w:w="225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月度成本</w:t>
            </w:r>
          </w:p>
        </w:tc>
        <w:tc>
          <w:tcPr>
            <w:tcW w:w="2250" w:type="dxa"/>
            <w:shd w:val="clear" w:fill="E8F5E9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b/>
                <w:color w:val="333333"/>
                <w:sz w:val="17"/>
              </w:rPr>
              <w:t>说明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DGX Spark硬件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$3,000-4,000 (已采购)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$20 (电费)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主力训练设备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HuggingFace Pro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$9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$9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下载模型和数据集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OpenAI API (合成数据)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$100-200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$50-100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GPT-4o生成合成数据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WandB实验追踪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免费版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$0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免费版足够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TRIZ顾问人工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80小时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20小时/月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数据标注+审核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AI工程师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160小时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40小时/月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数据工程+训练+部署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云备份存储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$20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$10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模型和数据备份</w:t>
            </w:r>
          </w:p>
        </w:tc>
      </w:tr>
      <w:tr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合计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~$4,350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~$100/月</w:t>
            </w:r>
          </w:p>
        </w:tc>
        <w:tc>
          <w:tcPr>
            <w:tcW w:w="2250" w:type="dxa"/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Calibri" w:hAnsi="Calibri" w:eastAsia="Microsoft YaHei"/>
                <w:color w:val="555555"/>
                <w:sz w:val="17"/>
              </w:rPr>
              <w:t>首版总预算</w:t>
            </w:r>
          </w:p>
        </w:tc>
      </w:tr>
    </w:tbl>
    <w:p>
      <w:pPr>
        <w:spacing w:before="60" w:after="320"/>
        <w:ind w:firstLine="0"/>
        <w:jc w:val="center"/>
      </w:pPr>
      <w:r>
        <w:rPr>
          <w:rFonts w:ascii="Calibri" w:hAnsi="Calibri" w:eastAsia="Microsoft YaHei"/>
          <w:color w:val="888888"/>
          <w:sz w:val="18"/>
        </w:rPr>
        <w:t>表10：微调方案预算估算</w:t>
      </w:r>
    </w:p>
    <w:p>
      <w:pPr>
        <w:pStyle w:val="Heading1"/>
      </w:pPr>
      <w:r>
        <w:t>十一、附录</w:t>
      </w:r>
      <w:bookmarkStart w:name="_Toc011" w:id="1993562022"/>
      <w:bookmarkEnd w:id="1993562022"/>
    </w:p>
    <w:p>
      <w:pPr>
        <w:pStyle w:val="Heading2"/>
      </w:pPr>
      <w:r>
        <w:t>11.1 关键资源链接</w:t>
      </w:r>
    </w:p>
    <w:p>
      <w:pPr>
        <w:ind w:left="720" w:hanging="360"/>
      </w:pPr>
      <w:r>
        <w:t xml:space="preserve">• QLoRA论文: https://arxiv.org/abs/2305.14314</w:t>
      </w:r>
      <w:r>
        <w:br/>
      </w:r>
      <w:r>
        <w:t xml:space="preserve">• Unsloth (快速微调): https://github.com/unslothai/unsloth</w:t>
      </w:r>
      <w:r>
        <w:br/>
      </w:r>
      <w:r>
        <w:t xml:space="preserve">• TRL: https://github.com/huggingface/trl</w:t>
      </w:r>
      <w:r>
        <w:br/>
      </w:r>
      <w:r>
        <w:t xml:space="preserve">• PEFT文档: https://huggingface.co/docs/peft</w:t>
      </w:r>
      <w:r>
        <w:br/>
      </w:r>
      <w:r>
        <w:t>• Qwen3模型卡: https://huggingface.co/Qwen/Qwen3.6-35B-A3B</w:t>
      </w:r>
      <w:r>
        <w:br/>
      </w:r>
      <w:r>
        <w:t xml:space="preserve">• ChatML格式规范: https://github.com/openai/openai-python/blob/main/chatml.md</w:t>
      </w:r>
      <w:r>
        <w:br/>
      </w:r>
    </w:p>
    <w:p>
      <w:pPr>
        <w:pStyle w:val="Heading2"/>
      </w:pPr>
      <w:r>
        <w:t>11.2 数据集构建工具脚本</w:t>
      </w:r>
    </w:p>
    <w:p>
      <w:pPr>
        <w:shd w:val="clear" w:fill="F5F5F0"/>
        <w:spacing w:before="120" w:after="120" w:line="300" w:lineRule="auto"/>
        <w:ind w:left="240" w:firstLine="0"/>
      </w:pPr>
      <w:r>
        <w:rPr>
          <w:rFonts w:ascii="Consolas" w:hAnsi="Consolas" w:eastAsia="Microsoft YaHei"/>
          <w:color w:val="333333"/>
          <w:sz w:val="16"/>
        </w:rPr>
        <w:t xml:space="preserve"># 数据格式验证脚本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import json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/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def validate_chatml_format(file_path):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  errors = []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  with open(file_path, 'r') as f: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      for i, line in enumerate(f, 1):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          try: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              data = json.loads(line)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              text = data.get('text', '')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              if '&lt;|im_start|&gt;' not in text: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                  errors.append(f'Line {i}: missing im_start tag')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              if '&lt;|im_end|&gt;' not in text: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                  errors.append(f'Line {i}: missing im_end tag')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          except json.JSONDecodeError: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              errors.append(f'Line {i}: invalid JSON')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  print(f'Found {len(errors)} errors')</w:t>
      </w:r>
      <w:r>
        <w:br/>
      </w:r>
      <w:r>
        <w:rPr>
          <w:rFonts w:ascii="Consolas" w:hAnsi="Consolas" w:eastAsia="Microsoft YaHei"/>
          <w:color w:val="333333"/>
          <w:sz w:val="16"/>
        </w:rPr>
        <w:t xml:space="preserve">    return len(errors) == 0</w:t>
      </w:r>
    </w:p>
    <w:p>
      <w:pPr>
        <w:sectPr>
          <w:headerReference w:type="default" r:id="Rea208733383b458b"/>
          <w:footerReference w:type="default" r:id="R9c64ef018598486e"/>
          <w:pgSz w:w="11906" w:h="16838"/>
          <w:pgMar w:top="1800" w:right="1440" w:bottom="1440" w:left="1440" w:header="720" w:footer="720"/>
        </w:sectPr>
      </w:pPr>
    </w:p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Calibri" w:hAnsi="Calibri" w:eastAsia="Microsoft YaHei"/>
        <w:color w:val="888888"/>
        <w:sz w:val="18"/>
      </w:rPr>
      <w:t xml:space="preserve">第 </w:t>
    </w:r>
    <w:r>
      <w:rPr>
        <w:rFonts w:ascii="Calibri" w:hAnsi="Calibri" w:eastAsia="Microsoft YaHei"/>
        <w:color w:val="888888"/>
        <w:sz w:val="18"/>
      </w:rPr>
      <w:fldChar w:fldCharType="begin"/>
    </w:r>
    <w:r>
      <w:rPr>
        <w:rFonts w:ascii="Calibri" w:hAnsi="Calibri" w:eastAsia="Microsoft YaHei"/>
        <w:color w:val="888888"/>
        <w:sz w:val="18"/>
      </w:rPr>
      <w:t xml:space="preserve"> PAGE </w:t>
    </w:r>
    <w:r>
      <w:rPr>
        <w:rFonts w:ascii="Calibri" w:hAnsi="Calibri" w:eastAsia="Microsoft YaHei"/>
        <w:color w:val="888888"/>
        <w:sz w:val="18"/>
      </w:rPr>
      <w:fldChar w:fldCharType="separate"/>
    </w:r>
    <w:r>
      <w:rPr>
        <w:rFonts w:ascii="Calibri" w:hAnsi="Calibri" w:eastAsia="Microsoft YaHei"/>
        <w:color w:val="888888"/>
        <w:sz w:val="18"/>
      </w:rPr>
      <w:t xml:space="preserve">1</w:t>
    </w:r>
    <w:r>
      <w:rPr>
        <w:rFonts w:ascii="Calibri" w:hAnsi="Calibri" w:eastAsia="Microsoft YaHei"/>
        <w:color w:val="888888"/>
        <w:sz w:val="18"/>
      </w:rPr>
      <w:fldChar w:fldCharType="end"/>
    </w:r>
    <w:r>
      <w:rPr>
        <w:rFonts w:ascii="Calibri" w:hAnsi="Calibri" w:eastAsia="Microsoft YaHei"/>
        <w:color w:val="888888"/>
        <w:sz w:val="18"/>
      </w:rPr>
      <w:t xml:space="preserve"> 页</w:t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rFonts w:ascii="Calibri" w:hAnsi="Calibri" w:eastAsia="Microsoft YaHei"/>
        <w:color w:val="888888"/>
        <w:sz w:val="18"/>
      </w:rPr>
      <w:t>猫鼬AI | 模型微调技术方案与训练数据集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360" w:lineRule="auto"/>
      <w:ind w:firstLine="480"/>
    </w:pPr>
    <w:rPr>
      <w:rFonts w:ascii="Calibri" w:hAnsi="Calibri" w:eastAsia="Microsoft YaHei"/>
      <w:color w:val="333333"/>
      <w:sz w:val="21"/>
    </w:rPr>
  </w:style>
  <w:style w:type="paragraph" w:styleId="Heading1">
    <w:name w:val="heading 1"/>
    <w:basedOn w:val="Normal"/>
    <w:pPr>
      <w:keepNext/>
      <w:keepLines/>
      <w:spacing w:before="500" w:after="200"/>
      <w:ind w:firstLine="0"/>
      <w:outlineLvl w:val="0"/>
    </w:pPr>
    <w:rPr>
      <w:rFonts w:ascii="Calibri" w:hAnsi="Calibri" w:eastAsia="Microsoft YaHei"/>
      <w:b/>
      <w:color w:val="2E5D34"/>
      <w:sz w:val="34"/>
    </w:rPr>
  </w:style>
  <w:style w:type="paragraph" w:styleId="Heading2">
    <w:name w:val="heading 2"/>
    <w:basedOn w:val="Normal"/>
    <w:pPr>
      <w:keepNext/>
      <w:keepLines/>
      <w:spacing w:before="300" w:after="120"/>
      <w:ind w:firstLine="0"/>
      <w:outlineLvl w:val="1"/>
    </w:pPr>
    <w:rPr>
      <w:rFonts w:ascii="Calibri" w:hAnsi="Calibri" w:eastAsia="Microsoft YaHei"/>
      <w:b/>
      <w:color w:val="4A6B5A"/>
      <w:sz w:val="26"/>
    </w:rPr>
  </w:style>
  <w:style w:type="paragraph" w:styleId="Heading3">
    <w:name w:val="heading 3"/>
    <w:basedOn w:val="Normal"/>
    <w:pPr>
      <w:keepNext/>
      <w:keepLines/>
      <w:spacing w:before="200" w:after="80"/>
      <w:ind w:firstLine="0"/>
      <w:outlineLvl w:val="2"/>
    </w:pPr>
    <w:rPr>
      <w:rFonts w:ascii="Calibri" w:hAnsi="Calibri" w:eastAsia="Microsoft YaHei"/>
      <w:b/>
      <w:color w:val="666666"/>
      <w:sz w:val="22"/>
    </w:rPr>
  </w:style>
</w:styles>
</file>

<file path=word/_rels/document.xml.rels><?xml version='1.0' encoding='UTF-8' standalone='yes'?>
<Relationships xmlns="http://schemas.openxmlformats.org/package/2006/relationships"><Relationship Id="R5fca6e3a970d422f" Type="http://schemas.openxmlformats.org/officeDocument/2006/relationships/styles" Target="styles.xml"/><Relationship Id="Rea208733383b458b" Type="http://schemas.openxmlformats.org/officeDocument/2006/relationships/header" Target="header1.xml"/><Relationship Id="R9c64ef018598486e" Type="http://schemas.openxmlformats.org/officeDocument/2006/relationships/footer" Target="footer1.xml"/><Relationship Id="R654707ef24624cb1" Type="http://schemas.openxmlformats.org/officeDocument/2006/relationships/settings" Target="settings.xml"/></Relationships>
</file>