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bec8f91e98074ac4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0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2E5D34"/>
          <w:spacing w:val="30"/>
          <w:sz w:val="48"/>
        </w:rPr>
        <w:t>DGX Spark 大模型评测方案</w:t>
      </w:r>
    </w:p>
    <w:p>
      <w:pPr>
        <w:spacing w:after="300"/>
        <w:ind w:left="1200" w:right="1200"/>
      </w:pPr>
      <w:r>
        <w:rPr>
          <w:rFonts w:ascii="Calibri" w:hAnsi="Calibri" w:eastAsia="Microsoft YaHei"/>
          <w:color w:val="B8860B"/>
          <w:sz w:val="28"/>
        </w:rPr>
        <w:t>业界标准评分体系与执行路径</w:t>
      </w:r>
    </w:p>
    <w:p>
      <w:pPr>
        <w:spacing w:after="150"/>
        <w:ind w:left="1200" w:right="1200"/>
      </w:pPr>
      <w:r>
        <w:rPr>
          <w:rFonts w:ascii="Calibri" w:hAnsi="Calibri" w:eastAsia="Microsoft YaHei"/>
          <w:color w:val="666666"/>
          <w:sz w:val="20"/>
        </w:rPr>
        <w:t>基于 NVIDIA DGX Spark (GB10 Grace Blackwell, 128GB Unified Memory)</w:t>
      </w:r>
    </w:p>
    <w:p>
      <w:pPr>
        <w:spacing w:after="2500"/>
        <w:ind w:left="1200" w:right="1200"/>
      </w:pPr>
      <w:r>
        <w:rPr>
          <w:rFonts w:ascii="Calibri" w:hAnsi="Calibri" w:eastAsia="Microsoft YaHei"/>
          <w:color w:val="888888"/>
          <w:sz w:val="18"/>
        </w:rPr>
        <w:t>覆盖：能力分层模型 | 业界7大基准 | TRIZ定制评测 | 推理性能基准 | 微调能力验证 | 完整工具链</w:t>
      </w:r>
    </w:p>
    <w:p>
      <w:pPr>
        <w:ind w:left="1200"/>
      </w:pPr>
      <w:r>
        <w:rPr>
          <w:rFonts w:ascii="Calibri" w:hAnsi="Calibri" w:eastAsia="Microsoft YaHei"/>
          <w:color w:val="888888"/>
          <w:sz w:val="18"/>
        </w:rPr>
        <w:t>机密文件 | 猫鼬AI技术团队内部使用 | 2026年5月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一、DGX Spark硬件能力边界分析</w:t>
      </w:r>
      <w:bookmarkStart w:name="_Toc001" w:id="1735620045"/>
      <w:bookmarkEnd w:id="1735620045"/>
    </w:p>
    <w:p>
      <w:pPr>
        <w:pStyle w:val="Heading2"/>
      </w:pPr>
      <w:r>
        <w:t>1.1 核心规格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规格项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参数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对评测的影响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SoC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NVIDIA GB10 Grace Blackwell Superchip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ARM64架构，部分x86优化工具链不可用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CPU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20核 ARM (10x Cortex-X925 + 10x Cortex-A725)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编译和数据预处理性能良好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GPU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Blackwell架构, 48 SM, sm_121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支持FP4/INT8/FP16/FP32，FP4最优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AI算力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 PFLOP (FP4稀疏) / 512 TFLOPS (INT8)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算力充足，非主要瓶颈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统一内存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128GB LPDDR5x (CPU/GPU共享)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支持200B参数推理(4-bit)，70B微调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内存带宽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273 GB/s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⚠ 核心瓶颈——比A100慢7.5x，比H100慢12x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存储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4TB NVMe M.2 SSD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模型加载和数据集缓存充足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网络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ConnectX-7 NIC @ 200 Gbps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支持双机集群(405B参数)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OS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NVIDIA DGX OS (Ubuntu Linux)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预装PyTorch/TensorRT/TRT-LLM/NeMo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表1：DGX Spark核心规格与评测影响</w:t>
      </w:r>
    </w:p>
    <w:p>
      <w:pPr>
        <w:pStyle w:val="Heading2"/>
      </w:pPr>
      <w:r>
        <w:t>1.2 能力边界与最佳场景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场景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支持模型规模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预期性能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适用性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本地推理 (&lt;20B)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Qwen3 14B, Llama 3.1 8B, Phi-4 14B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20-100+ tok/s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✅ 最佳场景，实时交互无压力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本地推理 (20-70B)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 3.3 70B, Qwen3 35B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2-12 tok/s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⚠ 可用但延迟较高(&gt;80ms/token)，适合批处理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本地推理 (70-200B)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Qwen3 235B(双机), GPT-OSS 120B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2-55 tok/s(取决于精度)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⚠ 仅限演示/测试，非生产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QLoRA微调 (&lt;=70B)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 3.3 70B, Qwen3 35B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peak ~5K tok/s训练吞吐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✅ 核心场景，企业私有化微调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全参数微调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&lt;=3B (如Llama 3.2 3B)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peak 82K tok/s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✅ 小模型实验场景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表2：DGX Spark能力边界矩阵</w:t>
      </w:r>
    </w:p>
    <w:p>
      <w:pPr>
        <w:pStyle w:val="Heading2"/>
      </w:pPr>
      <w:r>
        <w:t>1.3 关键结论</w:t>
      </w:r>
    </w:p>
    <w:p>
      <w:pPr>
        <w:ind w:left="720" w:hanging="360"/>
      </w:pPr>
      <w:r>
        <w:t xml:space="preserve">• 内存带宽(273 GB/s)是DGX Spark的核心瓶颈，而非算力或内存容量。这意味着模型越大，推理延迟增长越显著</w:t>
      </w:r>
      <w:r>
        <w:br/>
      </w:r>
      <w:r>
        <w:t>• 最佳评测模型区间：&lt;20B参数（实时交互级）和35B参数（QLoRA微调级）。超过35B的模型仅适合离线批处理或演示</w:t>
      </w:r>
      <w:r>
        <w:br/>
      </w:r>
      <w:r>
        <w:t xml:space="preserve">• FP4/NVFP4精度下的性能显著优于INT8/FP16，评测时应优先使用4-bit量化</w:t>
      </w:r>
      <w:r>
        <w:br/>
      </w:r>
      <w:r>
        <w:t xml:space="preserve">• TRT-LLM后端在NVIDIA硬件上性能最优，llama.cpp更适合快速原型验证</w:t>
      </w:r>
      <w:r>
        <w:br/>
      </w:r>
    </w:p>
    <w:p>
      <w:pPr>
        <w:pStyle w:val="Heading1"/>
      </w:pPr>
      <w:r>
        <w:t>二、评测目标与范围</w:t>
      </w:r>
      <w:bookmarkStart w:name="_Toc002" w:id="1575535215"/>
      <w:bookmarkEnd w:id="1575535215"/>
    </w:p>
    <w:p>
      <w:r>
        <w:t xml:space="preserve">本评测方案旨在为猫鼬AI建立一套基于DGX Spark的、可对标业界标准的大模型能力评估体系。评测结果将直接服务于以下业务决策：</w:t>
      </w:r>
    </w:p>
    <w:p>
      <w:pPr>
        <w:ind w:left="720" w:hanging="360"/>
      </w:pPr>
      <w:r>
        <w:t xml:space="preserve">• 模型选型：为猫鼬AI的TRIZ知识库微调、Skill工程化、客户私有化部署选择最优基座模型</w:t>
      </w:r>
      <w:r>
        <w:br/>
      </w:r>
      <w:r>
        <w:t xml:space="preserve">• 能力基线：建立猫鼬AI微调后模型的能力基线，用于追踪迭代效果和向客户展示价值</w:t>
      </w:r>
      <w:r>
        <w:br/>
      </w:r>
      <w:r>
        <w:t xml:space="preserve">• 竞品对标：将猫鼬AI的AI Native OS能力与业界主流模型进行量化对比</w:t>
      </w:r>
      <w:r>
        <w:br/>
      </w:r>
      <w:r>
        <w:t xml:space="preserve">• 技术路线验证：验证DGX Spark是否满足猫鼬AI私有化部署和微调的技术要求</w:t>
      </w:r>
      <w:r>
        <w:br/>
      </w:r>
    </w:p>
    <w:p>
      <w:pPr>
        <w:pStyle w:val="Heading2"/>
      </w:pPr>
      <w:r>
        <w:t>2.1 评测范围三层架构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层级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评测内容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业界基准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执行频率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1
通用能力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模型在标准学术基准上的表现(MMLU-Pro/HumanEval/GPQA等)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7大业界基准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每季度/新模型发布时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2
业务定制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模型在TRIZ方法论、产品创新、企业咨询场景的表现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自建评测集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每月/微调迭代后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3
工程性能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推理延迟、吞吐量、内存占用、微调效率、并发能力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性能基准套件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每次部署前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表3：评测三层架构</w:t>
      </w:r>
    </w:p>
    <w:p>
      <w:pPr>
        <w:pStyle w:val="Heading1"/>
      </w:pPr>
      <w:r>
        <w:t>三、Layer 1：业界标准基准评测</w:t>
      </w:r>
      <w:bookmarkStart w:name="_Toc003" w:id="-351968599"/>
      <w:bookmarkEnd w:id="-351968599"/>
    </w:p>
    <w:p>
      <w:r>
        <w:t xml:space="preserve">基于2026年业界公认的7大核心基准，在DGX Spark上运行标准评测流程。所有评测使用lm-evaluation-harness框架，确保结果可复现、可对标。</w:t>
      </w:r>
    </w:p>
    <w:p>
      <w:pPr>
        <w:pStyle w:val="Heading2"/>
      </w:pPr>
      <w:r>
        <w:t>3.1 七大核心基准详解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基准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评测维度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题目数量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难度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DGX Spark适配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MMLU-Pro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57+学科广博知识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~12,000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高(10选1)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✅ 全模型适用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GPQA Diamond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博士级科学推理(生物/物理/化学)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448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极高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✅ 全模型适用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HumanEval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函数级Python代码生成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164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中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✅ 全模型适用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LiveCodeBench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新鲜编程竞赛题(防污染)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持续更新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高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✅ 全模型适用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SWE-bench Verified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真实仓库端到端bug修复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~500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极高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⚠ 仅&lt;20B模型可实时评测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Aider Polyglot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多语言coding agent任务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多语言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高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⚠ 仅&lt;20B模型可实时评测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LMArena Elo(自建)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人类偏好评分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N/A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主观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✅ 团队内部投票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表4：七大核心基准详解</w:t>
      </w:r>
    </w:p>
    <w:p>
      <w:pPr>
        <w:pStyle w:val="Heading2"/>
      </w:pPr>
      <w:r>
        <w:t>3.2 推荐评测模型清单</w:t>
      </w:r>
    </w:p>
    <w:p>
      <w:r>
        <w:t xml:space="preserve">基于DGX Spark的能力边界和猫鼬AI的业务需求，推荐以下模型作为评测对象：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模型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参数量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推荐精度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评测场景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获取方式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Qwen3-30B-A3B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30B (3B active MoE)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FP4/INT8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1+2+3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HuggingFace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Qwen3.6-35B-A3B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14B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1+2+3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HuggingFace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 3.1 8B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8B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1+2+3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HuggingFace/Meta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Phi-4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14B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1+2+3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HuggingFace/Microsoft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Qwen3.6-35B-A3B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35B (8B active MoE)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FP4/INT8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1+2(批处理)+3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HuggingFace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 3.3 70B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70B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FP4/INT8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1(批处理)+3(微调)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HuggingFace/Meta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DeepSeek-V3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~685B MoE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1(批处理)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HuggingFace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表5：推荐评测模型清单</w:t>
      </w:r>
    </w:p>
    <w:p>
      <w:pPr>
        <w:pStyle w:val="Heading2"/>
      </w:pPr>
      <w:r>
        <w:t>3.3 执行命令示例</w:t>
      </w:r>
    </w:p>
    <w:p>
      <w:r>
        <w:t xml:space="preserve">使用EleutherAI lm-evaluation-harness在DGX Spark上运行评测：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安装lm-evaluation-harness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pip install lm-eval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># Qwen3.6-35B-A3B FP4评测(MMLU-Pro + HumanEval + GPQA)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lm_eval --model hf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--model_args pretrained=Qwen/Qwen3.6-35B-A3B,dtype=float16,load_in_4bit=True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--tasks mmlu_pro,hendrycksTest-humanities,hendrycksTest-stem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--batch_size 1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--device cuda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--output_path ./results/qwen3-14b/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Llama 3.1 8B FP4评测(代码能力)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lm_eval --model hf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--model_args pretrained=meta-llama/Llama-3.1-8B-Instruct,dtype=float16,load_in_4bit=True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--tasks humaneval,mbpp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--batch_size 1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--device cuda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--output_path ./results/llama-3.1-8b/</w:t>
      </w:r>
    </w:p>
    <w:p>
      <w:pPr>
        <w:pStyle w:val="Heading2"/>
      </w:pPr>
      <w:r>
        <w:t>3.4 业界对标分数参考（2026年4月）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模型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MMLU-Pro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GPQA Diamond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HumanEval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LiveCodeBench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SWE-bench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Claude Opus 4.6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~76%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91.3%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95.2%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72.8%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80.8%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GPT-5.4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~78%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92.0%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94.5%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71.3%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~80%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Gemini 3.1 Pro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~75%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94.3%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93.0%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69.5%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80.6%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DeepSeek V3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~85%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79.9%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94.8%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--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67.8%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Qwen3-235B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~85%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88.4%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--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--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~75%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 4 Maverick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85.5%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--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--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--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--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表6：业界前沿模型基准分数参考（来源：TokenMix.ai, 2026.04）</w:t>
      </w:r>
    </w:p>
    <w:p>
      <w:pPr>
        <w:pStyle w:val="Heading1"/>
      </w:pPr>
      <w:r>
        <w:t>四、Layer 2：TRIZ业务定制评测</w:t>
      </w:r>
      <w:bookmarkStart w:name="_Toc004" w:id="1362913208"/>
      <w:bookmarkEnd w:id="1362913208"/>
    </w:p>
    <w:p>
      <w:r>
        <w:t xml:space="preserve">通用基准衡量的是模型的"通用智能"，但猫鼬AI需要的是模型在TRIZ方法论、产品创新、企业咨询场景中的表现。Layer 2建立一套自建评测集，直接衡量模型对猫鼬AI业务的价值。</w:t>
      </w:r>
    </w:p>
    <w:p>
      <w:pPr>
        <w:pStyle w:val="Heading2"/>
      </w:pPr>
      <w:r>
        <w:t>4.1 评测数据集设计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数据集名称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题目数量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题型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评测能力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TRIZ-Concepts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100题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单选+简答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TRIZ核心概念理解(39个发明原理/76个标准解/技术进化趋势)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TRIZ-Contradiction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80题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案例分析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矛盾识别与发明原理推荐(物理矛盾+技术矛盾)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Product-Innovation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60题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开放式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产品创新方案生成(给定产品+改进目标→创新方案)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Case-Retrieval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50题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匹配题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历史案例检索与匹配(场景描述→最相似案例)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Consulting-QA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70题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问答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咨询场景问答(企业AI转型/创新战略/流程优化)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Hallucination-Test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40题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判断题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幻觉检测(给定TRIZ相关陈述→判断正误)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表7：TRIZ定制评测数据集</w:t>
      </w:r>
    </w:p>
    <w:p>
      <w:pPr>
        <w:pStyle w:val="Heading2"/>
      </w:pPr>
      <w:r>
        <w:t>4.2 题目示例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4A6B5A"/>
          <w:sz w:val="21"/>
        </w:rPr>
        <w:t>【TRIZ-Contradiction示例】</w:t>
      </w:r>
    </w:p>
    <w:p>
      <w:pPr>
        <w:spacing w:before="80" w:after="60"/>
        <w:ind w:firstLine="0"/>
      </w:pPr>
      <w:r>
        <w:rPr>
          <w:rFonts w:ascii="Calibri" w:hAnsi="Calibri" w:eastAsia="Microsoft YaHei"/>
          <w:color w:val="333333"/>
          <w:sz w:val="20"/>
        </w:rPr>
        <w:t xml:space="preserve">场景：某手机厂商希望"增加手机屏幕尺寸以提升用户体验，但同时保持设备轻薄便于携带"。</w:t>
      </w:r>
    </w:p>
    <w:p>
      <w:pPr>
        <w:spacing w:before="80" w:after="60"/>
        <w:ind w:firstLine="0"/>
      </w:pPr>
      <w:r>
        <w:rPr>
          <w:rFonts w:ascii="Calibri" w:hAnsi="Calibri" w:eastAsia="Microsoft YaHei"/>
          <w:color w:val="333333"/>
          <w:sz w:val="20"/>
        </w:rPr>
        <w:t xml:space="preserve">问题：(1) 识别该场景中的技术矛盾（改善参数与恶化参数）；(2) 推荐3个最相关的TRIZ发明原理并说明理由；(3) 给出一个历史案例参考。</w:t>
      </w:r>
    </w:p>
    <w:p>
      <w:pPr>
        <w:spacing w:before="80" w:after="60"/>
        <w:ind w:firstLine="0"/>
      </w:pPr>
      <w:r>
        <w:rPr>
          <w:rFonts w:ascii="Calibri" w:hAnsi="Calibri" w:eastAsia="Microsoft YaHei"/>
          <w:color w:val="333333"/>
          <w:sz w:val="20"/>
        </w:rPr>
        <w:t xml:space="preserve">评分标准：矛盾识别正确(30%) + 原理推荐合理(40%) + 案例参考恰当(20%) + 表达清晰(10%)</w:t>
      </w:r>
    </w:p>
    <w:p>
      <w:pPr>
        <w:spacing w:before="160" w:after="40"/>
        <w:ind w:firstLine="0"/>
      </w:pPr>
      <w:r>
        <w:rPr>
          <w:rFonts w:ascii="Calibri" w:hAnsi="Calibri" w:eastAsia="Microsoft YaHei"/>
          <w:b/>
          <w:color w:val="4A6B5A"/>
          <w:sz w:val="21"/>
        </w:rPr>
        <w:t>【Product-Innovation示例】</w:t>
      </w:r>
    </w:p>
    <w:p>
      <w:pPr>
        <w:spacing w:before="80" w:after="60"/>
        <w:ind w:firstLine="0"/>
      </w:pPr>
      <w:r>
        <w:rPr>
          <w:rFonts w:ascii="Calibri" w:hAnsi="Calibri" w:eastAsia="Microsoft YaHei"/>
          <w:color w:val="333333"/>
          <w:sz w:val="20"/>
        </w:rPr>
        <w:t xml:space="preserve">场景："设计一款适合老年人使用的智能冰箱"。</w:t>
      </w:r>
    </w:p>
    <w:p>
      <w:pPr>
        <w:spacing w:before="80" w:after="60"/>
        <w:ind w:firstLine="0"/>
      </w:pPr>
      <w:r>
        <w:rPr>
          <w:rFonts w:ascii="Calibri" w:hAnsi="Calibri" w:eastAsia="Microsoft YaHei"/>
          <w:color w:val="333333"/>
          <w:sz w:val="20"/>
        </w:rPr>
        <w:t xml:space="preserve">问题：(1) 识别目标用户的核心需求；(2) 运用TRIZ方法提出3个创新功能点；(3) 分析每个功能点对应的发明原理。</w:t>
      </w:r>
    </w:p>
    <w:p>
      <w:pPr>
        <w:pStyle w:val="Heading2"/>
      </w:pPr>
      <w:r>
        <w:t>4.3 评测执行流程</w:t>
      </w:r>
    </w:p>
    <w:p>
      <w:pPr>
        <w:ind w:left="720" w:hanging="360"/>
      </w:pPr>
      <w:r>
        <w:t xml:space="preserve">• Step 1 - 数据准备：从猫鼬AI的历史项目文档中提取真实案例，由TRIZ顾问团队人工编写评测题目和标准答案</w:t>
      </w:r>
      <w:r>
        <w:br/>
      </w:r>
      <w:r>
        <w:t xml:space="preserve">• Step 2 - 模型推理：使用DGX Spark运行待评测模型，对所有题目生成回答，记录推理时间和Token消耗</w:t>
      </w:r>
      <w:r>
        <w:br/>
      </w:r>
      <w:r>
        <w:t xml:space="preserve">• Step 3 - 评分方式：采用混合评分——客观题自动评分（准确率），主观题由TRIZ顾问+GPT-4o双重评分（一致性&gt;85%）</w:t>
      </w:r>
      <w:r>
        <w:br/>
      </w:r>
      <w:r>
        <w:t xml:space="preserve">• Step 4 - 基线建立：对每个模型建立TRIZ能力基线分数，追踪微调前后的变化</w:t>
      </w:r>
      <w:r>
        <w:br/>
      </w:r>
      <w:r>
        <w:t xml:space="preserve">• Step 5 - 迭代优化：根据评测结果中的薄弱环节，定向优化训练数据（如矛盾识别类题目得分低→增加矛盾案例训练）</w:t>
      </w:r>
      <w:r>
        <w:br/>
      </w:r>
    </w:p>
    <w:p>
      <w:pPr>
        <w:pStyle w:val="Heading1"/>
      </w:pPr>
      <w:r>
        <w:t>五、Layer 3：工程性能基准评测</w:t>
      </w:r>
      <w:bookmarkStart w:name="_Toc005" w:id="508160790"/>
      <w:bookmarkEnd w:id="508160790"/>
    </w:p>
    <w:p>
      <w:r>
        <w:t xml:space="preserve">工程性能直接决定了模型在DGX Spark上的可用性和商业价值。本层评测涵盖推理性能、微调效率和资源占用三个维度。</w:t>
      </w:r>
    </w:p>
    <w:p>
      <w:pPr>
        <w:pStyle w:val="Heading2"/>
      </w:pPr>
      <w:r>
        <w:t>5.1 推理性能基准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评测项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指标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测试方法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优秀标准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Prompt Processing(TTFT)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首Token延迟(ms)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512/1024/2048 token输入，测量首token生成时间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&lt;100ms (&lt;20B), &lt;500ms (70B)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Token Generation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生成速度(tok/s)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生成256/512/1024 token，测量平均速度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&gt;20 tok/s (可用), &gt;40 tok/s (良好)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并发推理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并发数×延迟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使用vLLM/TRT-LLM同时服务多个请求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4并发下延迟&lt;2x单并发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长上下文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128K/256K上下文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RULER/Needle-in-Haystack测试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准确率&gt;90% @128K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量化影响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精度损失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同一模型FP16 vs FP4 vs INT8对比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MMLU损失&lt;3% (FP4 vs FP16)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表8：推理性能基准评测项</w:t>
      </w:r>
    </w:p>
    <w:p>
      <w:pPr>
        <w:pStyle w:val="Heading2"/>
      </w:pPr>
      <w:r>
        <w:t>5.2 微调性能基准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评测项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指标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测试配置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优秀标准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QLoRA微调吞吐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tokens/sec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 3.3 70B, rank=64, alpha=16, seq=2048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&gt;500 tok/s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内存峰值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GB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监控微调过程中的GPU内存占用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&lt;110GB (留18GB余量)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微调时间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小时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10万条样本, 3 epochs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&lt;24h (单卡35B QLoRA)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收敛稳定性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loss曲线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记录训练loss变化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平滑下降, 无震荡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微调后性能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MMLU-Pro变化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微调前后对比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Domain任务提升&gt;10%, 通用能力损失&lt;3%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表9：微调性能基准评测项</w:t>
      </w:r>
    </w:p>
    <w:p>
      <w:pPr>
        <w:pStyle w:val="Heading2"/>
      </w:pPr>
      <w:r>
        <w:t>5.3 DGX Spark实测参考数据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模型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精度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后端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Prompt吞吐(tok/s)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生成吞吐(tok/s)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微调吞吐(tok/s)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Qwen3 14B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TRT-LLM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5,929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22.71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N/A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 3.1 8B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TRT-LLM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10,257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38.65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6,970(LoRA)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GPT-OSS 20B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MXFP4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llama.cpp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3,670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82.74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N/A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GPT-OSS 120B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MXFP4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llama.cpp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1,725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55.37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N/A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 3.3 70B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TRT-LLM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~500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~2.7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760(QLoRA)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 3.2 3B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FP16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PyTorch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~2,000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~50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13,520(Full FT)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表10：DGX Spark实测性能数据（来源：NVIDIA官方+LMSYS, 2025-2026）</w:t>
      </w:r>
    </w:p>
    <w:p>
      <w:pPr>
        <w:pStyle w:val="Heading1"/>
      </w:pPr>
      <w:r>
        <w:t>六、评测工具链与执行环境</w:t>
      </w:r>
      <w:bookmarkStart w:name="_Toc006" w:id="1669890550"/>
      <w:bookmarkEnd w:id="1669890550"/>
    </w:p>
    <w:p>
      <w:pPr>
        <w:pStyle w:val="Heading2"/>
      </w:pPr>
      <w:r>
        <w:t>6.1 核心工具清单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工具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用途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安装方式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版本要求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lm-evaluation-harness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业界标准基准评测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pip install lm-eval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&gt;=0.4.5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TRT-LLM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NVIDIA推理优化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预装于DGX OS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&gt;=10.0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vLLM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高吞吐推理服务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pip install vllm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&gt;=0.6.0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llama.cpp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快速原型验证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预装/源码编译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&gt;=b4000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Ollama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本地模型管理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curl安装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&gt;=0.5.0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transformers + PEFT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QLoRA微调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pip install transformers peft bitsandbytes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最新版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DeepSpeed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分布式训练(双机)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pip install deepspeed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&gt;=0.15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MLflow / WandB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实验追踪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pip install mlflow wandb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最新版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表11：评测工具链清单</w:t>
      </w:r>
    </w:p>
    <w:p>
      <w:pPr>
        <w:pStyle w:val="Heading2"/>
      </w:pPr>
      <w:r>
        <w:t>6.2 DGX Spark环境配置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DGX Spark预装环境检查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nvidia-smi  # 验证GPU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python -c "import torch; print(torch.cuda.is_available())"  # 验证PyTorch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python -c "import tensorrt_llm; print(tensorrt_llm.__version__)"  # 验证TRT-LLM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安装评测工具链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pip install lm-eval vllm transformers peft bitsandbytes datasets accelerate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pip install mlflow wandb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ARM64特殊处理(部分包需源码编译)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pip install --no-binary :all: psutil  # 如需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验证安装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lm_eval --tasks list | head -20  # 查看可用任务</w:t>
      </w:r>
    </w:p>
    <w:p>
      <w:pPr>
        <w:pStyle w:val="Heading2"/>
      </w:pPr>
      <w:r>
        <w:t>6.3 自动化评测Pipeline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示例：自动化评测脚本框架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#!/bin/bash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run_benchmark.sh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>MODELS=("Qwen/Qwen3.6-35B-A3B" "meta-llama/Llama-3.1-8B-Instruct")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TASKS="mmlu_pro,hendrycksTest-humanities,hendrycksTest-stem,humaneval,gpqa"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for MODEL in "${MODELS[@]}"; do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MODEL_NAME=$(basename $MODEL)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echo "Evaluating $MODEL_NAME..."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lm_eval --model hf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--model_args pretrained=$MODEL,load_in_4bit=True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--tasks $TASKS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--batch_size 1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--device cuda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--output_path ./results/$MODEL_NAME/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--log_samples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--seed 42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done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生成对比报告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python generate_report.py --results-dir ./results/</w:t>
      </w:r>
    </w:p>
    <w:p>
      <w:pPr>
        <w:pStyle w:val="Heading1"/>
      </w:pPr>
      <w:r>
        <w:t>七、综合评分体系与对标</w:t>
      </w:r>
      <w:bookmarkStart w:name="_Toc007" w:id="848918708"/>
      <w:bookmarkEnd w:id="848918708"/>
    </w:p>
    <w:p>
      <w:pPr>
        <w:pStyle w:val="Heading2"/>
      </w:pPr>
      <w:r>
        <w:t>7.1 综合评分公式</w:t>
      </w:r>
    </w:p>
    <w:p>
      <w:r>
        <w:t xml:space="preserve">猫鼬AI大模型综合评分 = Layer1×40% + Layer2×35% + Layer3×25%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层级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权重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子项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子权重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1
通用能力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40%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MMLU-Pro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10%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GPQA Diamond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HumanEval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LiveCodeBench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SWE-bench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Aider Polyglot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2
业务定制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35%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TRIZ-Concepts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TRIZ-Contradiction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10%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Product-Innovation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Case-Retrieval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Consulting-QA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3
工程性能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25%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推理延迟(P50)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生成吞吐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微调效率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/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资源效率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5%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表12：综合评分权重分配</w:t>
      </w:r>
    </w:p>
    <w:p>
      <w:pPr>
        <w:pStyle w:val="Heading2"/>
      </w:pPr>
      <w:r>
        <w:t>7.2 模型分级标准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等级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综合分数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定位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猫鼬AI使用建议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S级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&gt;=85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业界顶尖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作为旗舰模型对外展示，客户私有化部署首选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A级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75-84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优秀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主力模型，TRIZ微调基座，日常咨询场景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B级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65-74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良好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辅助模型，轻量级场景，成本敏感客户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C级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55-64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合格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仅用于特定场景，需大量后处理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D级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&lt;55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不合格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不建议使用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表13：模型分级标准</w:t>
      </w:r>
    </w:p>
    <w:p>
      <w:pPr>
        <w:pStyle w:val="Heading2"/>
      </w:pPr>
      <w:r>
        <w:t>7.3 猫鼬AI基线目标</w:t>
      </w:r>
    </w:p>
    <w:p>
      <w:r>
        <w:t xml:space="preserve">猫鼬AI微调后模型的目标评分（6个月里程碑）：</w:t>
      </w:r>
    </w:p>
    <w:p>
      <w:pPr>
        <w:ind w:left="720" w:hanging="360"/>
      </w:pPr>
      <w:r>
        <w:t xml:space="preserve">• 通用能力：MMLU-Pro &gt;= 80%（接近DeepSeek V3水平），HumanEval &gt;= 85%</w:t>
      </w:r>
      <w:r>
        <w:br/>
      </w:r>
      <w:r>
        <w:t xml:space="preserve">• TRIZ专项：TRIZ-Contradiction &gt;= 75%（经过TRIZ知识库微调后），Product-Innovation &gt;= 70%</w:t>
      </w:r>
      <w:r>
        <w:br/>
      </w:r>
      <w:r>
        <w:t>• 推理性能：&lt;20B模型在DGX Spark上延迟&lt;100ms/token，35B模型&lt;500ms/token</w:t>
      </w:r>
      <w:r>
        <w:br/>
      </w:r>
      <w:r>
        <w:t xml:space="preserve">• 综合评分：目标达到A级（75+），其中Layer 2 TRIZ专项达到行业领先水平</w:t>
      </w:r>
      <w:r>
        <w:br/>
      </w:r>
    </w:p>
    <w:p>
      <w:pPr>
        <w:pStyle w:val="Heading1"/>
      </w:pPr>
      <w:r>
        <w:t>八、实施路线图</w:t>
      </w:r>
      <w:bookmarkStart w:name="_Toc008" w:id="665662996"/>
      <w:bookmarkEnd w:id="665662996"/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阶段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时间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任务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交付物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1
环境搭建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第1-2周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DGX Spark环境配置、工具链安装、评测框架验证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可用评测环境+测试报告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2
基线评测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第3-4周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1全部基准运行、建立业界对标基线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7大基准原始分数+对标报告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3
定制评测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第5-6周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TRIZ评测数据集构建、Layer 2评测运行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400题评测集+业务基线分数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4
性能基准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第7-8周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Layer 3性能测试、优化建议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性能基准报告+优化方案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5
微调验证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第9-12周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选定基座模型QLoRA微调、微调后三Layers重测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微调模型+前后对比报告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6
常态化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持续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月度评测更新、季度对标刷新、客户展示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月度评测报告+季度对标更新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表14：评测方案实施路线图</w:t>
      </w:r>
    </w:p>
    <w:p>
      <w:pPr>
        <w:pStyle w:val="Heading1"/>
      </w:pPr>
      <w:r>
        <w:t>九、附录</w:t>
      </w:r>
      <w:bookmarkStart w:name="_Toc009" w:id="1324303724"/>
      <w:bookmarkEnd w:id="1324303724"/>
    </w:p>
    <w:p>
      <w:pPr>
        <w:pStyle w:val="Heading2"/>
      </w:pPr>
      <w:r>
        <w:t>9.1 关键资源链接</w:t>
      </w:r>
    </w:p>
    <w:p>
      <w:pPr>
        <w:ind w:left="720" w:hanging="360"/>
      </w:pPr>
      <w:r>
        <w:t xml:space="preserve">• lm-evaluation-harness: https://github.com/EleutherAI/lm-evaluation-harness</w:t>
      </w:r>
      <w:r>
        <w:br/>
      </w:r>
      <w:r>
        <w:t xml:space="preserve">• OpenCompass: https://github.com/open-compass/OpenCompass</w:t>
      </w:r>
      <w:r>
        <w:br/>
      </w:r>
      <w:r>
        <w:t xml:space="preserve">• LMSYS Chatbot Arena: https://chat.lmsys.org/</w:t>
      </w:r>
      <w:r>
        <w:br/>
      </w:r>
      <w:r>
        <w:t xml:space="preserve">• NVIDIA DGX Spark Playbooks: https://github.com/NVIDIA/dgx-spark-playbooks</w:t>
      </w:r>
      <w:r>
        <w:br/>
      </w:r>
      <w:r>
        <w:t xml:space="preserve">• TRT-LLM Documentation: https://nvidia.github.io/TensorRT-LLM/</w:t>
      </w:r>
      <w:r>
        <w:br/>
      </w:r>
      <w:r>
        <w:t xml:space="preserve">• TokenMix LLM Leaderboard: https://tokenmix.ai/</w:t>
      </w:r>
      <w:r>
        <w:br/>
      </w:r>
    </w:p>
    <w:p>
      <w:pPr>
        <w:pStyle w:val="Heading2"/>
      </w:pPr>
      <w:r>
        <w:t>9.2 预算估算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项目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一次性投入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月度成本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DGX Spark硬件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$3,000-4,000 (已采购)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电费~$20/月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HuggingFace Pro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$9/月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$9/月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WandB/MLflow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免费版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$0 (免费版足够)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人工(TRIZ顾问出题)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40小时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10小时/月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总计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~$4,000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~$30/月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表15：评测方案预算估算</w:t>
      </w:r>
    </w:p>
    <w:p>
      <w:pPr>
        <w:sectPr>
          <w:headerReference w:type="default" r:id="Rff5faf6389d8457b"/>
          <w:footerReference w:type="default" r:id="Rb5acdf0e318e4288"/>
          <w:pgSz w:w="11906" w:h="16838"/>
          <w:pgMar w:top="180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888888"/>
        <w:sz w:val="18"/>
      </w:rPr>
      <w:t xml:space="preserve">第 </w:t>
    </w:r>
    <w:r>
      <w:rPr>
        <w:rFonts w:ascii="Calibri" w:hAnsi="Calibri" w:eastAsia="Microsoft YaHei"/>
        <w:color w:val="888888"/>
        <w:sz w:val="18"/>
      </w:rPr>
      <w:fldChar w:fldCharType="begin"/>
    </w:r>
    <w:r>
      <w:rPr>
        <w:rFonts w:ascii="Calibri" w:hAnsi="Calibri" w:eastAsia="Microsoft YaHei"/>
        <w:color w:val="888888"/>
        <w:sz w:val="18"/>
      </w:rPr>
      <w:t xml:space="preserve"> PAGE </w:t>
    </w:r>
    <w:r>
      <w:rPr>
        <w:rFonts w:ascii="Calibri" w:hAnsi="Calibri" w:eastAsia="Microsoft YaHei"/>
        <w:color w:val="888888"/>
        <w:sz w:val="18"/>
      </w:rPr>
      <w:fldChar w:fldCharType="separate"/>
    </w:r>
    <w:r>
      <w:rPr>
        <w:rFonts w:ascii="Calibri" w:hAnsi="Calibri" w:eastAsia="Microsoft YaHei"/>
        <w:color w:val="888888"/>
        <w:sz w:val="18"/>
      </w:rPr>
      <w:t xml:space="preserve">1</w:t>
    </w:r>
    <w:r>
      <w:rPr>
        <w:rFonts w:ascii="Calibri" w:hAnsi="Calibri" w:eastAsia="Microsoft YaHei"/>
        <w:color w:val="888888"/>
        <w:sz w:val="18"/>
      </w:rPr>
      <w:fldChar w:fldCharType="end"/>
    </w:r>
    <w:r>
      <w:rPr>
        <w:rFonts w:ascii="Calibri" w:hAnsi="Calibri" w:eastAsia="Microsoft YaHei"/>
        <w:color w:val="888888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888888"/>
        <w:sz w:val="18"/>
      </w:rPr>
      <w:t>猫鼬AI | DGX Spark大模型评测方案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333333"/>
      <w:sz w:val="21"/>
    </w:rPr>
  </w:style>
  <w:style w:type="paragraph" w:styleId="Heading1">
    <w:name w:val="heading 1"/>
    <w:basedOn w:val="Normal"/>
    <w:pPr>
      <w:keepNext/>
      <w:keepLines/>
      <w:spacing w:before="500" w:after="200"/>
      <w:ind w:firstLine="0"/>
      <w:outlineLvl w:val="0"/>
    </w:pPr>
    <w:rPr>
      <w:rFonts w:ascii="Calibri" w:hAnsi="Calibri" w:eastAsia="Microsoft YaHei"/>
      <w:b/>
      <w:color w:val="2E5D34"/>
      <w:sz w:val="34"/>
    </w:rPr>
  </w:style>
  <w:style w:type="paragraph" w:styleId="Heading2">
    <w:name w:val="heading 2"/>
    <w:basedOn w:val="Normal"/>
    <w:pPr>
      <w:keepNext/>
      <w:keepLines/>
      <w:spacing w:before="300" w:after="120"/>
      <w:ind w:firstLine="0"/>
      <w:outlineLvl w:val="1"/>
    </w:pPr>
    <w:rPr>
      <w:rFonts w:ascii="Calibri" w:hAnsi="Calibri" w:eastAsia="Microsoft YaHei"/>
      <w:b/>
      <w:color w:val="4A6B5A"/>
      <w:sz w:val="26"/>
    </w:rPr>
  </w:style>
  <w:style w:type="paragraph" w:styleId="Heading3">
    <w:name w:val="heading 3"/>
    <w:basedOn w:val="Normal"/>
    <w:pPr>
      <w:keepNext/>
      <w:keepLines/>
      <w:spacing w:before="200" w:after="80"/>
      <w:ind w:firstLine="0"/>
      <w:outlineLvl w:val="2"/>
    </w:pPr>
    <w:rPr>
      <w:rFonts w:ascii="Calibri" w:hAnsi="Calibri" w:eastAsia="Microsoft YaHei"/>
      <w:b/>
      <w:color w:val="666666"/>
      <w:sz w:val="22"/>
    </w:rPr>
  </w:style>
</w:styles>
</file>

<file path=word/_rels/document.xml.rels><?xml version='1.0' encoding='UTF-8' standalone='yes'?>
<Relationships xmlns="http://schemas.openxmlformats.org/package/2006/relationships"><Relationship Id="R406565c8cdae4109" Type="http://schemas.openxmlformats.org/officeDocument/2006/relationships/styles" Target="styles.xml"/><Relationship Id="Rff5faf6389d8457b" Type="http://schemas.openxmlformats.org/officeDocument/2006/relationships/header" Target="header1.xml"/><Relationship Id="Rb5acdf0e318e4288" Type="http://schemas.openxmlformats.org/officeDocument/2006/relationships/footer" Target="footer1.xml"/><Relationship Id="R05ff04b62a694af8" Type="http://schemas.openxmlformats.org/officeDocument/2006/relationships/settings" Target="settings.xml"/></Relationships>
</file>