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C9A24B"/>
          <w:sz w:val="20"/>
        </w:rPr>
        <w:t>TECHNICAL REFERENCE</w:t>
      </w:r>
    </w:p>
    <w:p>
      <w:pPr>
        <w:spacing w:after="80"/>
      </w:pPr>
      <w:r>
        <w:rPr>
          <w:rFonts w:ascii="Calibri" w:hAnsi="Calibri"/>
          <w:b/>
          <w:color w:val="0A1220"/>
          <w:sz w:val="52"/>
        </w:rPr>
        <w:t>Code Explanation and Import Guide</w:t>
      </w:r>
    </w:p>
    <w:p>
      <w:pPr>
        <w:spacing w:after="280"/>
      </w:pPr>
      <w:r>
        <w:rPr>
          <w:rFonts w:ascii="Calibri" w:hAnsi="Calibri"/>
          <w:color w:val="555555"/>
          <w:sz w:val="26"/>
        </w:rPr>
        <w:t>A module-by-module explanation of how the FastAPI backend, React frontend, security utilities, services, routes, and imports work together.</w:t>
      </w:r>
    </w:p>
    <w:p>
      <w:pPr>
        <w:spacing w:after="40"/>
      </w:pPr>
      <w:r>
        <w:rPr>
          <w:rFonts w:ascii="Calibri" w:hAnsi="Calibri"/>
          <w:b/>
          <w:color w:val="0A1220"/>
          <w:sz w:val="21"/>
        </w:rPr>
        <w:t xml:space="preserve">Status: </w:t>
      </w:r>
      <w:r>
        <w:rPr>
          <w:rFonts w:ascii="Calibri" w:hAnsi="Calibri"/>
          <w:color w:val="555555"/>
          <w:sz w:val="21"/>
        </w:rPr>
        <w:t>Updated final project documentation</w:t>
      </w:r>
    </w:p>
    <w:p>
      <w:pPr>
        <w:spacing w:after="40"/>
      </w:pPr>
      <w:r>
        <w:rPr>
          <w:rFonts w:ascii="Calibri" w:hAnsi="Calibri"/>
          <w:b/>
          <w:color w:val="0A1220"/>
          <w:sz w:val="21"/>
        </w:rPr>
        <w:t xml:space="preserve">Scope: </w:t>
      </w:r>
      <w:r>
        <w:rPr>
          <w:rFonts w:ascii="Calibri" w:hAnsi="Calibri"/>
          <w:color w:val="555555"/>
          <w:sz w:val="21"/>
        </w:rPr>
        <w:t>Backend, frontend, services, utilities, routing, and design-system files</w:t>
      </w:r>
    </w:p>
    <w:p>
      <w:pPr>
        <w:pBdr>
          <w:bottom w:val="single" w:sz="10" w:space="6" w:color="2FE0C9"/>
        </w:pBdr>
        <w:spacing w:after="240"/>
      </w:pPr>
    </w:p>
    <w:p>
      <w:pPr>
        <w:pStyle w:val="Heading1"/>
      </w:pPr>
      <w:r>
        <w:t>1. System Overview</w:t>
      </w:r>
    </w:p>
    <w:p>
      <w:r>
        <w:t>Underseas Bank is a full-stack digital banking application. The backend is a FastAPI service responsible for authentication, account ownership, transactions, products, analytics, email/OTP behavior, persistence, and security. The frontend is a React/Vite application responsible for routing, user workflows, data display, dashboards, forms, and the final redesigned banking interface.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B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1220"/>
                <w:sz w:val="22"/>
              </w:rPr>
              <w:t>Reading model</w:t>
            </w:r>
          </w:p>
          <w:p>
            <w:pPr>
              <w:spacing w:after="0"/>
            </w:pPr>
            <w:r>
              <w:rPr>
                <w:rFonts w:ascii="Calibri" w:hAnsi="Calibri"/>
                <w:color w:val="555555"/>
                <w:sz w:val="21"/>
              </w:rPr>
              <w:t>Start with the runtime entry points, then models, schemas, routes, services, utilities, and finally the React pages. That order mirrors how data moves through the system.</w:t>
            </w:r>
          </w:p>
        </w:tc>
      </w:tr>
    </w:tbl>
    <w:p/>
    <w:p>
      <w:pPr>
        <w:pStyle w:val="Heading1"/>
      </w:pPr>
      <w:r>
        <w:t>2. Backend Entry and Configuration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600"/>
        <w:gridCol w:w="48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File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Important imports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Purpose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app/main.py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FastAPI, CORSMiddleware, routers, Base/engine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Creates the API app, configures CORS, registers routers, verifies database tables on startup, and exposes health endpoints.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app/config.py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BaseSettings, lru_cache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Centralizes environment-driven settings for database, JWT, Redis/Celery, OTP, email, encryption, app metadata, and CORS origins.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app/database.py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create_engine, declarative_base, sessionmaker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Defines the SQLAlchemy engine, base model class, and request-scoped database session provider.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app/redis_client.py</w:t>
            </w:r>
          </w:p>
        </w:tc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redis, Optional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Provides Redis connectivity used for OTP/cache/task-adjacent behavior when available.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app/celery_worker.py</w:t>
            </w:r>
          </w:p>
        </w:tc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Celery, settings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Configures background task execution through Redis broker/result backend.</w:t>
            </w:r>
          </w:p>
        </w:tc>
      </w:tr>
    </w:tbl>
    <w:p/>
    <w:p>
      <w:pPr>
        <w:pStyle w:val="Heading1"/>
      </w:pPr>
      <w:r>
        <w:t>3. Runtime Request Flow</w:t>
      </w:r>
    </w:p>
    <w:p>
      <w:pPr>
        <w:pStyle w:val="ListNumber"/>
        <w:spacing w:after="80" w:line="300" w:lineRule="auto"/>
      </w:pPr>
      <w:r>
        <w:t>The browser renders a React page from `frontend/src/pages` through `App.jsx` routing.</w:t>
      </w:r>
    </w:p>
    <w:p>
      <w:pPr>
        <w:pStyle w:val="ListNumber"/>
        <w:spacing w:after="80" w:line="300" w:lineRule="auto"/>
      </w:pPr>
      <w:r>
        <w:t>A user action calls a function in `frontend/src/services/api.js`.</w:t>
      </w:r>
    </w:p>
    <w:p>
      <w:pPr>
        <w:pStyle w:val="ListNumber"/>
        <w:spacing w:after="80" w:line="300" w:lineRule="auto"/>
      </w:pPr>
      <w:r>
        <w:t>The API client attaches JSON headers and the bearer token for protected requests.</w:t>
      </w:r>
    </w:p>
    <w:p>
      <w:pPr>
        <w:pStyle w:val="ListNumber"/>
        <w:spacing w:after="80" w:line="300" w:lineRule="auto"/>
      </w:pPr>
      <w:r>
        <w:t>FastAPI receives the request in a route module such as `transaction_routes.py`.</w:t>
      </w:r>
    </w:p>
    <w:p>
      <w:pPr>
        <w:pStyle w:val="ListNumber"/>
        <w:spacing w:after="80" w:line="300" w:lineRule="auto"/>
      </w:pPr>
      <w:r>
        <w:t>Protected routes use `get_current_user` to decode the JWT and load the customer.</w:t>
      </w:r>
    </w:p>
    <w:p>
      <w:pPr>
        <w:pStyle w:val="ListNumber"/>
        <w:spacing w:after="80" w:line="300" w:lineRule="auto"/>
      </w:pPr>
      <w:r>
        <w:t>The route validates ownership and delegates business logic to a service module.</w:t>
      </w:r>
    </w:p>
    <w:p>
      <w:pPr>
        <w:pStyle w:val="ListNumber"/>
        <w:spacing w:after="80" w:line="300" w:lineRule="auto"/>
      </w:pPr>
      <w:r>
        <w:t>The service reads or writes SQLAlchemy models inside a database session.</w:t>
      </w:r>
    </w:p>
    <w:p>
      <w:pPr>
        <w:pStyle w:val="ListNumber"/>
        <w:spacing w:after="80" w:line="300" w:lineRule="auto"/>
      </w:pPr>
      <w:r>
        <w:t>The route returns a schema-shaped JSON response, which React renders into the interface.</w:t>
      </w:r>
    </w:p>
    <w:p>
      <w:pPr>
        <w:pStyle w:val="Heading1"/>
      </w:pPr>
      <w:r>
        <w:t>4. Data Models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600"/>
        <w:gridCol w:w="40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Model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Stored data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Why it matters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User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Name, email, phone number, MPIN hash, verification and lock flags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The ownership anchor for all customer accounts and products.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Account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Encrypted account number, account type, user owner, balance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Represents deposit accounts and the primary balance store.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Transaction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Source/destination accounts, amount, type, timestamp/status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Acts as the ledger and supports statements, passbooks, notifications, and analytics.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Loan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Principal, rate, tenure, EMI, remaining balance, status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Tracks borrowing products and repayment state.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FixedDeposit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Principal, rate, duration, maturity amount, status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Tracks term deposit investments and closure state.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CreditCard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Encrypted card number, linked account, limit, used credit, status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Tracks card issuance, usage, and bill payment.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Beneficiary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Saved payee identity and encrypted account number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Supports repeated transfers to known recipients.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Notification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Customer activity metadata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Provides a foundation for account activity alerts.</w:t>
            </w:r>
          </w:p>
        </w:tc>
      </w:tr>
    </w:tbl>
    <w:p/>
    <w:p>
      <w:pPr>
        <w:pStyle w:val="Heading1"/>
      </w:pPr>
      <w:r>
        <w:t>5. Routes and Services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600"/>
        <w:gridCol w:w="44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Route file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Service layer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Responsibility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auth_routes.py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auth_service.py, otp_service.py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Registration, login, current profile, OTP generation/verification, reset MPIN, and verification status.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account_routes.py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account_service.py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Create/list accounts, lookup account numbers, statements, and passbooks.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transaction_routes.py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transaction_service.py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Deposits, withdrawals, transfers, and transaction history.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loan_routes.py</w:t>
            </w:r>
          </w:p>
        </w:tc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loan_service.py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Loan application, active loans, and EMI payment.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fd_routes.py</w:t>
            </w:r>
          </w:p>
        </w:tc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fd_service.py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Fixed deposit creation, portfolio listing, and closure.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creditcard_routes.py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creditcard_service.py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Card application, card list, purchase simulation, and bill payment.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analytics_routes.py</w:t>
            </w:r>
          </w:p>
        </w:tc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analytics modules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Expense summary, category breakdown, financial health, and suggestions.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beneficiary_routes.py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beneficiary model/service logic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Saved recipient creation and listing.</w:t>
            </w:r>
          </w:p>
        </w:tc>
      </w:tr>
    </w:tbl>
    <w:p/>
    <w:p>
      <w:pPr>
        <w:pStyle w:val="Heading1"/>
      </w:pPr>
      <w:r>
        <w:t>6. Security-Oriented Imports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300"/>
        <w:gridCol w:w="49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Utility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Key dependency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Explanation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password_hash.py</w:t>
            </w:r>
          </w:p>
        </w:tc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Passlib bcrypt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Hashes MPINs so the original PIN is not stored.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jwt_handler.py</w:t>
            </w:r>
          </w:p>
        </w:tc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python-jose / JWT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Creates and validates access tokens.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encryption.py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cryptography.Fernet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Encrypts account, card, and beneficiary identifiers at rest.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lookup_hash.py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hashlib / HMAC-style lookup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Allows exact-match searches without exposing encrypted source values.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otp_service.py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secrets, Redis/fallback store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Creates time-limited OTP codes and deletes them after successful verification.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auth_middleware.py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OAuth2PasswordBearer, Depends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Extracts bearer tokens and loads the current authenticated user.</w:t>
            </w:r>
          </w:p>
        </w:tc>
      </w:tr>
    </w:tbl>
    <w:p/>
    <w:p>
      <w:pPr>
        <w:pStyle w:val="Heading1"/>
      </w:pPr>
      <w:r>
        <w:t>7. Frontend Structure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400"/>
        <w:gridCol w:w="41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Area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Files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Role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Routing</w:t>
            </w:r>
          </w:p>
        </w:tc>
        <w:tc>
          <w:tcPr>
            <w:tcW w:type="dxa" w:w="34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App.jsx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Maps `/` to the landing page, `/login` to auth, and authenticated paths to banking pages.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API client</w:t>
            </w:r>
          </w:p>
        </w:tc>
        <w:tc>
          <w:tcPr>
            <w:tcW w:type="dxa" w:w="34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services/api.js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Centralizes fetch calls, attaches auth headers, parses errors, and exposes functions by domain.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Layout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layout/MainLayout.jsx, Header.jsx, Sidebar.jsx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Creates the app shell, mobile nav, notifications, profile menu, and sign-out flow.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Pages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Landing, Login, Dashboard, Accounts, Transfer, Transactions, Loans, FixedDeposit, CreditCard, Analytics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Implement user-facing workflows and data displays.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Components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Card, ExpenseChart, TransactionTable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Reusable UI and data-display components.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Design system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index.css, auth.css, App.css</w:t>
            </w:r>
          </w:p>
        </w:tc>
        <w:tc>
          <w:tcPr>
            <w:tcW w:type="dxa" w:w="41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Defines tokens, typography, responsive behavior, visual hierarchy, and the redesigned vault aesthetic.</w:t>
            </w:r>
          </w:p>
        </w:tc>
      </w:tr>
    </w:tbl>
    <w:p/>
    <w:p>
      <w:pPr>
        <w:pStyle w:val="Heading1"/>
      </w:pPr>
      <w:r>
        <w:t>8. Design-System Files Added in the Final Pass</w:t>
      </w:r>
    </w:p>
    <w:p>
      <w:r>
        <w:t>The final UI pass added a landing page and a tokenized redesign layer. The route `/` now presents the product landing page, while `/login` preserves the original authentication workflow. The CSS layer introduces abyss navy surfaces, bioluminescent teal accents, gold premium accents, focus rings, reduced-motion handling, vault cards, skeleton states, and polished marketing sections.</w:t>
      </w:r>
    </w:p>
    <w:p>
      <w:pPr>
        <w:pStyle w:val="Heading1"/>
      </w:pPr>
      <w:r>
        <w:t>9. Configuration Reference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Setting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A1220"/>
                <w:sz w:val="19"/>
              </w:rPr>
              <w:t>Purpose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DATABASE_URL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PostgreSQL connection string used by SQLAlchemy.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SECRET_KEY / ALGORITHM / ACCESS_TOKEN_EXPIRE_MINUTES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Controls JWT signing and access token lifetime.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REDIS_URL / CELERY_*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Connects OTP/cache/background task infrastructure.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OTP_EXPIRE_SECONDS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Defines OTP validity duration.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BREVO_API_KEY / SMTP fields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Email delivery configuration. Brevo is the current primary API key path while SMTP fields remain as legacy reference.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FIELD_ENCRYPTION_KEY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Fernet key for field-level encryption.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CORS_ORIGINS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Allowed browser origins for frontend/API communication.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DEBUG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Controls whether interactive API docs are exposed.</w:t>
            </w:r>
          </w:p>
        </w:tc>
      </w:tr>
    </w:tbl>
    <w:p/>
    <w:p>
      <w:pPr>
        <w:pStyle w:val="Heading1"/>
      </w:pPr>
      <w:r>
        <w:t>10. Current Strengths and Remaining Engineering Work</w:t>
      </w:r>
    </w:p>
    <w:p>
      <w:pPr>
        <w:pStyle w:val="ListBullet"/>
        <w:spacing w:after="80" w:line="300" w:lineRule="auto"/>
      </w:pPr>
      <w:r>
        <w:t>The codebase separates models, schemas, routes, services, utilities, analytics, and frontend pages cleanly.</w:t>
      </w:r>
    </w:p>
    <w:p>
      <w:pPr>
        <w:pStyle w:val="ListBullet"/>
        <w:spacing w:after="80" w:line="300" w:lineRule="auto"/>
      </w:pPr>
      <w:r>
        <w:t>Security primitives exist for MPIN hashing, JWT auth, OTP verification, field encryption, and ownership checks.</w:t>
      </w:r>
    </w:p>
    <w:p>
      <w:pPr>
        <w:pStyle w:val="ListBullet"/>
        <w:spacing w:after="80" w:line="300" w:lineRule="auto"/>
      </w:pPr>
      <w:r>
        <w:t>The frontend now has a more cohesive visual hierarchy and a first-impression landing page.</w:t>
      </w:r>
    </w:p>
    <w:p>
      <w:pPr>
        <w:pStyle w:val="ListBullet"/>
        <w:spacing w:after="80" w:line="300" w:lineRule="auto"/>
      </w:pPr>
      <w:r>
        <w:t>Future hardening should add Alembic migrations, stronger automated tests, decimal money handling, audit logging, refresh-token/session lifecycle improvements, and production secret rotation.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Underseas Bank | Final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8"/>
      </w:rPr>
      <w:t>Underseas Bank | Code and Imports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