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C9A24B"/>
          <w:sz w:val="20"/>
        </w:rPr>
        <w:t>FINAL PROJECT HANDBOOK</w:t>
      </w:r>
    </w:p>
    <w:p>
      <w:pPr>
        <w:spacing w:after="80"/>
      </w:pPr>
      <w:r>
        <w:rPr>
          <w:rFonts w:ascii="Calibri" w:hAnsi="Calibri"/>
          <w:b/>
          <w:color w:val="0A1220"/>
          <w:sz w:val="52"/>
        </w:rPr>
        <w:t>UNDERSEAS BANK</w:t>
      </w:r>
    </w:p>
    <w:p>
      <w:pPr>
        <w:spacing w:after="280"/>
      </w:pPr>
      <w:r>
        <w:rPr>
          <w:rFonts w:ascii="Calibri" w:hAnsi="Calibri"/>
          <w:color w:val="555555"/>
          <w:sz w:val="26"/>
        </w:rPr>
        <w:t>Complete explanation of the project from the smallest implementation details to the largest system architecture and user experience decisions.</w:t>
      </w:r>
    </w:p>
    <w:p>
      <w:pPr>
        <w:spacing w:after="40"/>
      </w:pPr>
      <w:r>
        <w:rPr>
          <w:rFonts w:ascii="Calibri" w:hAnsi="Calibri"/>
          <w:b/>
          <w:color w:val="0A1220"/>
          <w:sz w:val="21"/>
        </w:rPr>
        <w:t xml:space="preserve">Prepared for: </w:t>
      </w:r>
      <w:r>
        <w:rPr>
          <w:rFonts w:ascii="Calibri" w:hAnsi="Calibri"/>
          <w:color w:val="555555"/>
          <w:sz w:val="21"/>
        </w:rPr>
        <w:t>Final project review and future handoff</w:t>
      </w:r>
    </w:p>
    <w:p>
      <w:pPr>
        <w:spacing w:after="40"/>
      </w:pPr>
      <w:r>
        <w:rPr>
          <w:rFonts w:ascii="Calibri" w:hAnsi="Calibri"/>
          <w:b/>
          <w:color w:val="0A1220"/>
          <w:sz w:val="21"/>
        </w:rPr>
        <w:t xml:space="preserve">Stack: </w:t>
      </w:r>
      <w:r>
        <w:rPr>
          <w:rFonts w:ascii="Calibri" w:hAnsi="Calibri"/>
          <w:color w:val="555555"/>
          <w:sz w:val="21"/>
        </w:rPr>
        <w:t>FastAPI, PostgreSQL, SQLAlchemy, Redis, Celery, React 19, Vite, Recharts, Docker, Nginx</w:t>
      </w:r>
    </w:p>
    <w:p>
      <w:pPr>
        <w:spacing w:after="40"/>
      </w:pPr>
      <w:r>
        <w:rPr>
          <w:rFonts w:ascii="Calibri" w:hAnsi="Calibri"/>
          <w:b/>
          <w:color w:val="0A1220"/>
          <w:sz w:val="21"/>
        </w:rPr>
        <w:t xml:space="preserve">Document type: </w:t>
      </w:r>
      <w:r>
        <w:rPr>
          <w:rFonts w:ascii="Calibri" w:hAnsi="Calibri"/>
          <w:color w:val="555555"/>
          <w:sz w:val="21"/>
        </w:rPr>
        <w:t>Comprehensive technical and product handbook</w:t>
      </w:r>
    </w:p>
    <w:p>
      <w:pPr>
        <w:pBdr>
          <w:bottom w:val="single" w:sz="10" w:space="6" w:color="2FE0C9"/>
        </w:pBdr>
        <w:spacing w:after="240"/>
      </w:pPr>
    </w:p>
    <w:p>
      <w:pPr>
        <w:pStyle w:val="Heading1"/>
      </w:pPr>
      <w:r>
        <w:t>1. What Underseas Bank Is</w:t>
      </w:r>
    </w:p>
    <w:p>
      <w:r>
        <w:t>Underseas Bank is a full-stack digital banking application that demonstrates secure customer authentication, account creation, deposits, withdrawals, transfers, statements, loans, fixed deposits, credit cards, beneficiaries, analytics, notifications, and a redesigned premium banking interface. It is structured as a realistic fintech-style project: a FastAPI backend owns business rules and persistence, while a React frontend owns user workflows and presentation.</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AF4E3"/>
          </w:tcPr>
          <w:p>
            <w:pPr>
              <w:spacing w:after="60"/>
            </w:pPr>
            <w:r>
              <w:rPr>
                <w:rFonts w:ascii="Calibri" w:hAnsi="Calibri"/>
                <w:b/>
                <w:color w:val="0A1220"/>
                <w:sz w:val="22"/>
              </w:rPr>
              <w:t>Core idea</w:t>
            </w:r>
          </w:p>
          <w:p>
            <w:pPr>
              <w:spacing w:after="0"/>
            </w:pPr>
            <w:r>
              <w:rPr>
                <w:rFonts w:ascii="Calibri" w:hAnsi="Calibri"/>
                <w:color w:val="555555"/>
                <w:sz w:val="21"/>
              </w:rPr>
              <w:t>The app is not just a UI clone. It models the real responsibilities of a banking system: identity, authorization, ownership, ledger-style activity, product state, sensitive-data protection, and customer-facing clarity.</w:t>
            </w:r>
          </w:p>
        </w:tc>
      </w:tr>
    </w:tbl>
    <w:p/>
    <w:p>
      <w:pPr>
        <w:pStyle w:val="Heading1"/>
      </w:pPr>
      <w:r>
        <w:t>2. Biggest-Picture Architecture</w:t>
      </w:r>
    </w:p>
    <w:tbl>
      <w:tblPr>
        <w:tblStyle w:val="TableGrid"/>
        <w:tblW w:type="dxa" w:w="9360"/>
        <w:jc w:val="center"/>
        <w:tblLayout w:type="fixed"/>
        <w:tblLook w:firstColumn="1" w:firstRow="1" w:lastColumn="0" w:lastRow="0" w:noHBand="0" w:noVBand="1" w:val="04A0"/>
      </w:tblPr>
      <w:tblGrid>
        <w:gridCol w:w="1600"/>
        <w:gridCol w:w="2600"/>
        <w:gridCol w:w="5160"/>
      </w:tblGrid>
      <w:tr>
        <w:tc>
          <w:tcPr>
            <w:tcW w:type="dxa" w:w="1600"/>
            <w:vAlign w:val="center"/>
            <w:tcMar>
              <w:top w:w="80" w:type="dxa"/>
              <w:start w:w="120" w:type="dxa"/>
              <w:bottom w:w="80" w:type="dxa"/>
              <w:end w:w="120" w:type="dxa"/>
            </w:tcMar>
            <w:shd w:fill="E8EEF5"/>
          </w:tcPr>
          <w:p>
            <w:pPr>
              <w:spacing w:after="0"/>
              <w:jc w:val="center"/>
            </w:pPr>
            <w:r>
              <w:rPr>
                <w:rFonts w:ascii="Calibri" w:hAnsi="Calibri"/>
                <w:b/>
                <w:color w:val="0A1220"/>
                <w:sz w:val="19"/>
              </w:rPr>
              <w:t>Layer</w:t>
            </w:r>
          </w:p>
        </w:tc>
        <w:tc>
          <w:tcPr>
            <w:tcW w:type="dxa" w:w="2600"/>
            <w:vAlign w:val="center"/>
            <w:tcMar>
              <w:top w:w="80" w:type="dxa"/>
              <w:start w:w="120" w:type="dxa"/>
              <w:bottom w:w="80" w:type="dxa"/>
              <w:end w:w="120" w:type="dxa"/>
            </w:tcMar>
            <w:shd w:fill="E8EEF5"/>
          </w:tcPr>
          <w:p>
            <w:pPr>
              <w:spacing w:after="0"/>
              <w:jc w:val="center"/>
            </w:pPr>
            <w:r>
              <w:rPr>
                <w:rFonts w:ascii="Calibri" w:hAnsi="Calibri"/>
                <w:b/>
                <w:color w:val="0A1220"/>
                <w:sz w:val="19"/>
              </w:rPr>
              <w:t>Technology</w:t>
            </w:r>
          </w:p>
        </w:tc>
        <w:tc>
          <w:tcPr>
            <w:tcW w:type="dxa" w:w="5160"/>
            <w:vAlign w:val="center"/>
            <w:tcMar>
              <w:top w:w="80" w:type="dxa"/>
              <w:start w:w="120" w:type="dxa"/>
              <w:bottom w:w="80" w:type="dxa"/>
              <w:end w:w="120" w:type="dxa"/>
            </w:tcMar>
            <w:shd w:fill="E8EEF5"/>
          </w:tcPr>
          <w:p>
            <w:pPr>
              <w:spacing w:after="0"/>
              <w:jc w:val="center"/>
            </w:pPr>
            <w:r>
              <w:rPr>
                <w:rFonts w:ascii="Calibri" w:hAnsi="Calibri"/>
                <w:b/>
                <w:color w:val="0A1220"/>
                <w:sz w:val="19"/>
              </w:rPr>
              <w:t>Responsibility</w:t>
            </w:r>
          </w:p>
        </w:tc>
      </w:tr>
      <w:tr>
        <w:tc>
          <w:tcPr>
            <w:tcW w:type="dxa" w:w="1600"/>
          </w:tcPr>
          <w:p>
            <w:pPr>
              <w:spacing w:after="0"/>
              <w:jc w:val="center"/>
            </w:pPr>
            <w:r>
              <w:rPr>
                <w:rFonts w:ascii="Calibri" w:hAnsi="Calibri"/>
                <w:color w:val="1E293B"/>
                <w:sz w:val="19"/>
              </w:rPr>
              <w:t>Frontend</w:t>
            </w:r>
          </w:p>
        </w:tc>
        <w:tc>
          <w:tcPr>
            <w:tcW w:type="dxa" w:w="2600"/>
          </w:tcPr>
          <w:p>
            <w:pPr>
              <w:spacing w:after="0"/>
            </w:pPr>
            <w:r>
              <w:rPr>
                <w:rFonts w:ascii="Calibri" w:hAnsi="Calibri"/>
                <w:color w:val="1E293B"/>
                <w:sz w:val="19"/>
              </w:rPr>
              <w:t>React 19 + Vite + React Router + CSS</w:t>
            </w:r>
          </w:p>
        </w:tc>
        <w:tc>
          <w:tcPr>
            <w:tcW w:type="dxa" w:w="5160"/>
          </w:tcPr>
          <w:p>
            <w:pPr>
              <w:spacing w:after="0"/>
            </w:pPr>
            <w:r>
              <w:rPr>
                <w:rFonts w:ascii="Calibri" w:hAnsi="Calibri"/>
                <w:color w:val="1E293B"/>
                <w:sz w:val="19"/>
              </w:rPr>
              <w:t>Renders pages, captures form input, handles client routing, displays dashboards/charts, and calls the API.</w:t>
            </w:r>
          </w:p>
        </w:tc>
      </w:tr>
      <w:tr>
        <w:tc>
          <w:tcPr>
            <w:tcW w:type="dxa" w:w="1600"/>
          </w:tcPr>
          <w:p>
            <w:pPr>
              <w:spacing w:after="0"/>
              <w:jc w:val="center"/>
            </w:pPr>
            <w:r>
              <w:rPr>
                <w:rFonts w:ascii="Calibri" w:hAnsi="Calibri"/>
                <w:color w:val="1E293B"/>
                <w:sz w:val="19"/>
              </w:rPr>
              <w:t>API</w:t>
            </w:r>
          </w:p>
        </w:tc>
        <w:tc>
          <w:tcPr>
            <w:tcW w:type="dxa" w:w="2600"/>
          </w:tcPr>
          <w:p>
            <w:pPr>
              <w:spacing w:after="0"/>
              <w:jc w:val="center"/>
            </w:pPr>
            <w:r>
              <w:rPr>
                <w:rFonts w:ascii="Calibri" w:hAnsi="Calibri"/>
                <w:color w:val="1E293B"/>
                <w:sz w:val="19"/>
              </w:rPr>
              <w:t>FastAPI</w:t>
            </w:r>
          </w:p>
        </w:tc>
        <w:tc>
          <w:tcPr>
            <w:tcW w:type="dxa" w:w="5160"/>
          </w:tcPr>
          <w:p>
            <w:pPr>
              <w:spacing w:after="0"/>
            </w:pPr>
            <w:r>
              <w:rPr>
                <w:rFonts w:ascii="Calibri" w:hAnsi="Calibri"/>
                <w:color w:val="1E293B"/>
                <w:sz w:val="19"/>
              </w:rPr>
              <w:t>Exposes route endpoints, validates authenticated access, and coordinates service logic.</w:t>
            </w:r>
          </w:p>
        </w:tc>
      </w:tr>
      <w:tr>
        <w:tc>
          <w:tcPr>
            <w:tcW w:type="dxa" w:w="1600"/>
          </w:tcPr>
          <w:p>
            <w:pPr>
              <w:spacing w:after="0"/>
              <w:jc w:val="center"/>
            </w:pPr>
            <w:r>
              <w:rPr>
                <w:rFonts w:ascii="Calibri" w:hAnsi="Calibri"/>
                <w:color w:val="1E293B"/>
                <w:sz w:val="19"/>
              </w:rPr>
              <w:t>Business logic</w:t>
            </w:r>
          </w:p>
        </w:tc>
        <w:tc>
          <w:tcPr>
            <w:tcW w:type="dxa" w:w="2600"/>
          </w:tcPr>
          <w:p>
            <w:pPr>
              <w:spacing w:after="0"/>
              <w:jc w:val="center"/>
            </w:pPr>
            <w:r>
              <w:rPr>
                <w:rFonts w:ascii="Calibri" w:hAnsi="Calibri"/>
                <w:color w:val="1E293B"/>
                <w:sz w:val="19"/>
              </w:rPr>
              <w:t>Service modules</w:t>
            </w:r>
          </w:p>
        </w:tc>
        <w:tc>
          <w:tcPr>
            <w:tcW w:type="dxa" w:w="5160"/>
          </w:tcPr>
          <w:p>
            <w:pPr>
              <w:spacing w:after="0"/>
            </w:pPr>
            <w:r>
              <w:rPr>
                <w:rFonts w:ascii="Calibri" w:hAnsi="Calibri"/>
                <w:color w:val="1E293B"/>
                <w:sz w:val="19"/>
              </w:rPr>
              <w:t>Implements banking workflows such as transfers, deposits, loans, FDs, card purchases, and OTP verification.</w:t>
            </w:r>
          </w:p>
        </w:tc>
      </w:tr>
      <w:tr>
        <w:tc>
          <w:tcPr>
            <w:tcW w:type="dxa" w:w="1600"/>
          </w:tcPr>
          <w:p>
            <w:pPr>
              <w:spacing w:after="0"/>
              <w:jc w:val="center"/>
            </w:pPr>
            <w:r>
              <w:rPr>
                <w:rFonts w:ascii="Calibri" w:hAnsi="Calibri"/>
                <w:color w:val="1E293B"/>
                <w:sz w:val="19"/>
              </w:rPr>
              <w:t>Data validation</w:t>
            </w:r>
          </w:p>
        </w:tc>
        <w:tc>
          <w:tcPr>
            <w:tcW w:type="dxa" w:w="2600"/>
          </w:tcPr>
          <w:p>
            <w:pPr>
              <w:spacing w:after="0"/>
              <w:jc w:val="center"/>
            </w:pPr>
            <w:r>
              <w:rPr>
                <w:rFonts w:ascii="Calibri" w:hAnsi="Calibri"/>
                <w:color w:val="1E293B"/>
                <w:sz w:val="19"/>
              </w:rPr>
              <w:t>Pydantic schemas</w:t>
            </w:r>
          </w:p>
        </w:tc>
        <w:tc>
          <w:tcPr>
            <w:tcW w:type="dxa" w:w="5160"/>
          </w:tcPr>
          <w:p>
            <w:pPr>
              <w:spacing w:after="0"/>
            </w:pPr>
            <w:r>
              <w:rPr>
                <w:rFonts w:ascii="Calibri" w:hAnsi="Calibri"/>
                <w:color w:val="1E293B"/>
                <w:sz w:val="19"/>
              </w:rPr>
              <w:t>Controls accepted request shape and returned response shape.</w:t>
            </w:r>
          </w:p>
        </w:tc>
      </w:tr>
      <w:tr>
        <w:tc>
          <w:tcPr>
            <w:tcW w:type="dxa" w:w="1600"/>
          </w:tcPr>
          <w:p>
            <w:pPr>
              <w:spacing w:after="0"/>
              <w:jc w:val="center"/>
            </w:pPr>
            <w:r>
              <w:rPr>
                <w:rFonts w:ascii="Calibri" w:hAnsi="Calibri"/>
                <w:color w:val="1E293B"/>
                <w:sz w:val="19"/>
              </w:rPr>
              <w:t>Persistence</w:t>
            </w:r>
          </w:p>
        </w:tc>
        <w:tc>
          <w:tcPr>
            <w:tcW w:type="dxa" w:w="2600"/>
          </w:tcPr>
          <w:p>
            <w:pPr>
              <w:spacing w:after="0"/>
            </w:pPr>
            <w:r>
              <w:rPr>
                <w:rFonts w:ascii="Calibri" w:hAnsi="Calibri"/>
                <w:color w:val="1E293B"/>
                <w:sz w:val="19"/>
              </w:rPr>
              <w:t>PostgreSQL + SQLAlchemy</w:t>
            </w:r>
          </w:p>
        </w:tc>
        <w:tc>
          <w:tcPr>
            <w:tcW w:type="dxa" w:w="5160"/>
          </w:tcPr>
          <w:p>
            <w:pPr>
              <w:spacing w:after="0"/>
            </w:pPr>
            <w:r>
              <w:rPr>
                <w:rFonts w:ascii="Calibri" w:hAnsi="Calibri"/>
                <w:color w:val="1E293B"/>
                <w:sz w:val="19"/>
              </w:rPr>
              <w:t>Stores users, accounts, transactions, products, beneficiaries, and notifications.</w:t>
            </w:r>
          </w:p>
        </w:tc>
      </w:tr>
      <w:tr>
        <w:tc>
          <w:tcPr>
            <w:tcW w:type="dxa" w:w="1600"/>
          </w:tcPr>
          <w:p>
            <w:pPr>
              <w:spacing w:after="0"/>
              <w:jc w:val="center"/>
            </w:pPr>
            <w:r>
              <w:rPr>
                <w:rFonts w:ascii="Calibri" w:hAnsi="Calibri"/>
                <w:color w:val="1E293B"/>
                <w:sz w:val="19"/>
              </w:rPr>
              <w:t>Async/cache</w:t>
            </w:r>
          </w:p>
        </w:tc>
        <w:tc>
          <w:tcPr>
            <w:tcW w:type="dxa" w:w="2600"/>
          </w:tcPr>
          <w:p>
            <w:pPr>
              <w:spacing w:after="0"/>
              <w:jc w:val="center"/>
            </w:pPr>
            <w:r>
              <w:rPr>
                <w:rFonts w:ascii="Calibri" w:hAnsi="Calibri"/>
                <w:color w:val="1E293B"/>
                <w:sz w:val="19"/>
              </w:rPr>
              <w:t>Redis + Celery</w:t>
            </w:r>
          </w:p>
        </w:tc>
        <w:tc>
          <w:tcPr>
            <w:tcW w:type="dxa" w:w="5160"/>
          </w:tcPr>
          <w:p>
            <w:pPr>
              <w:spacing w:after="0"/>
            </w:pPr>
            <w:r>
              <w:rPr>
                <w:rFonts w:ascii="Calibri" w:hAnsi="Calibri"/>
                <w:color w:val="1E293B"/>
                <w:sz w:val="19"/>
              </w:rPr>
              <w:t>Supports background email/task behavior and OTP/cache-style workflows.</w:t>
            </w:r>
          </w:p>
        </w:tc>
      </w:tr>
      <w:tr>
        <w:tc>
          <w:tcPr>
            <w:tcW w:type="dxa" w:w="1600"/>
          </w:tcPr>
          <w:p>
            <w:pPr>
              <w:spacing w:after="0"/>
            </w:pPr>
            <w:r>
              <w:rPr>
                <w:rFonts w:ascii="Calibri" w:hAnsi="Calibri"/>
                <w:color w:val="1E293B"/>
                <w:sz w:val="19"/>
              </w:rPr>
              <w:t>Security utilities</w:t>
            </w:r>
          </w:p>
        </w:tc>
        <w:tc>
          <w:tcPr>
            <w:tcW w:type="dxa" w:w="2600"/>
          </w:tcPr>
          <w:p>
            <w:pPr>
              <w:spacing w:after="0"/>
            </w:pPr>
            <w:r>
              <w:rPr>
                <w:rFonts w:ascii="Calibri" w:hAnsi="Calibri"/>
                <w:color w:val="1E293B"/>
                <w:sz w:val="19"/>
              </w:rPr>
              <w:t>bcrypt, JWT, Fernet, lookup hashes</w:t>
            </w:r>
          </w:p>
        </w:tc>
        <w:tc>
          <w:tcPr>
            <w:tcW w:type="dxa" w:w="5160"/>
          </w:tcPr>
          <w:p>
            <w:pPr>
              <w:spacing w:after="0"/>
            </w:pPr>
            <w:r>
              <w:rPr>
                <w:rFonts w:ascii="Calibri" w:hAnsi="Calibri"/>
                <w:color w:val="1E293B"/>
                <w:sz w:val="19"/>
              </w:rPr>
              <w:t>Protect MPINs, sessions, and sensitive identifiers.</w:t>
            </w:r>
          </w:p>
        </w:tc>
      </w:tr>
      <w:tr>
        <w:tc>
          <w:tcPr>
            <w:tcW w:type="dxa" w:w="1600"/>
          </w:tcPr>
          <w:p>
            <w:pPr>
              <w:spacing w:after="0"/>
            </w:pPr>
            <w:r>
              <w:rPr>
                <w:rFonts w:ascii="Calibri" w:hAnsi="Calibri"/>
                <w:color w:val="1E293B"/>
                <w:sz w:val="19"/>
              </w:rPr>
              <w:t>Deployment support</w:t>
            </w:r>
          </w:p>
        </w:tc>
        <w:tc>
          <w:tcPr>
            <w:tcW w:type="dxa" w:w="2600"/>
          </w:tcPr>
          <w:p>
            <w:pPr>
              <w:spacing w:after="0"/>
            </w:pPr>
            <w:r>
              <w:rPr>
                <w:rFonts w:ascii="Calibri" w:hAnsi="Calibri"/>
                <w:color w:val="1E293B"/>
                <w:sz w:val="19"/>
              </w:rPr>
              <w:t>Docker, Docker Compose, Nginx, Render/Vercel config</w:t>
            </w:r>
          </w:p>
        </w:tc>
        <w:tc>
          <w:tcPr>
            <w:tcW w:type="dxa" w:w="5160"/>
          </w:tcPr>
          <w:p>
            <w:pPr>
              <w:spacing w:after="0"/>
            </w:pPr>
            <w:r>
              <w:rPr>
                <w:rFonts w:ascii="Calibri" w:hAnsi="Calibri"/>
                <w:color w:val="1E293B"/>
                <w:sz w:val="19"/>
              </w:rPr>
              <w:t>Supports local and hosted deployment paths.</w:t>
            </w:r>
          </w:p>
        </w:tc>
      </w:tr>
    </w:tbl>
    <w:p/>
    <w:p>
      <w:pPr>
        <w:pStyle w:val="Heading1"/>
      </w:pPr>
      <w:r>
        <w:t>3. Repository Map</w:t>
      </w:r>
    </w:p>
    <w:tbl>
      <w:tblPr>
        <w:tblStyle w:val="TableGrid"/>
        <w:tblW w:type="dxa" w:w="9360"/>
        <w:jc w:val="center"/>
        <w:tblLayout w:type="fixed"/>
        <w:tblLook w:firstColumn="1" w:firstRow="1" w:lastColumn="0" w:lastRow="0" w:noHBand="0" w:noVBand="1" w:val="04A0"/>
      </w:tblPr>
      <w:tblGrid>
        <w:gridCol w:w="2200"/>
        <w:gridCol w:w="3200"/>
        <w:gridCol w:w="3960"/>
      </w:tblGrid>
      <w:tr>
        <w:tc>
          <w:tcPr>
            <w:tcW w:type="dxa" w:w="2200"/>
            <w:vAlign w:val="center"/>
            <w:tcMar>
              <w:top w:w="80" w:type="dxa"/>
              <w:start w:w="120" w:type="dxa"/>
              <w:bottom w:w="80" w:type="dxa"/>
              <w:end w:w="120" w:type="dxa"/>
            </w:tcMar>
            <w:shd w:fill="F2F4F7"/>
          </w:tcPr>
          <w:p>
            <w:pPr>
              <w:spacing w:after="0"/>
              <w:jc w:val="center"/>
            </w:pPr>
            <w:r>
              <w:rPr>
                <w:rFonts w:ascii="Calibri" w:hAnsi="Calibri"/>
                <w:b/>
                <w:color w:val="0A1220"/>
                <w:sz w:val="19"/>
              </w:rPr>
              <w:t>Folder/file</w:t>
            </w:r>
          </w:p>
        </w:tc>
        <w:tc>
          <w:tcPr>
            <w:tcW w:type="dxa" w:w="3200"/>
            <w:vAlign w:val="center"/>
            <w:tcMar>
              <w:top w:w="80" w:type="dxa"/>
              <w:start w:w="120" w:type="dxa"/>
              <w:bottom w:w="80" w:type="dxa"/>
              <w:end w:w="120" w:type="dxa"/>
            </w:tcMar>
            <w:shd w:fill="F2F4F7"/>
          </w:tcPr>
          <w:p>
            <w:pPr>
              <w:spacing w:after="0"/>
              <w:jc w:val="center"/>
            </w:pPr>
            <w:r>
              <w:rPr>
                <w:rFonts w:ascii="Calibri" w:hAnsi="Calibri"/>
                <w:b/>
                <w:color w:val="0A1220"/>
                <w:sz w:val="19"/>
              </w:rPr>
              <w:t>What it contains</w:t>
            </w:r>
          </w:p>
        </w:tc>
        <w:tc>
          <w:tcPr>
            <w:tcW w:type="dxa" w:w="3960"/>
            <w:vAlign w:val="center"/>
            <w:tcMar>
              <w:top w:w="80" w:type="dxa"/>
              <w:start w:w="120" w:type="dxa"/>
              <w:bottom w:w="80" w:type="dxa"/>
              <w:end w:w="120" w:type="dxa"/>
            </w:tcMar>
            <w:shd w:fill="F2F4F7"/>
          </w:tcPr>
          <w:p>
            <w:pPr>
              <w:spacing w:after="0"/>
              <w:jc w:val="center"/>
            </w:pPr>
            <w:r>
              <w:rPr>
                <w:rFonts w:ascii="Calibri" w:hAnsi="Calibri"/>
                <w:b/>
                <w:color w:val="0A1220"/>
                <w:sz w:val="19"/>
              </w:rPr>
              <w:t>Why it exists</w:t>
            </w:r>
          </w:p>
        </w:tc>
      </w:tr>
      <w:tr>
        <w:tc>
          <w:tcPr>
            <w:tcW w:type="dxa" w:w="2200"/>
          </w:tcPr>
          <w:p>
            <w:pPr>
              <w:spacing w:after="0"/>
              <w:jc w:val="center"/>
            </w:pPr>
            <w:r>
              <w:rPr>
                <w:rFonts w:ascii="Calibri" w:hAnsi="Calibri"/>
                <w:color w:val="1E293B"/>
                <w:sz w:val="19"/>
              </w:rPr>
              <w:t>backend/app</w:t>
            </w:r>
          </w:p>
        </w:tc>
        <w:tc>
          <w:tcPr>
            <w:tcW w:type="dxa" w:w="3200"/>
          </w:tcPr>
          <w:p>
            <w:pPr>
              <w:spacing w:after="0"/>
            </w:pPr>
            <w:r>
              <w:rPr>
                <w:rFonts w:ascii="Calibri" w:hAnsi="Calibri"/>
                <w:color w:val="1E293B"/>
                <w:sz w:val="19"/>
              </w:rPr>
              <w:t>FastAPI application code</w:t>
            </w:r>
          </w:p>
        </w:tc>
        <w:tc>
          <w:tcPr>
            <w:tcW w:type="dxa" w:w="3960"/>
          </w:tcPr>
          <w:p>
            <w:pPr>
              <w:spacing w:after="0"/>
            </w:pPr>
            <w:r>
              <w:rPr>
                <w:rFonts w:ascii="Calibri" w:hAnsi="Calibri"/>
                <w:color w:val="1E293B"/>
                <w:sz w:val="19"/>
              </w:rPr>
              <w:t>The backend's executable core.</w:t>
            </w:r>
          </w:p>
        </w:tc>
      </w:tr>
      <w:tr>
        <w:tc>
          <w:tcPr>
            <w:tcW w:type="dxa" w:w="2200"/>
          </w:tcPr>
          <w:p>
            <w:pPr>
              <w:spacing w:after="0"/>
            </w:pPr>
            <w:r>
              <w:rPr>
                <w:rFonts w:ascii="Calibri" w:hAnsi="Calibri"/>
                <w:color w:val="1E293B"/>
                <w:sz w:val="19"/>
              </w:rPr>
              <w:t>backend/app/models</w:t>
            </w:r>
          </w:p>
        </w:tc>
        <w:tc>
          <w:tcPr>
            <w:tcW w:type="dxa" w:w="3200"/>
          </w:tcPr>
          <w:p>
            <w:pPr>
              <w:spacing w:after="0"/>
              <w:jc w:val="center"/>
            </w:pPr>
            <w:r>
              <w:rPr>
                <w:rFonts w:ascii="Calibri" w:hAnsi="Calibri"/>
                <w:color w:val="1E293B"/>
                <w:sz w:val="19"/>
              </w:rPr>
              <w:t>SQLAlchemy models</w:t>
            </w:r>
          </w:p>
        </w:tc>
        <w:tc>
          <w:tcPr>
            <w:tcW w:type="dxa" w:w="3960"/>
          </w:tcPr>
          <w:p>
            <w:pPr>
              <w:spacing w:after="0"/>
            </w:pPr>
            <w:r>
              <w:rPr>
                <w:rFonts w:ascii="Calibri" w:hAnsi="Calibri"/>
                <w:color w:val="1E293B"/>
                <w:sz w:val="19"/>
              </w:rPr>
              <w:t>Defines database tables and relationships.</w:t>
            </w:r>
          </w:p>
        </w:tc>
      </w:tr>
      <w:tr>
        <w:tc>
          <w:tcPr>
            <w:tcW w:type="dxa" w:w="2200"/>
          </w:tcPr>
          <w:p>
            <w:pPr>
              <w:spacing w:after="0"/>
            </w:pPr>
            <w:r>
              <w:rPr>
                <w:rFonts w:ascii="Calibri" w:hAnsi="Calibri"/>
                <w:color w:val="1E293B"/>
                <w:sz w:val="19"/>
              </w:rPr>
              <w:t>backend/app/schemas</w:t>
            </w:r>
          </w:p>
        </w:tc>
        <w:tc>
          <w:tcPr>
            <w:tcW w:type="dxa" w:w="3200"/>
          </w:tcPr>
          <w:p>
            <w:pPr>
              <w:spacing w:after="0"/>
              <w:jc w:val="center"/>
            </w:pPr>
            <w:r>
              <w:rPr>
                <w:rFonts w:ascii="Calibri" w:hAnsi="Calibri"/>
                <w:color w:val="1E293B"/>
                <w:sz w:val="19"/>
              </w:rPr>
              <w:t>Pydantic schemas</w:t>
            </w:r>
          </w:p>
        </w:tc>
        <w:tc>
          <w:tcPr>
            <w:tcW w:type="dxa" w:w="3960"/>
          </w:tcPr>
          <w:p>
            <w:pPr>
              <w:spacing w:after="0"/>
            </w:pPr>
            <w:r>
              <w:rPr>
                <w:rFonts w:ascii="Calibri" w:hAnsi="Calibri"/>
                <w:color w:val="1E293B"/>
                <w:sz w:val="19"/>
              </w:rPr>
              <w:t>Defines request/response contracts.</w:t>
            </w:r>
          </w:p>
        </w:tc>
      </w:tr>
      <w:tr>
        <w:tc>
          <w:tcPr>
            <w:tcW w:type="dxa" w:w="2200"/>
          </w:tcPr>
          <w:p>
            <w:pPr>
              <w:spacing w:after="0"/>
            </w:pPr>
            <w:r>
              <w:rPr>
                <w:rFonts w:ascii="Calibri" w:hAnsi="Calibri"/>
                <w:color w:val="1E293B"/>
                <w:sz w:val="19"/>
              </w:rPr>
              <w:t>backend/app/routes</w:t>
            </w:r>
          </w:p>
        </w:tc>
        <w:tc>
          <w:tcPr>
            <w:tcW w:type="dxa" w:w="3200"/>
          </w:tcPr>
          <w:p>
            <w:pPr>
              <w:spacing w:after="0"/>
              <w:jc w:val="center"/>
            </w:pPr>
            <w:r>
              <w:rPr>
                <w:rFonts w:ascii="Calibri" w:hAnsi="Calibri"/>
                <w:color w:val="1E293B"/>
                <w:sz w:val="19"/>
              </w:rPr>
              <w:t>FastAPI routers</w:t>
            </w:r>
          </w:p>
        </w:tc>
        <w:tc>
          <w:tcPr>
            <w:tcW w:type="dxa" w:w="3960"/>
          </w:tcPr>
          <w:p>
            <w:pPr>
              <w:spacing w:after="0"/>
            </w:pPr>
            <w:r>
              <w:rPr>
                <w:rFonts w:ascii="Calibri" w:hAnsi="Calibri"/>
                <w:color w:val="1E293B"/>
                <w:sz w:val="19"/>
              </w:rPr>
              <w:t>Defines public API endpoints.</w:t>
            </w:r>
          </w:p>
        </w:tc>
      </w:tr>
      <w:tr>
        <w:tc>
          <w:tcPr>
            <w:tcW w:type="dxa" w:w="2200"/>
          </w:tcPr>
          <w:p>
            <w:pPr>
              <w:spacing w:after="0"/>
            </w:pPr>
            <w:r>
              <w:rPr>
                <w:rFonts w:ascii="Calibri" w:hAnsi="Calibri"/>
                <w:color w:val="1E293B"/>
                <w:sz w:val="19"/>
              </w:rPr>
              <w:t>backend/app/services</w:t>
            </w:r>
          </w:p>
        </w:tc>
        <w:tc>
          <w:tcPr>
            <w:tcW w:type="dxa" w:w="3200"/>
          </w:tcPr>
          <w:p>
            <w:pPr>
              <w:spacing w:after="0"/>
              <w:jc w:val="center"/>
            </w:pPr>
            <w:r>
              <w:rPr>
                <w:rFonts w:ascii="Calibri" w:hAnsi="Calibri"/>
                <w:color w:val="1E293B"/>
                <w:sz w:val="19"/>
              </w:rPr>
              <w:t>Business logic</w:t>
            </w:r>
          </w:p>
        </w:tc>
        <w:tc>
          <w:tcPr>
            <w:tcW w:type="dxa" w:w="3960"/>
          </w:tcPr>
          <w:p>
            <w:pPr>
              <w:spacing w:after="0"/>
            </w:pPr>
            <w:r>
              <w:rPr>
                <w:rFonts w:ascii="Calibri" w:hAnsi="Calibri"/>
                <w:color w:val="1E293B"/>
                <w:sz w:val="19"/>
              </w:rPr>
              <w:t>Keeps route handlers thin and reusable.</w:t>
            </w:r>
          </w:p>
        </w:tc>
      </w:tr>
      <w:tr>
        <w:tc>
          <w:tcPr>
            <w:tcW w:type="dxa" w:w="2200"/>
          </w:tcPr>
          <w:p>
            <w:pPr>
              <w:spacing w:after="0"/>
              <w:jc w:val="center"/>
            </w:pPr>
            <w:r>
              <w:rPr>
                <w:rFonts w:ascii="Calibri" w:hAnsi="Calibri"/>
                <w:color w:val="1E293B"/>
                <w:sz w:val="19"/>
              </w:rPr>
              <w:t>backend/app/utils</w:t>
            </w:r>
          </w:p>
        </w:tc>
        <w:tc>
          <w:tcPr>
            <w:tcW w:type="dxa" w:w="3200"/>
          </w:tcPr>
          <w:p>
            <w:pPr>
              <w:spacing w:after="0"/>
            </w:pPr>
            <w:r>
              <w:rPr>
                <w:rFonts w:ascii="Calibri" w:hAnsi="Calibri"/>
                <w:color w:val="1E293B"/>
                <w:sz w:val="19"/>
              </w:rPr>
              <w:t>Security/math helpers</w:t>
            </w:r>
          </w:p>
        </w:tc>
        <w:tc>
          <w:tcPr>
            <w:tcW w:type="dxa" w:w="3960"/>
          </w:tcPr>
          <w:p>
            <w:pPr>
              <w:spacing w:after="0"/>
            </w:pPr>
            <w:r>
              <w:rPr>
                <w:rFonts w:ascii="Calibri" w:hAnsi="Calibri"/>
                <w:color w:val="1E293B"/>
                <w:sz w:val="19"/>
              </w:rPr>
              <w:t>Contains JWT, hashing, encryption, lookup hash, and EMI code.</w:t>
            </w:r>
          </w:p>
        </w:tc>
      </w:tr>
      <w:tr>
        <w:tc>
          <w:tcPr>
            <w:tcW w:type="dxa" w:w="2200"/>
          </w:tcPr>
          <w:p>
            <w:pPr>
              <w:spacing w:after="0"/>
            </w:pPr>
            <w:r>
              <w:rPr>
                <w:rFonts w:ascii="Calibri" w:hAnsi="Calibri"/>
                <w:color w:val="1E293B"/>
                <w:sz w:val="19"/>
              </w:rPr>
              <w:t>backend/app/analytics</w:t>
            </w:r>
          </w:p>
        </w:tc>
        <w:tc>
          <w:tcPr>
            <w:tcW w:type="dxa" w:w="3200"/>
          </w:tcPr>
          <w:p>
            <w:pPr>
              <w:spacing w:after="0"/>
            </w:pPr>
            <w:r>
              <w:rPr>
                <w:rFonts w:ascii="Calibri" w:hAnsi="Calibri"/>
                <w:color w:val="1E293B"/>
                <w:sz w:val="19"/>
              </w:rPr>
              <w:t>Financial-intelligence modules</w:t>
            </w:r>
          </w:p>
        </w:tc>
        <w:tc>
          <w:tcPr>
            <w:tcW w:type="dxa" w:w="3960"/>
          </w:tcPr>
          <w:p>
            <w:pPr>
              <w:spacing w:after="0"/>
            </w:pPr>
            <w:r>
              <w:rPr>
                <w:rFonts w:ascii="Calibri" w:hAnsi="Calibri"/>
                <w:color w:val="1E293B"/>
                <w:sz w:val="19"/>
              </w:rPr>
              <w:t>Calculates expense analysis, health score, and tips.</w:t>
            </w:r>
          </w:p>
        </w:tc>
      </w:tr>
      <w:tr>
        <w:tc>
          <w:tcPr>
            <w:tcW w:type="dxa" w:w="2200"/>
          </w:tcPr>
          <w:p>
            <w:pPr>
              <w:spacing w:after="0"/>
            </w:pPr>
            <w:r>
              <w:rPr>
                <w:rFonts w:ascii="Calibri" w:hAnsi="Calibri"/>
                <w:color w:val="1E293B"/>
                <w:sz w:val="19"/>
              </w:rPr>
              <w:t>frontend/src/pages</w:t>
            </w:r>
          </w:p>
        </w:tc>
        <w:tc>
          <w:tcPr>
            <w:tcW w:type="dxa" w:w="3200"/>
          </w:tcPr>
          <w:p>
            <w:pPr>
              <w:spacing w:after="0"/>
            </w:pPr>
            <w:r>
              <w:rPr>
                <w:rFonts w:ascii="Calibri" w:hAnsi="Calibri"/>
                <w:color w:val="1E293B"/>
                <w:sz w:val="19"/>
              </w:rPr>
              <w:t>React page components</w:t>
            </w:r>
          </w:p>
        </w:tc>
        <w:tc>
          <w:tcPr>
            <w:tcW w:type="dxa" w:w="3960"/>
          </w:tcPr>
          <w:p>
            <w:pPr>
              <w:spacing w:after="0"/>
            </w:pPr>
            <w:r>
              <w:rPr>
                <w:rFonts w:ascii="Calibri" w:hAnsi="Calibri"/>
                <w:color w:val="1E293B"/>
                <w:sz w:val="19"/>
              </w:rPr>
              <w:t>Implements each user-facing screen.</w:t>
            </w:r>
          </w:p>
        </w:tc>
      </w:tr>
      <w:tr>
        <w:tc>
          <w:tcPr>
            <w:tcW w:type="dxa" w:w="2200"/>
          </w:tcPr>
          <w:p>
            <w:pPr>
              <w:spacing w:after="0"/>
            </w:pPr>
            <w:r>
              <w:rPr>
                <w:rFonts w:ascii="Calibri" w:hAnsi="Calibri"/>
                <w:color w:val="1E293B"/>
                <w:sz w:val="19"/>
              </w:rPr>
              <w:t>frontend/src/components</w:t>
            </w:r>
          </w:p>
        </w:tc>
        <w:tc>
          <w:tcPr>
            <w:tcW w:type="dxa" w:w="3200"/>
          </w:tcPr>
          <w:p>
            <w:pPr>
              <w:spacing w:after="0"/>
            </w:pPr>
            <w:r>
              <w:rPr>
                <w:rFonts w:ascii="Calibri" w:hAnsi="Calibri"/>
                <w:color w:val="1E293B"/>
                <w:sz w:val="19"/>
              </w:rPr>
              <w:t>Reusable UI pieces</w:t>
            </w:r>
          </w:p>
        </w:tc>
        <w:tc>
          <w:tcPr>
            <w:tcW w:type="dxa" w:w="3960"/>
          </w:tcPr>
          <w:p>
            <w:pPr>
              <w:spacing w:after="0"/>
            </w:pPr>
            <w:r>
              <w:rPr>
                <w:rFonts w:ascii="Calibri" w:hAnsi="Calibri"/>
                <w:color w:val="1E293B"/>
                <w:sz w:val="19"/>
              </w:rPr>
              <w:t>Contains header, sidebar, cards, charts, and transaction table.</w:t>
            </w:r>
          </w:p>
        </w:tc>
      </w:tr>
      <w:tr>
        <w:tc>
          <w:tcPr>
            <w:tcW w:type="dxa" w:w="2200"/>
          </w:tcPr>
          <w:p>
            <w:pPr>
              <w:spacing w:after="0"/>
            </w:pPr>
            <w:r>
              <w:rPr>
                <w:rFonts w:ascii="Calibri" w:hAnsi="Calibri"/>
                <w:color w:val="1E293B"/>
                <w:sz w:val="19"/>
              </w:rPr>
              <w:t>frontend/src/services/api.js</w:t>
            </w:r>
          </w:p>
        </w:tc>
        <w:tc>
          <w:tcPr>
            <w:tcW w:type="dxa" w:w="3200"/>
          </w:tcPr>
          <w:p>
            <w:pPr>
              <w:spacing w:after="0"/>
            </w:pPr>
            <w:r>
              <w:rPr>
                <w:rFonts w:ascii="Calibri" w:hAnsi="Calibri"/>
                <w:color w:val="1E293B"/>
                <w:sz w:val="19"/>
              </w:rPr>
              <w:t>Central API client</w:t>
            </w:r>
          </w:p>
        </w:tc>
        <w:tc>
          <w:tcPr>
            <w:tcW w:type="dxa" w:w="3960"/>
          </w:tcPr>
          <w:p>
            <w:pPr>
              <w:spacing w:after="0"/>
            </w:pPr>
            <w:r>
              <w:rPr>
                <w:rFonts w:ascii="Calibri" w:hAnsi="Calibri"/>
                <w:color w:val="1E293B"/>
                <w:sz w:val="19"/>
              </w:rPr>
              <w:t>Keeps fetch logic and endpoint mapping in one place.</w:t>
            </w:r>
          </w:p>
        </w:tc>
      </w:tr>
      <w:tr>
        <w:tc>
          <w:tcPr>
            <w:tcW w:type="dxa" w:w="2200"/>
          </w:tcPr>
          <w:p>
            <w:pPr>
              <w:spacing w:after="0"/>
            </w:pPr>
            <w:r>
              <w:rPr>
                <w:rFonts w:ascii="Calibri" w:hAnsi="Calibri"/>
                <w:color w:val="1E293B"/>
                <w:sz w:val="19"/>
              </w:rPr>
              <w:t>frontend/src/index.css</w:t>
            </w:r>
          </w:p>
        </w:tc>
        <w:tc>
          <w:tcPr>
            <w:tcW w:type="dxa" w:w="3200"/>
          </w:tcPr>
          <w:p>
            <w:pPr>
              <w:spacing w:after="0"/>
            </w:pPr>
            <w:r>
              <w:rPr>
                <w:rFonts w:ascii="Calibri" w:hAnsi="Calibri"/>
                <w:color w:val="1E293B"/>
                <w:sz w:val="19"/>
              </w:rPr>
              <w:t>Global design system</w:t>
            </w:r>
          </w:p>
        </w:tc>
        <w:tc>
          <w:tcPr>
            <w:tcW w:type="dxa" w:w="3960"/>
          </w:tcPr>
          <w:p>
            <w:pPr>
              <w:spacing w:after="0"/>
            </w:pPr>
            <w:r>
              <w:rPr>
                <w:rFonts w:ascii="Calibri" w:hAnsi="Calibri"/>
                <w:color w:val="1E293B"/>
                <w:sz w:val="19"/>
              </w:rPr>
              <w:t>Defines the final premium interface tokens and responsive behavior.</w:t>
            </w:r>
          </w:p>
        </w:tc>
      </w:tr>
      <w:tr>
        <w:tc>
          <w:tcPr>
            <w:tcW w:type="dxa" w:w="2200"/>
          </w:tcPr>
          <w:p>
            <w:pPr>
              <w:spacing w:after="0"/>
              <w:jc w:val="center"/>
            </w:pPr>
            <w:r>
              <w:rPr>
                <w:rFonts w:ascii="Calibri" w:hAnsi="Calibri"/>
                <w:color w:val="1E293B"/>
                <w:sz w:val="19"/>
              </w:rPr>
              <w:t>documents</w:t>
            </w:r>
          </w:p>
        </w:tc>
        <w:tc>
          <w:tcPr>
            <w:tcW w:type="dxa" w:w="3200"/>
          </w:tcPr>
          <w:p>
            <w:pPr>
              <w:spacing w:after="0"/>
            </w:pPr>
            <w:r>
              <w:rPr>
                <w:rFonts w:ascii="Calibri" w:hAnsi="Calibri"/>
                <w:color w:val="1E293B"/>
                <w:sz w:val="19"/>
              </w:rPr>
              <w:t>Generated project documentation</w:t>
            </w:r>
          </w:p>
        </w:tc>
        <w:tc>
          <w:tcPr>
            <w:tcW w:type="dxa" w:w="3960"/>
          </w:tcPr>
          <w:p>
            <w:pPr>
              <w:spacing w:after="0"/>
            </w:pPr>
            <w:r>
              <w:rPr>
                <w:rFonts w:ascii="Calibri" w:hAnsi="Calibri"/>
                <w:color w:val="1E293B"/>
                <w:sz w:val="19"/>
              </w:rPr>
              <w:t>Stores this final handbook and supporting docs.</w:t>
            </w:r>
          </w:p>
        </w:tc>
      </w:tr>
    </w:tbl>
    <w:p/>
    <w:p>
      <w:pPr>
        <w:pStyle w:val="Heading1"/>
      </w:pPr>
      <w:r>
        <w:t>4. Backend Runtime Entry</w:t>
      </w:r>
    </w:p>
    <w:p>
      <w:r>
        <w:t>`backend/app/main.py` creates the FastAPI object, configures CORS, registers routers, exposes health endpoints, and verifies database tables during startup. The lifespan function retries database setup so startup is more tolerant when PostgreSQL is still booting. A global exception handler logs unexpected errors and returns a controlled JSON response with CORS headers so browser clients receive a real error instead of a misleading CORS failure.</w:t>
      </w:r>
    </w:p>
    <w:p>
      <w:pPr>
        <w:pStyle w:val="Heading1"/>
      </w:pPr>
      <w:r>
        <w:t>5. Configuration and Environment</w:t>
      </w:r>
    </w:p>
    <w:tbl>
      <w:tblPr>
        <w:tblStyle w:val="TableGrid"/>
        <w:tblW w:type="dxa" w:w="9360"/>
        <w:jc w:val="center"/>
        <w:tblLayout w:type="fixed"/>
        <w:tblLook w:firstColumn="1" w:firstRow="1" w:lastColumn="0" w:lastRow="0" w:noHBand="0" w:noVBand="1" w:val="04A0"/>
      </w:tblPr>
      <w:tblGrid>
        <w:gridCol w:w="3300"/>
        <w:gridCol w:w="6060"/>
      </w:tblGrid>
      <w:tr>
        <w:tc>
          <w:tcPr>
            <w:tcW w:type="dxa" w:w="3300"/>
            <w:vAlign w:val="center"/>
            <w:tcMar>
              <w:top w:w="80" w:type="dxa"/>
              <w:start w:w="120" w:type="dxa"/>
              <w:bottom w:w="80" w:type="dxa"/>
              <w:end w:w="120" w:type="dxa"/>
            </w:tcMar>
            <w:shd w:fill="E8EEF5"/>
          </w:tcPr>
          <w:p>
            <w:pPr>
              <w:spacing w:after="0"/>
              <w:jc w:val="center"/>
            </w:pPr>
            <w:r>
              <w:rPr>
                <w:rFonts w:ascii="Calibri" w:hAnsi="Calibri"/>
                <w:b/>
                <w:color w:val="0A1220"/>
                <w:sz w:val="19"/>
              </w:rPr>
              <w:t>Setting</w:t>
            </w:r>
          </w:p>
        </w:tc>
        <w:tc>
          <w:tcPr>
            <w:tcW w:type="dxa" w:w="6060"/>
            <w:vAlign w:val="center"/>
            <w:tcMar>
              <w:top w:w="80" w:type="dxa"/>
              <w:start w:w="120" w:type="dxa"/>
              <w:bottom w:w="80" w:type="dxa"/>
              <w:end w:w="120" w:type="dxa"/>
            </w:tcMar>
            <w:shd w:fill="E8EEF5"/>
          </w:tcPr>
          <w:p>
            <w:pPr>
              <w:spacing w:after="0"/>
              <w:jc w:val="center"/>
            </w:pPr>
            <w:r>
              <w:rPr>
                <w:rFonts w:ascii="Calibri" w:hAnsi="Calibri"/>
                <w:b/>
                <w:color w:val="0A1220"/>
                <w:sz w:val="19"/>
              </w:rPr>
              <w:t>Meaning</w:t>
            </w:r>
          </w:p>
        </w:tc>
      </w:tr>
      <w:tr>
        <w:tc>
          <w:tcPr>
            <w:tcW w:type="dxa" w:w="3300"/>
          </w:tcPr>
          <w:p>
            <w:pPr>
              <w:spacing w:after="0"/>
              <w:jc w:val="center"/>
            </w:pPr>
            <w:r>
              <w:rPr>
                <w:rFonts w:ascii="Calibri" w:hAnsi="Calibri"/>
                <w:color w:val="1E293B"/>
                <w:sz w:val="19"/>
              </w:rPr>
              <w:t>DATABASE_URL</w:t>
            </w:r>
          </w:p>
        </w:tc>
        <w:tc>
          <w:tcPr>
            <w:tcW w:type="dxa" w:w="6060"/>
          </w:tcPr>
          <w:p>
            <w:pPr>
              <w:spacing w:after="0"/>
            </w:pPr>
            <w:r>
              <w:rPr>
                <w:rFonts w:ascii="Calibri" w:hAnsi="Calibri"/>
                <w:color w:val="1E293B"/>
                <w:sz w:val="19"/>
              </w:rPr>
              <w:t>Database location for PostgreSQL.</w:t>
            </w:r>
          </w:p>
        </w:tc>
      </w:tr>
      <w:tr>
        <w:tc>
          <w:tcPr>
            <w:tcW w:type="dxa" w:w="3300"/>
          </w:tcPr>
          <w:p>
            <w:pPr>
              <w:spacing w:after="0"/>
              <w:jc w:val="center"/>
            </w:pPr>
            <w:r>
              <w:rPr>
                <w:rFonts w:ascii="Calibri" w:hAnsi="Calibri"/>
                <w:color w:val="1E293B"/>
                <w:sz w:val="19"/>
              </w:rPr>
              <w:t>SECRET_KEY</w:t>
            </w:r>
          </w:p>
        </w:tc>
        <w:tc>
          <w:tcPr>
            <w:tcW w:type="dxa" w:w="6060"/>
          </w:tcPr>
          <w:p>
            <w:pPr>
              <w:spacing w:after="0"/>
            </w:pPr>
            <w:r>
              <w:rPr>
                <w:rFonts w:ascii="Calibri" w:hAnsi="Calibri"/>
                <w:color w:val="1E293B"/>
                <w:sz w:val="19"/>
              </w:rPr>
              <w:t>Private key used to sign JWTs. It must be replaced in production.</w:t>
            </w:r>
          </w:p>
        </w:tc>
      </w:tr>
      <w:tr>
        <w:tc>
          <w:tcPr>
            <w:tcW w:type="dxa" w:w="3300"/>
          </w:tcPr>
          <w:p>
            <w:pPr>
              <w:spacing w:after="0"/>
            </w:pPr>
            <w:r>
              <w:rPr>
                <w:rFonts w:ascii="Calibri" w:hAnsi="Calibri"/>
                <w:color w:val="1E293B"/>
                <w:sz w:val="19"/>
              </w:rPr>
              <w:t>ACCESS_TOKEN_EXPIRE_MINUTES</w:t>
            </w:r>
          </w:p>
        </w:tc>
        <w:tc>
          <w:tcPr>
            <w:tcW w:type="dxa" w:w="6060"/>
          </w:tcPr>
          <w:p>
            <w:pPr>
              <w:spacing w:after="0"/>
            </w:pPr>
            <w:r>
              <w:rPr>
                <w:rFonts w:ascii="Calibri" w:hAnsi="Calibri"/>
                <w:color w:val="1E293B"/>
                <w:sz w:val="19"/>
              </w:rPr>
              <w:t>Controls how long access tokens remain valid.</w:t>
            </w:r>
          </w:p>
        </w:tc>
      </w:tr>
      <w:tr>
        <w:tc>
          <w:tcPr>
            <w:tcW w:type="dxa" w:w="3300"/>
          </w:tcPr>
          <w:p>
            <w:pPr>
              <w:spacing w:after="0"/>
            </w:pPr>
            <w:r>
              <w:rPr>
                <w:rFonts w:ascii="Calibri" w:hAnsi="Calibri"/>
                <w:color w:val="1E293B"/>
                <w:sz w:val="19"/>
              </w:rPr>
              <w:t>REDIS_URL / CELERY_BROKER_URL / CELERY_RESULT_BACKEND</w:t>
            </w:r>
          </w:p>
        </w:tc>
        <w:tc>
          <w:tcPr>
            <w:tcW w:type="dxa" w:w="6060"/>
          </w:tcPr>
          <w:p>
            <w:pPr>
              <w:spacing w:after="0"/>
            </w:pPr>
            <w:r>
              <w:rPr>
                <w:rFonts w:ascii="Calibri" w:hAnsi="Calibri"/>
                <w:color w:val="1E293B"/>
                <w:sz w:val="19"/>
              </w:rPr>
              <w:t>Redis-backed cache/task infrastructure.</w:t>
            </w:r>
          </w:p>
        </w:tc>
      </w:tr>
      <w:tr>
        <w:tc>
          <w:tcPr>
            <w:tcW w:type="dxa" w:w="3300"/>
          </w:tcPr>
          <w:p>
            <w:pPr>
              <w:spacing w:after="0"/>
            </w:pPr>
            <w:r>
              <w:rPr>
                <w:rFonts w:ascii="Calibri" w:hAnsi="Calibri"/>
                <w:color w:val="1E293B"/>
                <w:sz w:val="19"/>
              </w:rPr>
              <w:t>OTP_EXPIRE_SECONDS</w:t>
            </w:r>
          </w:p>
        </w:tc>
        <w:tc>
          <w:tcPr>
            <w:tcW w:type="dxa" w:w="6060"/>
          </w:tcPr>
          <w:p>
            <w:pPr>
              <w:spacing w:after="0"/>
            </w:pPr>
            <w:r>
              <w:rPr>
                <w:rFonts w:ascii="Calibri" w:hAnsi="Calibri"/>
                <w:color w:val="1E293B"/>
                <w:sz w:val="19"/>
              </w:rPr>
              <w:t>OTP expiry window, defaulting to five minutes.</w:t>
            </w:r>
          </w:p>
        </w:tc>
      </w:tr>
      <w:tr>
        <w:tc>
          <w:tcPr>
            <w:tcW w:type="dxa" w:w="3300"/>
          </w:tcPr>
          <w:p>
            <w:pPr>
              <w:spacing w:after="0"/>
              <w:jc w:val="center"/>
            </w:pPr>
            <w:r>
              <w:rPr>
                <w:rFonts w:ascii="Calibri" w:hAnsi="Calibri"/>
                <w:color w:val="1E293B"/>
                <w:sz w:val="19"/>
              </w:rPr>
              <w:t>BREVO_API_KEY</w:t>
            </w:r>
          </w:p>
        </w:tc>
        <w:tc>
          <w:tcPr>
            <w:tcW w:type="dxa" w:w="6060"/>
          </w:tcPr>
          <w:p>
            <w:pPr>
              <w:spacing w:after="0"/>
            </w:pPr>
            <w:r>
              <w:rPr>
                <w:rFonts w:ascii="Calibri" w:hAnsi="Calibri"/>
                <w:color w:val="1E293B"/>
                <w:sz w:val="19"/>
              </w:rPr>
              <w:t>Primary email API configuration path.</w:t>
            </w:r>
          </w:p>
        </w:tc>
      </w:tr>
      <w:tr>
        <w:tc>
          <w:tcPr>
            <w:tcW w:type="dxa" w:w="3300"/>
          </w:tcPr>
          <w:p>
            <w:pPr>
              <w:spacing w:after="0"/>
            </w:pPr>
            <w:r>
              <w:rPr>
                <w:rFonts w:ascii="Calibri" w:hAnsi="Calibri"/>
                <w:color w:val="1E293B"/>
                <w:sz w:val="19"/>
              </w:rPr>
              <w:t>SMTP_* / EMAIL_FROM</w:t>
            </w:r>
          </w:p>
        </w:tc>
        <w:tc>
          <w:tcPr>
            <w:tcW w:type="dxa" w:w="6060"/>
          </w:tcPr>
          <w:p>
            <w:pPr>
              <w:spacing w:after="0"/>
            </w:pPr>
            <w:r>
              <w:rPr>
                <w:rFonts w:ascii="Calibri" w:hAnsi="Calibri"/>
                <w:color w:val="1E293B"/>
                <w:sz w:val="19"/>
              </w:rPr>
              <w:t>Legacy SMTP configuration retained for reference.</w:t>
            </w:r>
          </w:p>
        </w:tc>
      </w:tr>
      <w:tr>
        <w:tc>
          <w:tcPr>
            <w:tcW w:type="dxa" w:w="3300"/>
          </w:tcPr>
          <w:p>
            <w:pPr>
              <w:spacing w:after="0"/>
            </w:pPr>
            <w:r>
              <w:rPr>
                <w:rFonts w:ascii="Calibri" w:hAnsi="Calibri"/>
                <w:color w:val="1E293B"/>
                <w:sz w:val="19"/>
              </w:rPr>
              <w:t>FIELD_ENCRYPTION_KEY</w:t>
            </w:r>
          </w:p>
        </w:tc>
        <w:tc>
          <w:tcPr>
            <w:tcW w:type="dxa" w:w="6060"/>
          </w:tcPr>
          <w:p>
            <w:pPr>
              <w:spacing w:after="0"/>
            </w:pPr>
            <w:r>
              <w:rPr>
                <w:rFonts w:ascii="Calibri" w:hAnsi="Calibri"/>
                <w:color w:val="1E293B"/>
                <w:sz w:val="19"/>
              </w:rPr>
              <w:t>Fernet key used to encrypt sensitive identifiers.</w:t>
            </w:r>
          </w:p>
        </w:tc>
      </w:tr>
      <w:tr>
        <w:tc>
          <w:tcPr>
            <w:tcW w:type="dxa" w:w="3300"/>
          </w:tcPr>
          <w:p>
            <w:pPr>
              <w:spacing w:after="0"/>
              <w:jc w:val="center"/>
            </w:pPr>
            <w:r>
              <w:rPr>
                <w:rFonts w:ascii="Calibri" w:hAnsi="Calibri"/>
                <w:color w:val="1E293B"/>
                <w:sz w:val="19"/>
              </w:rPr>
              <w:t>CORS_ORIGINS</w:t>
            </w:r>
          </w:p>
        </w:tc>
        <w:tc>
          <w:tcPr>
            <w:tcW w:type="dxa" w:w="6060"/>
          </w:tcPr>
          <w:p>
            <w:pPr>
              <w:spacing w:after="0"/>
            </w:pPr>
            <w:r>
              <w:rPr>
                <w:rFonts w:ascii="Calibri" w:hAnsi="Calibri"/>
                <w:color w:val="1E293B"/>
                <w:sz w:val="19"/>
              </w:rPr>
              <w:t>Comma/semicolon separated frontend origins allowed to call the API.</w:t>
            </w:r>
          </w:p>
        </w:tc>
      </w:tr>
      <w:tr>
        <w:tc>
          <w:tcPr>
            <w:tcW w:type="dxa" w:w="3300"/>
          </w:tcPr>
          <w:p>
            <w:pPr>
              <w:spacing w:after="0"/>
              <w:jc w:val="center"/>
            </w:pPr>
            <w:r>
              <w:rPr>
                <w:rFonts w:ascii="Calibri" w:hAnsi="Calibri"/>
                <w:color w:val="1E293B"/>
                <w:sz w:val="19"/>
              </w:rPr>
              <w:t>DEBUG</w:t>
            </w:r>
          </w:p>
        </w:tc>
        <w:tc>
          <w:tcPr>
            <w:tcW w:type="dxa" w:w="6060"/>
          </w:tcPr>
          <w:p>
            <w:pPr>
              <w:spacing w:after="0"/>
            </w:pPr>
            <w:r>
              <w:rPr>
                <w:rFonts w:ascii="Calibri" w:hAnsi="Calibri"/>
                <w:color w:val="1E293B"/>
                <w:sz w:val="19"/>
              </w:rPr>
              <w:t>Controls debug-only API documentation routes.</w:t>
            </w:r>
          </w:p>
        </w:tc>
      </w:tr>
    </w:tbl>
    <w:p/>
    <w:p>
      <w:pPr>
        <w:pStyle w:val="Heading1"/>
      </w:pPr>
      <w:r>
        <w:t>6. Data Model Explained</w:t>
      </w:r>
    </w:p>
    <w:p>
      <w:r>
        <w:t>The database is organized around ownership. A user owns accounts and products. Accounts generate transactions. Product tables such as loans, fixed deposits, and credit cards attach to a user and often a linked account. Beneficiaries attach to the user so saved recipients cannot leak across customers. Notifications represent activity messages or future alert records.</w:t>
      </w:r>
    </w:p>
    <w:tbl>
      <w:tblPr>
        <w:tblStyle w:val="TableGrid"/>
        <w:tblW w:type="dxa" w:w="9360"/>
        <w:jc w:val="center"/>
        <w:tblLayout w:type="fixed"/>
        <w:tblLook w:firstColumn="1" w:firstRow="1" w:lastColumn="0" w:lastRow="0" w:noHBand="0" w:noVBand="1" w:val="04A0"/>
      </w:tblPr>
      <w:tblGrid>
        <w:gridCol w:w="1800"/>
        <w:gridCol w:w="3400"/>
        <w:gridCol w:w="4160"/>
      </w:tblGrid>
      <w:tr>
        <w:tc>
          <w:tcPr>
            <w:tcW w:type="dxa" w:w="1800"/>
            <w:vAlign w:val="center"/>
            <w:tcMar>
              <w:top w:w="80" w:type="dxa"/>
              <w:start w:w="120" w:type="dxa"/>
              <w:bottom w:w="80" w:type="dxa"/>
              <w:end w:w="120" w:type="dxa"/>
            </w:tcMar>
            <w:shd w:fill="F2F4F7"/>
          </w:tcPr>
          <w:p>
            <w:pPr>
              <w:spacing w:after="0"/>
              <w:jc w:val="center"/>
            </w:pPr>
            <w:r>
              <w:rPr>
                <w:rFonts w:ascii="Calibri" w:hAnsi="Calibri"/>
                <w:b/>
                <w:color w:val="0A1220"/>
                <w:sz w:val="19"/>
              </w:rPr>
              <w:t>Entity</w:t>
            </w:r>
          </w:p>
        </w:tc>
        <w:tc>
          <w:tcPr>
            <w:tcW w:type="dxa" w:w="3400"/>
            <w:vAlign w:val="center"/>
            <w:tcMar>
              <w:top w:w="80" w:type="dxa"/>
              <w:start w:w="120" w:type="dxa"/>
              <w:bottom w:w="80" w:type="dxa"/>
              <w:end w:w="120" w:type="dxa"/>
            </w:tcMar>
            <w:shd w:fill="F2F4F7"/>
          </w:tcPr>
          <w:p>
            <w:pPr>
              <w:spacing w:after="0"/>
              <w:jc w:val="center"/>
            </w:pPr>
            <w:r>
              <w:rPr>
                <w:rFonts w:ascii="Calibri" w:hAnsi="Calibri"/>
                <w:b/>
                <w:color w:val="0A1220"/>
                <w:sz w:val="19"/>
              </w:rPr>
              <w:t>Tiny detail</w:t>
            </w:r>
          </w:p>
        </w:tc>
        <w:tc>
          <w:tcPr>
            <w:tcW w:type="dxa" w:w="4160"/>
            <w:vAlign w:val="center"/>
            <w:tcMar>
              <w:top w:w="80" w:type="dxa"/>
              <w:start w:w="120" w:type="dxa"/>
              <w:bottom w:w="80" w:type="dxa"/>
              <w:end w:w="120" w:type="dxa"/>
            </w:tcMar>
            <w:shd w:fill="F2F4F7"/>
          </w:tcPr>
          <w:p>
            <w:pPr>
              <w:spacing w:after="0"/>
              <w:jc w:val="center"/>
            </w:pPr>
            <w:r>
              <w:rPr>
                <w:rFonts w:ascii="Calibri" w:hAnsi="Calibri"/>
                <w:b/>
                <w:color w:val="0A1220"/>
                <w:sz w:val="19"/>
              </w:rPr>
              <w:t>Bigger meaning</w:t>
            </w:r>
          </w:p>
        </w:tc>
      </w:tr>
      <w:tr>
        <w:tc>
          <w:tcPr>
            <w:tcW w:type="dxa" w:w="1800"/>
          </w:tcPr>
          <w:p>
            <w:pPr>
              <w:spacing w:after="0"/>
              <w:jc w:val="center"/>
            </w:pPr>
            <w:r>
              <w:rPr>
                <w:rFonts w:ascii="Calibri" w:hAnsi="Calibri"/>
                <w:color w:val="1E293B"/>
                <w:sz w:val="19"/>
              </w:rPr>
              <w:t>User</w:t>
            </w:r>
          </w:p>
        </w:tc>
        <w:tc>
          <w:tcPr>
            <w:tcW w:type="dxa" w:w="3400"/>
          </w:tcPr>
          <w:p>
            <w:pPr>
              <w:spacing w:after="0"/>
            </w:pPr>
            <w:r>
              <w:rPr>
                <w:rFonts w:ascii="Calibri" w:hAnsi="Calibri"/>
                <w:color w:val="1E293B"/>
                <w:sz w:val="19"/>
              </w:rPr>
              <w:t>Stores hashed MPIN and verification flags.</w:t>
            </w:r>
          </w:p>
        </w:tc>
        <w:tc>
          <w:tcPr>
            <w:tcW w:type="dxa" w:w="4160"/>
          </w:tcPr>
          <w:p>
            <w:pPr>
              <w:spacing w:after="0"/>
            </w:pPr>
            <w:r>
              <w:rPr>
                <w:rFonts w:ascii="Calibri" w:hAnsi="Calibri"/>
                <w:color w:val="1E293B"/>
                <w:sz w:val="19"/>
              </w:rPr>
              <w:t>Customer identity and access control anchor.</w:t>
            </w:r>
          </w:p>
        </w:tc>
      </w:tr>
      <w:tr>
        <w:tc>
          <w:tcPr>
            <w:tcW w:type="dxa" w:w="1800"/>
          </w:tcPr>
          <w:p>
            <w:pPr>
              <w:spacing w:after="0"/>
              <w:jc w:val="center"/>
            </w:pPr>
            <w:r>
              <w:rPr>
                <w:rFonts w:ascii="Calibri" w:hAnsi="Calibri"/>
                <w:color w:val="1E293B"/>
                <w:sz w:val="19"/>
              </w:rPr>
              <w:t>Account</w:t>
            </w:r>
          </w:p>
        </w:tc>
        <w:tc>
          <w:tcPr>
            <w:tcW w:type="dxa" w:w="3400"/>
          </w:tcPr>
          <w:p>
            <w:pPr>
              <w:spacing w:after="0"/>
            </w:pPr>
            <w:r>
              <w:rPr>
                <w:rFonts w:ascii="Calibri" w:hAnsi="Calibri"/>
                <w:color w:val="1E293B"/>
                <w:sz w:val="19"/>
              </w:rPr>
              <w:t>Stores encrypted account number and current balance.</w:t>
            </w:r>
          </w:p>
        </w:tc>
        <w:tc>
          <w:tcPr>
            <w:tcW w:type="dxa" w:w="4160"/>
          </w:tcPr>
          <w:p>
            <w:pPr>
              <w:spacing w:after="0"/>
            </w:pPr>
            <w:r>
              <w:rPr>
                <w:rFonts w:ascii="Calibri" w:hAnsi="Calibri"/>
                <w:color w:val="1E293B"/>
                <w:sz w:val="19"/>
              </w:rPr>
              <w:t>Primary money container.</w:t>
            </w:r>
          </w:p>
        </w:tc>
      </w:tr>
      <w:tr>
        <w:tc>
          <w:tcPr>
            <w:tcW w:type="dxa" w:w="1800"/>
          </w:tcPr>
          <w:p>
            <w:pPr>
              <w:spacing w:after="0"/>
              <w:jc w:val="center"/>
            </w:pPr>
            <w:r>
              <w:rPr>
                <w:rFonts w:ascii="Calibri" w:hAnsi="Calibri"/>
                <w:color w:val="1E293B"/>
                <w:sz w:val="19"/>
              </w:rPr>
              <w:t>Transaction</w:t>
            </w:r>
          </w:p>
        </w:tc>
        <w:tc>
          <w:tcPr>
            <w:tcW w:type="dxa" w:w="3400"/>
          </w:tcPr>
          <w:p>
            <w:pPr>
              <w:spacing w:after="0"/>
            </w:pPr>
            <w:r>
              <w:rPr>
                <w:rFonts w:ascii="Calibri" w:hAnsi="Calibri"/>
                <w:color w:val="1E293B"/>
                <w:sz w:val="19"/>
              </w:rPr>
              <w:t>Stores amount, type, source/destination and time.</w:t>
            </w:r>
          </w:p>
        </w:tc>
        <w:tc>
          <w:tcPr>
            <w:tcW w:type="dxa" w:w="4160"/>
          </w:tcPr>
          <w:p>
            <w:pPr>
              <w:spacing w:after="0"/>
            </w:pPr>
            <w:r>
              <w:rPr>
                <w:rFonts w:ascii="Calibri" w:hAnsi="Calibri"/>
                <w:color w:val="1E293B"/>
                <w:sz w:val="19"/>
              </w:rPr>
              <w:t>Ledger-style history for statements and analytics.</w:t>
            </w:r>
          </w:p>
        </w:tc>
      </w:tr>
      <w:tr>
        <w:tc>
          <w:tcPr>
            <w:tcW w:type="dxa" w:w="1800"/>
          </w:tcPr>
          <w:p>
            <w:pPr>
              <w:spacing w:after="0"/>
              <w:jc w:val="center"/>
            </w:pPr>
            <w:r>
              <w:rPr>
                <w:rFonts w:ascii="Calibri" w:hAnsi="Calibri"/>
                <w:color w:val="1E293B"/>
                <w:sz w:val="19"/>
              </w:rPr>
              <w:t>Loan</w:t>
            </w:r>
          </w:p>
        </w:tc>
        <w:tc>
          <w:tcPr>
            <w:tcW w:type="dxa" w:w="3400"/>
          </w:tcPr>
          <w:p>
            <w:pPr>
              <w:spacing w:after="0"/>
            </w:pPr>
            <w:r>
              <w:rPr>
                <w:rFonts w:ascii="Calibri" w:hAnsi="Calibri"/>
                <w:color w:val="1E293B"/>
                <w:sz w:val="19"/>
              </w:rPr>
              <w:t>Stores principal, EMI and remaining balance.</w:t>
            </w:r>
          </w:p>
        </w:tc>
        <w:tc>
          <w:tcPr>
            <w:tcW w:type="dxa" w:w="4160"/>
          </w:tcPr>
          <w:p>
            <w:pPr>
              <w:spacing w:after="0"/>
            </w:pPr>
            <w:r>
              <w:rPr>
                <w:rFonts w:ascii="Calibri" w:hAnsi="Calibri"/>
                <w:color w:val="1E293B"/>
                <w:sz w:val="19"/>
              </w:rPr>
              <w:t>Borrowing product lifecycle.</w:t>
            </w:r>
          </w:p>
        </w:tc>
      </w:tr>
      <w:tr>
        <w:tc>
          <w:tcPr>
            <w:tcW w:type="dxa" w:w="1800"/>
          </w:tcPr>
          <w:p>
            <w:pPr>
              <w:spacing w:after="0"/>
              <w:jc w:val="center"/>
            </w:pPr>
            <w:r>
              <w:rPr>
                <w:rFonts w:ascii="Calibri" w:hAnsi="Calibri"/>
                <w:color w:val="1E293B"/>
                <w:sz w:val="19"/>
              </w:rPr>
              <w:t>FixedDeposit</w:t>
            </w:r>
          </w:p>
        </w:tc>
        <w:tc>
          <w:tcPr>
            <w:tcW w:type="dxa" w:w="3400"/>
          </w:tcPr>
          <w:p>
            <w:pPr>
              <w:spacing w:after="0"/>
            </w:pPr>
            <w:r>
              <w:rPr>
                <w:rFonts w:ascii="Calibri" w:hAnsi="Calibri"/>
                <w:color w:val="1E293B"/>
                <w:sz w:val="19"/>
              </w:rPr>
              <w:t>Stores principal, duration and maturity amount.</w:t>
            </w:r>
          </w:p>
        </w:tc>
        <w:tc>
          <w:tcPr>
            <w:tcW w:type="dxa" w:w="4160"/>
          </w:tcPr>
          <w:p>
            <w:pPr>
              <w:spacing w:after="0"/>
            </w:pPr>
            <w:r>
              <w:rPr>
                <w:rFonts w:ascii="Calibri" w:hAnsi="Calibri"/>
                <w:color w:val="1E293B"/>
                <w:sz w:val="19"/>
              </w:rPr>
              <w:t>Investment product lifecycle.</w:t>
            </w:r>
          </w:p>
        </w:tc>
      </w:tr>
      <w:tr>
        <w:tc>
          <w:tcPr>
            <w:tcW w:type="dxa" w:w="1800"/>
          </w:tcPr>
          <w:p>
            <w:pPr>
              <w:spacing w:after="0"/>
              <w:jc w:val="center"/>
            </w:pPr>
            <w:r>
              <w:rPr>
                <w:rFonts w:ascii="Calibri" w:hAnsi="Calibri"/>
                <w:color w:val="1E293B"/>
                <w:sz w:val="19"/>
              </w:rPr>
              <w:t>CreditCard</w:t>
            </w:r>
          </w:p>
        </w:tc>
        <w:tc>
          <w:tcPr>
            <w:tcW w:type="dxa" w:w="3400"/>
          </w:tcPr>
          <w:p>
            <w:pPr>
              <w:spacing w:after="0"/>
            </w:pPr>
            <w:r>
              <w:rPr>
                <w:rFonts w:ascii="Calibri" w:hAnsi="Calibri"/>
                <w:color w:val="1E293B"/>
                <w:sz w:val="19"/>
              </w:rPr>
              <w:t>Stores encrypted card number, limit and used credit.</w:t>
            </w:r>
          </w:p>
        </w:tc>
        <w:tc>
          <w:tcPr>
            <w:tcW w:type="dxa" w:w="4160"/>
          </w:tcPr>
          <w:p>
            <w:pPr>
              <w:spacing w:after="0"/>
            </w:pPr>
            <w:r>
              <w:rPr>
                <w:rFonts w:ascii="Calibri" w:hAnsi="Calibri"/>
                <w:color w:val="1E293B"/>
                <w:sz w:val="19"/>
              </w:rPr>
              <w:t>Revolving credit lifecycle.</w:t>
            </w:r>
          </w:p>
        </w:tc>
      </w:tr>
      <w:tr>
        <w:tc>
          <w:tcPr>
            <w:tcW w:type="dxa" w:w="1800"/>
          </w:tcPr>
          <w:p>
            <w:pPr>
              <w:spacing w:after="0"/>
              <w:jc w:val="center"/>
            </w:pPr>
            <w:r>
              <w:rPr>
                <w:rFonts w:ascii="Calibri" w:hAnsi="Calibri"/>
                <w:color w:val="1E293B"/>
                <w:sz w:val="19"/>
              </w:rPr>
              <w:t>Beneficiary</w:t>
            </w:r>
          </w:p>
        </w:tc>
        <w:tc>
          <w:tcPr>
            <w:tcW w:type="dxa" w:w="3400"/>
          </w:tcPr>
          <w:p>
            <w:pPr>
              <w:spacing w:after="0"/>
            </w:pPr>
            <w:r>
              <w:rPr>
                <w:rFonts w:ascii="Calibri" w:hAnsi="Calibri"/>
                <w:color w:val="1E293B"/>
                <w:sz w:val="19"/>
              </w:rPr>
              <w:t>Stores saved recipient details.</w:t>
            </w:r>
          </w:p>
        </w:tc>
        <w:tc>
          <w:tcPr>
            <w:tcW w:type="dxa" w:w="4160"/>
          </w:tcPr>
          <w:p>
            <w:pPr>
              <w:spacing w:after="0"/>
            </w:pPr>
            <w:r>
              <w:rPr>
                <w:rFonts w:ascii="Calibri" w:hAnsi="Calibri"/>
                <w:color w:val="1E293B"/>
                <w:sz w:val="19"/>
              </w:rPr>
              <w:t>Convenience layer for repeated transfers.</w:t>
            </w:r>
          </w:p>
        </w:tc>
      </w:tr>
      <w:tr>
        <w:tc>
          <w:tcPr>
            <w:tcW w:type="dxa" w:w="1800"/>
          </w:tcPr>
          <w:p>
            <w:pPr>
              <w:spacing w:after="0"/>
              <w:jc w:val="center"/>
            </w:pPr>
            <w:r>
              <w:rPr>
                <w:rFonts w:ascii="Calibri" w:hAnsi="Calibri"/>
                <w:color w:val="1E293B"/>
                <w:sz w:val="19"/>
              </w:rPr>
              <w:t>Notification</w:t>
            </w:r>
          </w:p>
        </w:tc>
        <w:tc>
          <w:tcPr>
            <w:tcW w:type="dxa" w:w="3400"/>
          </w:tcPr>
          <w:p>
            <w:pPr>
              <w:spacing w:after="0"/>
            </w:pPr>
            <w:r>
              <w:rPr>
                <w:rFonts w:ascii="Calibri" w:hAnsi="Calibri"/>
                <w:color w:val="1E293B"/>
                <w:sz w:val="19"/>
              </w:rPr>
              <w:t>Stores activity alert data.</w:t>
            </w:r>
          </w:p>
        </w:tc>
        <w:tc>
          <w:tcPr>
            <w:tcW w:type="dxa" w:w="4160"/>
          </w:tcPr>
          <w:p>
            <w:pPr>
              <w:spacing w:after="0"/>
            </w:pPr>
            <w:r>
              <w:rPr>
                <w:rFonts w:ascii="Calibri" w:hAnsi="Calibri"/>
                <w:color w:val="1E293B"/>
                <w:sz w:val="19"/>
              </w:rPr>
              <w:t>Customer communication foundation.</w:t>
            </w:r>
          </w:p>
        </w:tc>
      </w:tr>
    </w:tbl>
    <w:p/>
    <w:p>
      <w:pPr>
        <w:pStyle w:val="Heading1"/>
      </w:pPr>
      <w:r>
        <w:t>7. Authentication in Detail</w:t>
      </w:r>
    </w:p>
    <w:p>
      <w:pPr>
        <w:pStyle w:val="ListNumber"/>
        <w:spacing w:after="80" w:line="300" w:lineRule="auto"/>
      </w:pPr>
      <w:r>
        <w:t>The user submits registration or login data through the React auth page.</w:t>
      </w:r>
    </w:p>
    <w:p>
      <w:pPr>
        <w:pStyle w:val="ListNumber"/>
        <w:spacing w:after="80" w:line="300" w:lineRule="auto"/>
      </w:pPr>
      <w:r>
        <w:t>The backend validates the payload through Pydantic schemas.</w:t>
      </w:r>
    </w:p>
    <w:p>
      <w:pPr>
        <w:pStyle w:val="ListNumber"/>
        <w:spacing w:after="80" w:line="300" w:lineRule="auto"/>
      </w:pPr>
      <w:r>
        <w:t>Registration hashes the MPIN with bcrypt before saving.</w:t>
      </w:r>
    </w:p>
    <w:p>
      <w:pPr>
        <w:pStyle w:val="ListNumber"/>
        <w:spacing w:after="80" w:line="300" w:lineRule="auto"/>
      </w:pPr>
      <w:r>
        <w:t>Login checks the submitted MPIN against the stored hash.</w:t>
      </w:r>
    </w:p>
    <w:p>
      <w:pPr>
        <w:pStyle w:val="ListNumber"/>
        <w:spacing w:after="80" w:line="300" w:lineRule="auto"/>
      </w:pPr>
      <w:r>
        <w:t>Failed attempts can increase lockout counters.</w:t>
      </w:r>
    </w:p>
    <w:p>
      <w:pPr>
        <w:pStyle w:val="ListNumber"/>
        <w:spacing w:after="80" w:line="300" w:lineRule="auto"/>
      </w:pPr>
      <w:r>
        <w:t>Successful login returns a signed JWT access token.</w:t>
      </w:r>
    </w:p>
    <w:p>
      <w:pPr>
        <w:pStyle w:val="ListNumber"/>
        <w:spacing w:after="80" w:line="300" w:lineRule="auto"/>
      </w:pPr>
      <w:r>
        <w:t>The frontend stores the token and attaches it to future protected requests.</w:t>
      </w:r>
    </w:p>
    <w:p>
      <w:pPr>
        <w:pStyle w:val="ListNumber"/>
        <w:spacing w:after="80" w:line="300" w:lineRule="auto"/>
      </w:pPr>
      <w:r>
        <w:t>Protected endpoints decode the token and load the current user before doing work.</w:t>
      </w:r>
    </w:p>
    <w:p>
      <w:pPr>
        <w:pStyle w:val="Heading1"/>
      </w:pPr>
      <w:r>
        <w:t>8. OTP and Verification in Detail</w:t>
      </w:r>
    </w:p>
    <w:p>
      <w:r>
        <w:t>OTP verification adds proof that the customer controls the email address or phone target. The implementation generates a six-digit code, stores it with an expiry, sends it through the configured communication path, verifies the submitted value, and removes the code on success. This prevents successful OTP reuse and keeps verification time-bound.</w:t>
      </w:r>
    </w:p>
    <w:p>
      <w:pPr>
        <w:pStyle w:val="Heading1"/>
      </w:pPr>
      <w:r>
        <w:t>9. Authorization and Ownership</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9FBF8"/>
          </w:tcPr>
          <w:p>
            <w:pPr>
              <w:spacing w:after="60"/>
            </w:pPr>
            <w:r>
              <w:rPr>
                <w:rFonts w:ascii="Calibri" w:hAnsi="Calibri"/>
                <w:b/>
                <w:color w:val="0A1220"/>
                <w:sz w:val="22"/>
              </w:rPr>
              <w:t>Most important backend rule</w:t>
            </w:r>
          </w:p>
          <w:p>
            <w:pPr>
              <w:spacing w:after="0"/>
            </w:pPr>
            <w:r>
              <w:rPr>
                <w:rFonts w:ascii="Calibri" w:hAnsi="Calibri"/>
                <w:color w:val="555555"/>
                <w:sz w:val="21"/>
              </w:rPr>
              <w:t>A token proves who the user is. It does not automatically prove that the requested account, loan, deposit, card, transaction history, or beneficiary belongs to that user. Each protected workflow must verify ownership before returning or changing data.</w:t>
            </w:r>
          </w:p>
        </w:tc>
      </w:tr>
    </w:tbl>
    <w:p/>
    <w:p>
      <w:pPr>
        <w:pStyle w:val="ListBullet"/>
        <w:spacing w:after="80" w:line="300" w:lineRule="auto"/>
      </w:pPr>
      <w:r>
        <w:t>Account lists are filtered by the current user.</w:t>
      </w:r>
    </w:p>
    <w:p>
      <w:pPr>
        <w:pStyle w:val="ListBullet"/>
        <w:spacing w:after="80" w:line="300" w:lineRule="auto"/>
      </w:pPr>
      <w:r>
        <w:t>Transfers verify the source account belongs to the current user.</w:t>
      </w:r>
    </w:p>
    <w:p>
      <w:pPr>
        <w:pStyle w:val="ListBullet"/>
        <w:spacing w:after="80" w:line="300" w:lineRule="auto"/>
      </w:pPr>
      <w:r>
        <w:t>Statements and passbooks verify the viewed account belongs to the current user.</w:t>
      </w:r>
    </w:p>
    <w:p>
      <w:pPr>
        <w:pStyle w:val="ListBullet"/>
        <w:spacing w:after="80" w:line="300" w:lineRule="auto"/>
      </w:pPr>
      <w:r>
        <w:t>Loans, fixed deposits, cards, and beneficiaries are scoped to the current user.</w:t>
      </w:r>
    </w:p>
    <w:p>
      <w:pPr>
        <w:pStyle w:val="ListBullet"/>
        <w:spacing w:after="80" w:line="300" w:lineRule="auto"/>
      </w:pPr>
      <w:r>
        <w:t>Analytics reads only transactions from the current user's accounts.</w:t>
      </w:r>
    </w:p>
    <w:p>
      <w:pPr>
        <w:pStyle w:val="Heading1"/>
      </w:pPr>
      <w:r>
        <w:t>10. Money Movement</w:t>
      </w:r>
    </w:p>
    <w:tbl>
      <w:tblPr>
        <w:tblStyle w:val="TableGrid"/>
        <w:tblW w:type="dxa" w:w="9360"/>
        <w:jc w:val="center"/>
        <w:tblLayout w:type="fixed"/>
        <w:tblLook w:firstColumn="1" w:firstRow="1" w:lastColumn="0" w:lastRow="0" w:noHBand="0" w:noVBand="1" w:val="04A0"/>
      </w:tblPr>
      <w:tblGrid>
        <w:gridCol w:w="1700"/>
        <w:gridCol w:w="2860"/>
        <w:gridCol w:w="2600"/>
        <w:gridCol w:w="2200"/>
      </w:tblGrid>
      <w:tr>
        <w:tc>
          <w:tcPr>
            <w:tcW w:type="dxa" w:w="1700"/>
            <w:vAlign w:val="center"/>
            <w:tcMar>
              <w:top w:w="80" w:type="dxa"/>
              <w:start w:w="120" w:type="dxa"/>
              <w:bottom w:w="80" w:type="dxa"/>
              <w:end w:w="120" w:type="dxa"/>
            </w:tcMar>
            <w:shd w:fill="E8EEF5"/>
          </w:tcPr>
          <w:p>
            <w:pPr>
              <w:spacing w:after="0"/>
              <w:jc w:val="center"/>
            </w:pPr>
            <w:r>
              <w:rPr>
                <w:rFonts w:ascii="Calibri" w:hAnsi="Calibri"/>
                <w:b/>
                <w:color w:val="0A1220"/>
                <w:sz w:val="19"/>
              </w:rPr>
              <w:t>Workflow</w:t>
            </w:r>
          </w:p>
        </w:tc>
        <w:tc>
          <w:tcPr>
            <w:tcW w:type="dxa" w:w="2860"/>
            <w:vAlign w:val="center"/>
            <w:tcMar>
              <w:top w:w="80" w:type="dxa"/>
              <w:start w:w="120" w:type="dxa"/>
              <w:bottom w:w="80" w:type="dxa"/>
              <w:end w:w="120" w:type="dxa"/>
            </w:tcMar>
            <w:shd w:fill="E8EEF5"/>
          </w:tcPr>
          <w:p>
            <w:pPr>
              <w:spacing w:after="0"/>
              <w:jc w:val="center"/>
            </w:pPr>
            <w:r>
              <w:rPr>
                <w:rFonts w:ascii="Calibri" w:hAnsi="Calibri"/>
                <w:b/>
                <w:color w:val="0A1220"/>
                <w:sz w:val="19"/>
              </w:rPr>
              <w:t>Validation</w:t>
            </w:r>
          </w:p>
        </w:tc>
        <w:tc>
          <w:tcPr>
            <w:tcW w:type="dxa" w:w="2600"/>
            <w:vAlign w:val="center"/>
            <w:tcMar>
              <w:top w:w="80" w:type="dxa"/>
              <w:start w:w="120" w:type="dxa"/>
              <w:bottom w:w="80" w:type="dxa"/>
              <w:end w:w="120" w:type="dxa"/>
            </w:tcMar>
            <w:shd w:fill="E8EEF5"/>
          </w:tcPr>
          <w:p>
            <w:pPr>
              <w:spacing w:after="0"/>
              <w:jc w:val="center"/>
            </w:pPr>
            <w:r>
              <w:rPr>
                <w:rFonts w:ascii="Calibri" w:hAnsi="Calibri"/>
                <w:b/>
                <w:color w:val="0A1220"/>
                <w:sz w:val="19"/>
              </w:rPr>
              <w:t>State change</w:t>
            </w:r>
          </w:p>
        </w:tc>
        <w:tc>
          <w:tcPr>
            <w:tcW w:type="dxa" w:w="2200"/>
            <w:vAlign w:val="center"/>
            <w:tcMar>
              <w:top w:w="80" w:type="dxa"/>
              <w:start w:w="120" w:type="dxa"/>
              <w:bottom w:w="80" w:type="dxa"/>
              <w:end w:w="120" w:type="dxa"/>
            </w:tcMar>
            <w:shd w:fill="E8EEF5"/>
          </w:tcPr>
          <w:p>
            <w:pPr>
              <w:spacing w:after="0"/>
              <w:jc w:val="center"/>
            </w:pPr>
            <w:r>
              <w:rPr>
                <w:rFonts w:ascii="Calibri" w:hAnsi="Calibri"/>
                <w:b/>
                <w:color w:val="0A1220"/>
                <w:sz w:val="19"/>
              </w:rPr>
              <w:t>Record created</w:t>
            </w:r>
          </w:p>
        </w:tc>
      </w:tr>
      <w:tr>
        <w:tc>
          <w:tcPr>
            <w:tcW w:type="dxa" w:w="1700"/>
          </w:tcPr>
          <w:p>
            <w:pPr>
              <w:spacing w:after="0"/>
              <w:jc w:val="center"/>
            </w:pPr>
            <w:r>
              <w:rPr>
                <w:rFonts w:ascii="Calibri" w:hAnsi="Calibri"/>
                <w:color w:val="1E293B"/>
                <w:sz w:val="19"/>
              </w:rPr>
              <w:t>Deposit</w:t>
            </w:r>
          </w:p>
        </w:tc>
        <w:tc>
          <w:tcPr>
            <w:tcW w:type="dxa" w:w="2860"/>
          </w:tcPr>
          <w:p>
            <w:pPr>
              <w:spacing w:after="0"/>
            </w:pPr>
            <w:r>
              <w:rPr>
                <w:rFonts w:ascii="Calibri" w:hAnsi="Calibri"/>
                <w:color w:val="1E293B"/>
                <w:sz w:val="19"/>
              </w:rPr>
              <w:t>Amount positive; target account exists.</w:t>
            </w:r>
          </w:p>
        </w:tc>
        <w:tc>
          <w:tcPr>
            <w:tcW w:type="dxa" w:w="2600"/>
          </w:tcPr>
          <w:p>
            <w:pPr>
              <w:spacing w:after="0"/>
            </w:pPr>
            <w:r>
              <w:rPr>
                <w:rFonts w:ascii="Calibri" w:hAnsi="Calibri"/>
                <w:color w:val="1E293B"/>
                <w:sz w:val="19"/>
              </w:rPr>
              <w:t>Increase account balance.</w:t>
            </w:r>
          </w:p>
        </w:tc>
        <w:tc>
          <w:tcPr>
            <w:tcW w:type="dxa" w:w="2200"/>
          </w:tcPr>
          <w:p>
            <w:pPr>
              <w:spacing w:after="0"/>
            </w:pPr>
            <w:r>
              <w:rPr>
                <w:rFonts w:ascii="Calibri" w:hAnsi="Calibri"/>
                <w:color w:val="1E293B"/>
                <w:sz w:val="19"/>
              </w:rPr>
              <w:t>Deposit transaction.</w:t>
            </w:r>
          </w:p>
        </w:tc>
      </w:tr>
      <w:tr>
        <w:tc>
          <w:tcPr>
            <w:tcW w:type="dxa" w:w="1700"/>
          </w:tcPr>
          <w:p>
            <w:pPr>
              <w:spacing w:after="0"/>
              <w:jc w:val="center"/>
            </w:pPr>
            <w:r>
              <w:rPr>
                <w:rFonts w:ascii="Calibri" w:hAnsi="Calibri"/>
                <w:color w:val="1E293B"/>
                <w:sz w:val="19"/>
              </w:rPr>
              <w:t>Withdraw</w:t>
            </w:r>
          </w:p>
        </w:tc>
        <w:tc>
          <w:tcPr>
            <w:tcW w:type="dxa" w:w="2860"/>
          </w:tcPr>
          <w:p>
            <w:pPr>
              <w:spacing w:after="0"/>
            </w:pPr>
            <w:r>
              <w:rPr>
                <w:rFonts w:ascii="Calibri" w:hAnsi="Calibri"/>
                <w:color w:val="1E293B"/>
                <w:sz w:val="19"/>
              </w:rPr>
              <w:t>Amount positive; account exists; sufficient balance.</w:t>
            </w:r>
          </w:p>
        </w:tc>
        <w:tc>
          <w:tcPr>
            <w:tcW w:type="dxa" w:w="2600"/>
          </w:tcPr>
          <w:p>
            <w:pPr>
              <w:spacing w:after="0"/>
            </w:pPr>
            <w:r>
              <w:rPr>
                <w:rFonts w:ascii="Calibri" w:hAnsi="Calibri"/>
                <w:color w:val="1E293B"/>
                <w:sz w:val="19"/>
              </w:rPr>
              <w:t>Decrease account balance.</w:t>
            </w:r>
          </w:p>
        </w:tc>
        <w:tc>
          <w:tcPr>
            <w:tcW w:type="dxa" w:w="2200"/>
          </w:tcPr>
          <w:p>
            <w:pPr>
              <w:spacing w:after="0"/>
            </w:pPr>
            <w:r>
              <w:rPr>
                <w:rFonts w:ascii="Calibri" w:hAnsi="Calibri"/>
                <w:color w:val="1E293B"/>
                <w:sz w:val="19"/>
              </w:rPr>
              <w:t>Withdrawal transaction.</w:t>
            </w:r>
          </w:p>
        </w:tc>
      </w:tr>
      <w:tr>
        <w:tc>
          <w:tcPr>
            <w:tcW w:type="dxa" w:w="1700"/>
          </w:tcPr>
          <w:p>
            <w:pPr>
              <w:spacing w:after="0"/>
              <w:jc w:val="center"/>
            </w:pPr>
            <w:r>
              <w:rPr>
                <w:rFonts w:ascii="Calibri" w:hAnsi="Calibri"/>
                <w:color w:val="1E293B"/>
                <w:sz w:val="19"/>
              </w:rPr>
              <w:t>Transfer</w:t>
            </w:r>
          </w:p>
        </w:tc>
        <w:tc>
          <w:tcPr>
            <w:tcW w:type="dxa" w:w="2860"/>
          </w:tcPr>
          <w:p>
            <w:pPr>
              <w:spacing w:after="0"/>
            </w:pPr>
            <w:r>
              <w:rPr>
                <w:rFonts w:ascii="Calibri" w:hAnsi="Calibri"/>
                <w:color w:val="1E293B"/>
                <w:sz w:val="19"/>
              </w:rPr>
              <w:t>Amount positive; source owned; destination exists; sufficient balance.</w:t>
            </w:r>
          </w:p>
        </w:tc>
        <w:tc>
          <w:tcPr>
            <w:tcW w:type="dxa" w:w="2600"/>
          </w:tcPr>
          <w:p>
            <w:pPr>
              <w:spacing w:after="0"/>
            </w:pPr>
            <w:r>
              <w:rPr>
                <w:rFonts w:ascii="Calibri" w:hAnsi="Calibri"/>
                <w:color w:val="1E293B"/>
                <w:sz w:val="19"/>
              </w:rPr>
              <w:t>Debit source and credit destination.</w:t>
            </w:r>
          </w:p>
        </w:tc>
        <w:tc>
          <w:tcPr>
            <w:tcW w:type="dxa" w:w="2200"/>
          </w:tcPr>
          <w:p>
            <w:pPr>
              <w:spacing w:after="0"/>
            </w:pPr>
            <w:r>
              <w:rPr>
                <w:rFonts w:ascii="Calibri" w:hAnsi="Calibri"/>
                <w:color w:val="1E293B"/>
                <w:sz w:val="19"/>
              </w:rPr>
              <w:t>Transfer transaction.</w:t>
            </w:r>
          </w:p>
        </w:tc>
      </w:tr>
    </w:tbl>
    <w:p/>
    <w:p>
      <w:pPr>
        <w:pStyle w:val="Heading1"/>
      </w:pPr>
      <w:r>
        <w:t>11. Statements and Passbooks</w:t>
      </w:r>
    </w:p>
    <w:p>
      <w:r>
        <w:t>Statements and passbooks are derived views over transaction history. They are not separate manually maintained ledgers. The system loads all transactions related to an account and calculates how each event affects that account. This makes the generated history explainable and auditable.</w:t>
      </w:r>
    </w:p>
    <w:p>
      <w:pPr>
        <w:pStyle w:val="Heading1"/>
      </w:pPr>
      <w:r>
        <w:t>12. Product Workflows</w:t>
      </w:r>
    </w:p>
    <w:tbl>
      <w:tblPr>
        <w:tblStyle w:val="TableGrid"/>
        <w:tblW w:type="dxa" w:w="9360"/>
        <w:jc w:val="center"/>
        <w:tblLayout w:type="fixed"/>
        <w:tblLook w:firstColumn="1" w:firstRow="1" w:lastColumn="0" w:lastRow="0" w:noHBand="0" w:noVBand="1" w:val="04A0"/>
      </w:tblPr>
      <w:tblGrid>
        <w:gridCol w:w="1700"/>
        <w:gridCol w:w="3400"/>
        <w:gridCol w:w="4260"/>
      </w:tblGrid>
      <w:tr>
        <w:tc>
          <w:tcPr>
            <w:tcW w:type="dxa" w:w="1700"/>
            <w:vAlign w:val="center"/>
            <w:tcMar>
              <w:top w:w="80" w:type="dxa"/>
              <w:start w:w="120" w:type="dxa"/>
              <w:bottom w:w="80" w:type="dxa"/>
              <w:end w:w="120" w:type="dxa"/>
            </w:tcMar>
            <w:shd w:fill="F2F4F7"/>
          </w:tcPr>
          <w:p>
            <w:pPr>
              <w:spacing w:after="0"/>
              <w:jc w:val="center"/>
            </w:pPr>
            <w:r>
              <w:rPr>
                <w:rFonts w:ascii="Calibri" w:hAnsi="Calibri"/>
                <w:b/>
                <w:color w:val="0A1220"/>
                <w:sz w:val="19"/>
              </w:rPr>
              <w:t>Product</w:t>
            </w:r>
          </w:p>
        </w:tc>
        <w:tc>
          <w:tcPr>
            <w:tcW w:type="dxa" w:w="3400"/>
            <w:vAlign w:val="center"/>
            <w:tcMar>
              <w:top w:w="80" w:type="dxa"/>
              <w:start w:w="120" w:type="dxa"/>
              <w:bottom w:w="80" w:type="dxa"/>
              <w:end w:w="120" w:type="dxa"/>
            </w:tcMar>
            <w:shd w:fill="F2F4F7"/>
          </w:tcPr>
          <w:p>
            <w:pPr>
              <w:spacing w:after="0"/>
              <w:jc w:val="center"/>
            </w:pPr>
            <w:r>
              <w:rPr>
                <w:rFonts w:ascii="Calibri" w:hAnsi="Calibri"/>
                <w:b/>
                <w:color w:val="0A1220"/>
                <w:sz w:val="19"/>
              </w:rPr>
              <w:t>What the user does</w:t>
            </w:r>
          </w:p>
        </w:tc>
        <w:tc>
          <w:tcPr>
            <w:tcW w:type="dxa" w:w="4260"/>
            <w:vAlign w:val="center"/>
            <w:tcMar>
              <w:top w:w="80" w:type="dxa"/>
              <w:start w:w="120" w:type="dxa"/>
              <w:bottom w:w="80" w:type="dxa"/>
              <w:end w:w="120" w:type="dxa"/>
            </w:tcMar>
            <w:shd w:fill="F2F4F7"/>
          </w:tcPr>
          <w:p>
            <w:pPr>
              <w:spacing w:after="0"/>
              <w:jc w:val="center"/>
            </w:pPr>
            <w:r>
              <w:rPr>
                <w:rFonts w:ascii="Calibri" w:hAnsi="Calibri"/>
                <w:b/>
                <w:color w:val="0A1220"/>
                <w:sz w:val="19"/>
              </w:rPr>
              <w:t>Backend responsibility</w:t>
            </w:r>
          </w:p>
        </w:tc>
      </w:tr>
      <w:tr>
        <w:tc>
          <w:tcPr>
            <w:tcW w:type="dxa" w:w="1700"/>
          </w:tcPr>
          <w:p>
            <w:pPr>
              <w:spacing w:after="0"/>
              <w:jc w:val="center"/>
            </w:pPr>
            <w:r>
              <w:rPr>
                <w:rFonts w:ascii="Calibri" w:hAnsi="Calibri"/>
                <w:color w:val="1E293B"/>
                <w:sz w:val="19"/>
              </w:rPr>
              <w:t>Loan</w:t>
            </w:r>
          </w:p>
        </w:tc>
        <w:tc>
          <w:tcPr>
            <w:tcW w:type="dxa" w:w="3400"/>
          </w:tcPr>
          <w:p>
            <w:pPr>
              <w:spacing w:after="0"/>
            </w:pPr>
            <w:r>
              <w:rPr>
                <w:rFonts w:ascii="Calibri" w:hAnsi="Calibri"/>
                <w:color w:val="1E293B"/>
                <w:sz w:val="19"/>
              </w:rPr>
              <w:t>Choose account, amount, tenure and view estimated EMI.</w:t>
            </w:r>
          </w:p>
        </w:tc>
        <w:tc>
          <w:tcPr>
            <w:tcW w:type="dxa" w:w="4260"/>
          </w:tcPr>
          <w:p>
            <w:pPr>
              <w:spacing w:after="0"/>
            </w:pPr>
            <w:r>
              <w:rPr>
                <w:rFonts w:ascii="Calibri" w:hAnsi="Calibri"/>
                <w:color w:val="1E293B"/>
                <w:sz w:val="19"/>
              </w:rPr>
              <w:t>Validate ownership, compute EMI, store principal/rate/tenure/remaining balance.</w:t>
            </w:r>
          </w:p>
        </w:tc>
      </w:tr>
      <w:tr>
        <w:tc>
          <w:tcPr>
            <w:tcW w:type="dxa" w:w="1700"/>
          </w:tcPr>
          <w:p>
            <w:pPr>
              <w:spacing w:after="0"/>
              <w:jc w:val="center"/>
            </w:pPr>
            <w:r>
              <w:rPr>
                <w:rFonts w:ascii="Calibri" w:hAnsi="Calibri"/>
                <w:color w:val="1E293B"/>
                <w:sz w:val="19"/>
              </w:rPr>
              <w:t>Fixed Deposit</w:t>
            </w:r>
          </w:p>
        </w:tc>
        <w:tc>
          <w:tcPr>
            <w:tcW w:type="dxa" w:w="3400"/>
          </w:tcPr>
          <w:p>
            <w:pPr>
              <w:spacing w:after="0"/>
            </w:pPr>
            <w:r>
              <w:rPr>
                <w:rFonts w:ascii="Calibri" w:hAnsi="Calibri"/>
                <w:color w:val="1E293B"/>
                <w:sz w:val="19"/>
              </w:rPr>
              <w:t>Choose source account, amount, duration and view maturity value.</w:t>
            </w:r>
          </w:p>
        </w:tc>
        <w:tc>
          <w:tcPr>
            <w:tcW w:type="dxa" w:w="4260"/>
          </w:tcPr>
          <w:p>
            <w:pPr>
              <w:spacing w:after="0"/>
            </w:pPr>
            <w:r>
              <w:rPr>
                <w:rFonts w:ascii="Calibri" w:hAnsi="Calibri"/>
                <w:color w:val="1E293B"/>
                <w:sz w:val="19"/>
              </w:rPr>
              <w:t>Validate ownership, compute maturity amount, store term deposit lifecycle.</w:t>
            </w:r>
          </w:p>
        </w:tc>
      </w:tr>
      <w:tr>
        <w:tc>
          <w:tcPr>
            <w:tcW w:type="dxa" w:w="1700"/>
          </w:tcPr>
          <w:p>
            <w:pPr>
              <w:spacing w:after="0"/>
              <w:jc w:val="center"/>
            </w:pPr>
            <w:r>
              <w:rPr>
                <w:rFonts w:ascii="Calibri" w:hAnsi="Calibri"/>
                <w:color w:val="1E293B"/>
                <w:sz w:val="19"/>
              </w:rPr>
              <w:t>Credit Card</w:t>
            </w:r>
          </w:p>
        </w:tc>
        <w:tc>
          <w:tcPr>
            <w:tcW w:type="dxa" w:w="3400"/>
          </w:tcPr>
          <w:p>
            <w:pPr>
              <w:spacing w:after="0"/>
            </w:pPr>
            <w:r>
              <w:rPr>
                <w:rFonts w:ascii="Calibri" w:hAnsi="Calibri"/>
                <w:color w:val="1E293B"/>
                <w:sz w:val="19"/>
              </w:rPr>
              <w:t>Request a card and select a desired credit limit.</w:t>
            </w:r>
          </w:p>
        </w:tc>
        <w:tc>
          <w:tcPr>
            <w:tcW w:type="dxa" w:w="4260"/>
          </w:tcPr>
          <w:p>
            <w:pPr>
              <w:spacing w:after="0"/>
            </w:pPr>
            <w:r>
              <w:rPr>
                <w:rFonts w:ascii="Calibri" w:hAnsi="Calibri"/>
                <w:color w:val="1E293B"/>
                <w:sz w:val="19"/>
              </w:rPr>
              <w:t>Validate linked account, issue card record, track used and available credit.</w:t>
            </w:r>
          </w:p>
        </w:tc>
      </w:tr>
      <w:tr>
        <w:tc>
          <w:tcPr>
            <w:tcW w:type="dxa" w:w="1700"/>
          </w:tcPr>
          <w:p>
            <w:pPr>
              <w:spacing w:after="0"/>
              <w:jc w:val="center"/>
            </w:pPr>
            <w:r>
              <w:rPr>
                <w:rFonts w:ascii="Calibri" w:hAnsi="Calibri"/>
                <w:color w:val="1E293B"/>
                <w:sz w:val="19"/>
              </w:rPr>
              <w:t>Beneficiary</w:t>
            </w:r>
          </w:p>
        </w:tc>
        <w:tc>
          <w:tcPr>
            <w:tcW w:type="dxa" w:w="3400"/>
          </w:tcPr>
          <w:p>
            <w:pPr>
              <w:spacing w:after="0"/>
            </w:pPr>
            <w:r>
              <w:rPr>
                <w:rFonts w:ascii="Calibri" w:hAnsi="Calibri"/>
                <w:color w:val="1E293B"/>
                <w:sz w:val="19"/>
              </w:rPr>
              <w:t>Save recipient details.</w:t>
            </w:r>
          </w:p>
        </w:tc>
        <w:tc>
          <w:tcPr>
            <w:tcW w:type="dxa" w:w="4260"/>
          </w:tcPr>
          <w:p>
            <w:pPr>
              <w:spacing w:after="0"/>
            </w:pPr>
            <w:r>
              <w:rPr>
                <w:rFonts w:ascii="Calibri" w:hAnsi="Calibri"/>
                <w:color w:val="1E293B"/>
                <w:sz w:val="19"/>
              </w:rPr>
              <w:t>Encrypt sensitive recipient data and scope it to the customer.</w:t>
            </w:r>
          </w:p>
        </w:tc>
      </w:tr>
    </w:tbl>
    <w:p/>
    <w:p>
      <w:pPr>
        <w:pStyle w:val="Heading1"/>
      </w:pPr>
      <w:r>
        <w:t>13. Calculations and Formulas</w:t>
      </w:r>
    </w:p>
    <w:tbl>
      <w:tblPr>
        <w:tblStyle w:val="TableGrid"/>
        <w:tblW w:type="dxa" w:w="9360"/>
        <w:jc w:val="center"/>
        <w:tblLayout w:type="fixed"/>
        <w:tblLook w:firstColumn="1" w:firstRow="1" w:lastColumn="0" w:lastRow="0" w:noHBand="0" w:noVBand="1" w:val="04A0"/>
      </w:tblPr>
      <w:tblGrid>
        <w:gridCol w:w="1900"/>
        <w:gridCol w:w="4200"/>
        <w:gridCol w:w="3260"/>
      </w:tblGrid>
      <w:tr>
        <w:tc>
          <w:tcPr>
            <w:tcW w:type="dxa" w:w="1900"/>
            <w:vAlign w:val="center"/>
            <w:tcMar>
              <w:top w:w="80" w:type="dxa"/>
              <w:start w:w="120" w:type="dxa"/>
              <w:bottom w:w="80" w:type="dxa"/>
              <w:end w:w="120" w:type="dxa"/>
            </w:tcMar>
            <w:shd w:fill="FAF4E3"/>
          </w:tcPr>
          <w:p>
            <w:pPr>
              <w:spacing w:after="0"/>
              <w:jc w:val="center"/>
            </w:pPr>
            <w:r>
              <w:rPr>
                <w:rFonts w:ascii="Calibri" w:hAnsi="Calibri"/>
                <w:b/>
                <w:color w:val="0A1220"/>
                <w:sz w:val="19"/>
              </w:rPr>
              <w:t>Calculation</w:t>
            </w:r>
          </w:p>
        </w:tc>
        <w:tc>
          <w:tcPr>
            <w:tcW w:type="dxa" w:w="4200"/>
            <w:vAlign w:val="center"/>
            <w:tcMar>
              <w:top w:w="80" w:type="dxa"/>
              <w:start w:w="120" w:type="dxa"/>
              <w:bottom w:w="80" w:type="dxa"/>
              <w:end w:w="120" w:type="dxa"/>
            </w:tcMar>
            <w:shd w:fill="FAF4E3"/>
          </w:tcPr>
          <w:p>
            <w:pPr>
              <w:spacing w:after="0"/>
              <w:jc w:val="center"/>
            </w:pPr>
            <w:r>
              <w:rPr>
                <w:rFonts w:ascii="Calibri" w:hAnsi="Calibri"/>
                <w:b/>
                <w:color w:val="0A1220"/>
                <w:sz w:val="19"/>
              </w:rPr>
              <w:t>Formula</w:t>
            </w:r>
          </w:p>
        </w:tc>
        <w:tc>
          <w:tcPr>
            <w:tcW w:type="dxa" w:w="3260"/>
            <w:vAlign w:val="center"/>
            <w:tcMar>
              <w:top w:w="80" w:type="dxa"/>
              <w:start w:w="120" w:type="dxa"/>
              <w:bottom w:w="80" w:type="dxa"/>
              <w:end w:w="120" w:type="dxa"/>
            </w:tcMar>
            <w:shd w:fill="FAF4E3"/>
          </w:tcPr>
          <w:p>
            <w:pPr>
              <w:spacing w:after="0"/>
              <w:jc w:val="center"/>
            </w:pPr>
            <w:r>
              <w:rPr>
                <w:rFonts w:ascii="Calibri" w:hAnsi="Calibri"/>
                <w:b/>
                <w:color w:val="0A1220"/>
                <w:sz w:val="19"/>
              </w:rPr>
              <w:t>Notes</w:t>
            </w:r>
          </w:p>
        </w:tc>
      </w:tr>
      <w:tr>
        <w:tc>
          <w:tcPr>
            <w:tcW w:type="dxa" w:w="1900"/>
          </w:tcPr>
          <w:p>
            <w:pPr>
              <w:spacing w:after="0"/>
              <w:jc w:val="center"/>
            </w:pPr>
            <w:r>
              <w:rPr>
                <w:rFonts w:ascii="Calibri" w:hAnsi="Calibri"/>
                <w:color w:val="1E293B"/>
                <w:sz w:val="19"/>
              </w:rPr>
              <w:t>Loan EMI</w:t>
            </w:r>
          </w:p>
        </w:tc>
        <w:tc>
          <w:tcPr>
            <w:tcW w:type="dxa" w:w="4200"/>
          </w:tcPr>
          <w:p>
            <w:pPr>
              <w:spacing w:after="0"/>
            </w:pPr>
            <w:r>
              <w:rPr>
                <w:rFonts w:ascii="Calibri" w:hAnsi="Calibri"/>
                <w:color w:val="1E293B"/>
                <w:sz w:val="19"/>
              </w:rPr>
              <w:t>P * r * (1 + r)^n / ((1 + r)^n - 1)</w:t>
            </w:r>
          </w:p>
        </w:tc>
        <w:tc>
          <w:tcPr>
            <w:tcW w:type="dxa" w:w="3260"/>
          </w:tcPr>
          <w:p>
            <w:pPr>
              <w:spacing w:after="0"/>
            </w:pPr>
            <w:r>
              <w:rPr>
                <w:rFonts w:ascii="Calibri" w:hAnsi="Calibri"/>
                <w:color w:val="1E293B"/>
                <w:sz w:val="19"/>
              </w:rPr>
              <w:t>P is principal, r is monthly interest, n is number of installments.</w:t>
            </w:r>
          </w:p>
        </w:tc>
      </w:tr>
      <w:tr>
        <w:tc>
          <w:tcPr>
            <w:tcW w:type="dxa" w:w="1900"/>
          </w:tcPr>
          <w:p>
            <w:pPr>
              <w:spacing w:after="0"/>
              <w:jc w:val="center"/>
            </w:pPr>
            <w:r>
              <w:rPr>
                <w:rFonts w:ascii="Calibri" w:hAnsi="Calibri"/>
                <w:color w:val="1E293B"/>
                <w:sz w:val="19"/>
              </w:rPr>
              <w:t>FD maturity</w:t>
            </w:r>
          </w:p>
        </w:tc>
        <w:tc>
          <w:tcPr>
            <w:tcW w:type="dxa" w:w="4200"/>
          </w:tcPr>
          <w:p>
            <w:pPr>
              <w:spacing w:after="0"/>
            </w:pPr>
            <w:r>
              <w:rPr>
                <w:rFonts w:ascii="Calibri" w:hAnsi="Calibri"/>
                <w:color w:val="1E293B"/>
                <w:sz w:val="19"/>
              </w:rPr>
              <w:t>principal * (1 + annual_rate * years)</w:t>
            </w:r>
          </w:p>
        </w:tc>
        <w:tc>
          <w:tcPr>
            <w:tcW w:type="dxa" w:w="3260"/>
          </w:tcPr>
          <w:p>
            <w:pPr>
              <w:spacing w:after="0"/>
            </w:pPr>
            <w:r>
              <w:rPr>
                <w:rFonts w:ascii="Calibri" w:hAnsi="Calibri"/>
                <w:color w:val="1E293B"/>
                <w:sz w:val="19"/>
              </w:rPr>
              <w:t>Simple-interest style maturity estimate.</w:t>
            </w:r>
          </w:p>
        </w:tc>
      </w:tr>
      <w:tr>
        <w:tc>
          <w:tcPr>
            <w:tcW w:type="dxa" w:w="1900"/>
          </w:tcPr>
          <w:p>
            <w:pPr>
              <w:spacing w:after="0"/>
              <w:jc w:val="center"/>
            </w:pPr>
            <w:r>
              <w:rPr>
                <w:rFonts w:ascii="Calibri" w:hAnsi="Calibri"/>
                <w:color w:val="1E293B"/>
                <w:sz w:val="19"/>
              </w:rPr>
              <w:t>Credit available</w:t>
            </w:r>
          </w:p>
        </w:tc>
        <w:tc>
          <w:tcPr>
            <w:tcW w:type="dxa" w:w="4200"/>
          </w:tcPr>
          <w:p>
            <w:pPr>
              <w:spacing w:after="0"/>
            </w:pPr>
            <w:r>
              <w:rPr>
                <w:rFonts w:ascii="Calibri" w:hAnsi="Calibri"/>
                <w:color w:val="1E293B"/>
                <w:sz w:val="19"/>
              </w:rPr>
              <w:t>credit_limit - used_credit</w:t>
            </w:r>
          </w:p>
        </w:tc>
        <w:tc>
          <w:tcPr>
            <w:tcW w:type="dxa" w:w="3260"/>
          </w:tcPr>
          <w:p>
            <w:pPr>
              <w:spacing w:after="0"/>
            </w:pPr>
            <w:r>
              <w:rPr>
                <w:rFonts w:ascii="Calibri" w:hAnsi="Calibri"/>
                <w:color w:val="1E293B"/>
                <w:sz w:val="19"/>
              </w:rPr>
              <w:t>Drives card spending availability.</w:t>
            </w:r>
          </w:p>
        </w:tc>
      </w:tr>
      <w:tr>
        <w:tc>
          <w:tcPr>
            <w:tcW w:type="dxa" w:w="1900"/>
          </w:tcPr>
          <w:p>
            <w:pPr>
              <w:spacing w:after="0"/>
              <w:jc w:val="center"/>
            </w:pPr>
            <w:r>
              <w:rPr>
                <w:rFonts w:ascii="Calibri" w:hAnsi="Calibri"/>
                <w:color w:val="1E293B"/>
                <w:sz w:val="19"/>
              </w:rPr>
              <w:t>Running balance</w:t>
            </w:r>
          </w:p>
        </w:tc>
        <w:tc>
          <w:tcPr>
            <w:tcW w:type="dxa" w:w="4200"/>
          </w:tcPr>
          <w:p>
            <w:pPr>
              <w:spacing w:after="0"/>
            </w:pPr>
            <w:r>
              <w:rPr>
                <w:rFonts w:ascii="Calibri" w:hAnsi="Calibri"/>
                <w:color w:val="1E293B"/>
                <w:sz w:val="19"/>
              </w:rPr>
              <w:t>previous balance +/- transaction effect</w:t>
            </w:r>
          </w:p>
        </w:tc>
        <w:tc>
          <w:tcPr>
            <w:tcW w:type="dxa" w:w="3260"/>
          </w:tcPr>
          <w:p>
            <w:pPr>
              <w:spacing w:after="0"/>
            </w:pPr>
            <w:r>
              <w:rPr>
                <w:rFonts w:ascii="Calibri" w:hAnsi="Calibri"/>
                <w:color w:val="1E293B"/>
                <w:sz w:val="19"/>
              </w:rPr>
              <w:t>Used by account history views.</w:t>
            </w:r>
          </w:p>
        </w:tc>
      </w:tr>
      <w:tr>
        <w:tc>
          <w:tcPr>
            <w:tcW w:type="dxa" w:w="1900"/>
          </w:tcPr>
          <w:p>
            <w:pPr>
              <w:spacing w:after="0"/>
            </w:pPr>
            <w:r>
              <w:rPr>
                <w:rFonts w:ascii="Calibri" w:hAnsi="Calibri"/>
                <w:color w:val="1E293B"/>
                <w:sz w:val="19"/>
              </w:rPr>
              <w:t>Savings/health score</w:t>
            </w:r>
          </w:p>
        </w:tc>
        <w:tc>
          <w:tcPr>
            <w:tcW w:type="dxa" w:w="4200"/>
          </w:tcPr>
          <w:p>
            <w:pPr>
              <w:spacing w:after="0"/>
            </w:pPr>
            <w:r>
              <w:rPr>
                <w:rFonts w:ascii="Calibri" w:hAnsi="Calibri"/>
                <w:color w:val="1E293B"/>
                <w:sz w:val="19"/>
              </w:rPr>
              <w:t>Savings and spending signals</w:t>
            </w:r>
          </w:p>
        </w:tc>
        <w:tc>
          <w:tcPr>
            <w:tcW w:type="dxa" w:w="3260"/>
          </w:tcPr>
          <w:p>
            <w:pPr>
              <w:spacing w:after="0"/>
            </w:pPr>
            <w:r>
              <w:rPr>
                <w:rFonts w:ascii="Calibri" w:hAnsi="Calibri"/>
                <w:color w:val="1E293B"/>
                <w:sz w:val="19"/>
              </w:rPr>
              <w:t>Rule-based financial feedback.</w:t>
            </w:r>
          </w:p>
        </w:tc>
      </w:tr>
    </w:tbl>
    <w:p/>
    <w:p>
      <w:pPr>
        <w:pStyle w:val="Heading1"/>
      </w:pPr>
      <w:r>
        <w:t>14. Analytics and Financial Intelligence</w:t>
      </w:r>
    </w:p>
    <w:p>
      <w:r>
        <w:t>Analytics modules transform raw transactions into human-readable summaries. Expense analysis groups activity, financial health scores translate behavior into a simple rating, and the tips engine creates rule-based suggestions. On the frontend, Recharts turns the summary into chart components that users can scan quickly.</w:t>
      </w:r>
    </w:p>
    <w:p>
      <w:pPr>
        <w:pStyle w:val="Heading1"/>
      </w:pPr>
      <w:r>
        <w:t>15. Frontend Routing</w:t>
      </w:r>
    </w:p>
    <w:tbl>
      <w:tblPr>
        <w:tblStyle w:val="TableGrid"/>
        <w:tblW w:type="dxa" w:w="9360"/>
        <w:jc w:val="center"/>
        <w:tblLayout w:type="fixed"/>
        <w:tblLook w:firstColumn="1" w:firstRow="1" w:lastColumn="0" w:lastRow="0" w:noHBand="0" w:noVBand="1" w:val="04A0"/>
      </w:tblPr>
      <w:tblGrid>
        <w:gridCol w:w="1500"/>
        <w:gridCol w:w="2200"/>
        <w:gridCol w:w="5660"/>
      </w:tblGrid>
      <w:tr>
        <w:tc>
          <w:tcPr>
            <w:tcW w:type="dxa" w:w="1500"/>
            <w:vAlign w:val="center"/>
            <w:tcMar>
              <w:top w:w="80" w:type="dxa"/>
              <w:start w:w="120" w:type="dxa"/>
              <w:bottom w:w="80" w:type="dxa"/>
              <w:end w:w="120" w:type="dxa"/>
            </w:tcMar>
            <w:shd w:fill="E8EEF5"/>
          </w:tcPr>
          <w:p>
            <w:pPr>
              <w:spacing w:after="0"/>
              <w:jc w:val="center"/>
            </w:pPr>
            <w:r>
              <w:rPr>
                <w:rFonts w:ascii="Calibri" w:hAnsi="Calibri"/>
                <w:b/>
                <w:color w:val="0A1220"/>
                <w:sz w:val="19"/>
              </w:rPr>
              <w:t>Route</w:t>
            </w:r>
          </w:p>
        </w:tc>
        <w:tc>
          <w:tcPr>
            <w:tcW w:type="dxa" w:w="2200"/>
            <w:vAlign w:val="center"/>
            <w:tcMar>
              <w:top w:w="80" w:type="dxa"/>
              <w:start w:w="120" w:type="dxa"/>
              <w:bottom w:w="80" w:type="dxa"/>
              <w:end w:w="120" w:type="dxa"/>
            </w:tcMar>
            <w:shd w:fill="E8EEF5"/>
          </w:tcPr>
          <w:p>
            <w:pPr>
              <w:spacing w:after="0"/>
              <w:jc w:val="center"/>
            </w:pPr>
            <w:r>
              <w:rPr>
                <w:rFonts w:ascii="Calibri" w:hAnsi="Calibri"/>
                <w:b/>
                <w:color w:val="0A1220"/>
                <w:sz w:val="19"/>
              </w:rPr>
              <w:t>Page</w:t>
            </w:r>
          </w:p>
        </w:tc>
        <w:tc>
          <w:tcPr>
            <w:tcW w:type="dxa" w:w="5660"/>
            <w:vAlign w:val="center"/>
            <w:tcMar>
              <w:top w:w="80" w:type="dxa"/>
              <w:start w:w="120" w:type="dxa"/>
              <w:bottom w:w="80" w:type="dxa"/>
              <w:end w:w="120" w:type="dxa"/>
            </w:tcMar>
            <w:shd w:fill="E8EEF5"/>
          </w:tcPr>
          <w:p>
            <w:pPr>
              <w:spacing w:after="0"/>
              <w:jc w:val="center"/>
            </w:pPr>
            <w:r>
              <w:rPr>
                <w:rFonts w:ascii="Calibri" w:hAnsi="Calibri"/>
                <w:b/>
                <w:color w:val="0A1220"/>
                <w:sz w:val="19"/>
              </w:rPr>
              <w:t>Purpose</w:t>
            </w:r>
          </w:p>
        </w:tc>
      </w:tr>
      <w:tr>
        <w:tc>
          <w:tcPr>
            <w:tcW w:type="dxa" w:w="1500"/>
          </w:tcPr>
          <w:p>
            <w:pPr>
              <w:spacing w:after="0"/>
              <w:jc w:val="center"/>
            </w:pPr>
            <w:r>
              <w:rPr>
                <w:rFonts w:ascii="Calibri" w:hAnsi="Calibri"/>
                <w:color w:val="1E293B"/>
                <w:sz w:val="19"/>
              </w:rPr>
              <w:t>/</w:t>
            </w:r>
          </w:p>
        </w:tc>
        <w:tc>
          <w:tcPr>
            <w:tcW w:type="dxa" w:w="2200"/>
          </w:tcPr>
          <w:p>
            <w:pPr>
              <w:spacing w:after="0"/>
              <w:jc w:val="center"/>
            </w:pPr>
            <w:r>
              <w:rPr>
                <w:rFonts w:ascii="Calibri" w:hAnsi="Calibri"/>
                <w:color w:val="1E293B"/>
                <w:sz w:val="19"/>
              </w:rPr>
              <w:t>Landing</w:t>
            </w:r>
          </w:p>
        </w:tc>
        <w:tc>
          <w:tcPr>
            <w:tcW w:type="dxa" w:w="5660"/>
          </w:tcPr>
          <w:p>
            <w:pPr>
              <w:spacing w:after="0"/>
            </w:pPr>
            <w:r>
              <w:rPr>
                <w:rFonts w:ascii="Calibri" w:hAnsi="Calibri"/>
                <w:color w:val="1E293B"/>
                <w:sz w:val="19"/>
              </w:rPr>
              <w:t>Marketing and first impression page introduced in the final redesign.</w:t>
            </w:r>
          </w:p>
        </w:tc>
      </w:tr>
      <w:tr>
        <w:tc>
          <w:tcPr>
            <w:tcW w:type="dxa" w:w="1500"/>
          </w:tcPr>
          <w:p>
            <w:pPr>
              <w:spacing w:after="0"/>
              <w:jc w:val="center"/>
            </w:pPr>
            <w:r>
              <w:rPr>
                <w:rFonts w:ascii="Calibri" w:hAnsi="Calibri"/>
                <w:color w:val="1E293B"/>
                <w:sz w:val="19"/>
              </w:rPr>
              <w:t>/login</w:t>
            </w:r>
          </w:p>
        </w:tc>
        <w:tc>
          <w:tcPr>
            <w:tcW w:type="dxa" w:w="2200"/>
          </w:tcPr>
          <w:p>
            <w:pPr>
              <w:spacing w:after="0"/>
              <w:jc w:val="center"/>
            </w:pPr>
            <w:r>
              <w:rPr>
                <w:rFonts w:ascii="Calibri" w:hAnsi="Calibri"/>
                <w:color w:val="1E293B"/>
                <w:sz w:val="19"/>
              </w:rPr>
              <w:t>Login</w:t>
            </w:r>
          </w:p>
        </w:tc>
        <w:tc>
          <w:tcPr>
            <w:tcW w:type="dxa" w:w="5660"/>
          </w:tcPr>
          <w:p>
            <w:pPr>
              <w:spacing w:after="0"/>
            </w:pPr>
            <w:r>
              <w:rPr>
                <w:rFonts w:ascii="Calibri" w:hAnsi="Calibri"/>
                <w:color w:val="1E293B"/>
                <w:sz w:val="19"/>
              </w:rPr>
              <w:t>Authentication, registration, OTP, and reset MPIN flow.</w:t>
            </w:r>
          </w:p>
        </w:tc>
      </w:tr>
      <w:tr>
        <w:tc>
          <w:tcPr>
            <w:tcW w:type="dxa" w:w="1500"/>
          </w:tcPr>
          <w:p>
            <w:pPr>
              <w:spacing w:after="0"/>
              <w:jc w:val="center"/>
            </w:pPr>
            <w:r>
              <w:rPr>
                <w:rFonts w:ascii="Calibri" w:hAnsi="Calibri"/>
                <w:color w:val="1E293B"/>
                <w:sz w:val="19"/>
              </w:rPr>
              <w:t>/dashboard</w:t>
            </w:r>
          </w:p>
        </w:tc>
        <w:tc>
          <w:tcPr>
            <w:tcW w:type="dxa" w:w="2200"/>
          </w:tcPr>
          <w:p>
            <w:pPr>
              <w:spacing w:after="0"/>
              <w:jc w:val="center"/>
            </w:pPr>
            <w:r>
              <w:rPr>
                <w:rFonts w:ascii="Calibri" w:hAnsi="Calibri"/>
                <w:color w:val="1E293B"/>
                <w:sz w:val="19"/>
              </w:rPr>
              <w:t>Dashboard</w:t>
            </w:r>
          </w:p>
        </w:tc>
        <w:tc>
          <w:tcPr>
            <w:tcW w:type="dxa" w:w="5660"/>
          </w:tcPr>
          <w:p>
            <w:pPr>
              <w:spacing w:after="0"/>
            </w:pPr>
            <w:r>
              <w:rPr>
                <w:rFonts w:ascii="Calibri" w:hAnsi="Calibri"/>
                <w:color w:val="1E293B"/>
                <w:sz w:val="19"/>
              </w:rPr>
              <w:t>Overview, account vault cards, shortcuts, insights, transactions, and spending chart.</w:t>
            </w:r>
          </w:p>
        </w:tc>
      </w:tr>
      <w:tr>
        <w:tc>
          <w:tcPr>
            <w:tcW w:type="dxa" w:w="1500"/>
          </w:tcPr>
          <w:p>
            <w:pPr>
              <w:spacing w:after="0"/>
              <w:jc w:val="center"/>
            </w:pPr>
            <w:r>
              <w:rPr>
                <w:rFonts w:ascii="Calibri" w:hAnsi="Calibri"/>
                <w:color w:val="1E293B"/>
                <w:sz w:val="19"/>
              </w:rPr>
              <w:t>/accounts</w:t>
            </w:r>
          </w:p>
        </w:tc>
        <w:tc>
          <w:tcPr>
            <w:tcW w:type="dxa" w:w="2200"/>
          </w:tcPr>
          <w:p>
            <w:pPr>
              <w:spacing w:after="0"/>
              <w:jc w:val="center"/>
            </w:pPr>
            <w:r>
              <w:rPr>
                <w:rFonts w:ascii="Calibri" w:hAnsi="Calibri"/>
                <w:color w:val="1E293B"/>
                <w:sz w:val="19"/>
              </w:rPr>
              <w:t>Accounts</w:t>
            </w:r>
          </w:p>
        </w:tc>
        <w:tc>
          <w:tcPr>
            <w:tcW w:type="dxa" w:w="5660"/>
          </w:tcPr>
          <w:p>
            <w:pPr>
              <w:spacing w:after="0"/>
            </w:pPr>
            <w:r>
              <w:rPr>
                <w:rFonts w:ascii="Calibri" w:hAnsi="Calibri"/>
                <w:color w:val="1E293B"/>
                <w:sz w:val="19"/>
              </w:rPr>
              <w:t>Create accounts and review balances.</w:t>
            </w:r>
          </w:p>
        </w:tc>
      </w:tr>
      <w:tr>
        <w:tc>
          <w:tcPr>
            <w:tcW w:type="dxa" w:w="1500"/>
          </w:tcPr>
          <w:p>
            <w:pPr>
              <w:spacing w:after="0"/>
              <w:jc w:val="center"/>
            </w:pPr>
            <w:r>
              <w:rPr>
                <w:rFonts w:ascii="Calibri" w:hAnsi="Calibri"/>
                <w:color w:val="1E293B"/>
                <w:sz w:val="19"/>
              </w:rPr>
              <w:t>/transfer</w:t>
            </w:r>
          </w:p>
        </w:tc>
        <w:tc>
          <w:tcPr>
            <w:tcW w:type="dxa" w:w="2200"/>
          </w:tcPr>
          <w:p>
            <w:pPr>
              <w:spacing w:after="0"/>
              <w:jc w:val="center"/>
            </w:pPr>
            <w:r>
              <w:rPr>
                <w:rFonts w:ascii="Calibri" w:hAnsi="Calibri"/>
                <w:color w:val="1E293B"/>
                <w:sz w:val="19"/>
              </w:rPr>
              <w:t>Transfer</w:t>
            </w:r>
          </w:p>
        </w:tc>
        <w:tc>
          <w:tcPr>
            <w:tcW w:type="dxa" w:w="5660"/>
          </w:tcPr>
          <w:p>
            <w:pPr>
              <w:spacing w:after="0"/>
            </w:pPr>
            <w:r>
              <w:rPr>
                <w:rFonts w:ascii="Calibri" w:hAnsi="Calibri"/>
                <w:color w:val="1E293B"/>
                <w:sz w:val="19"/>
              </w:rPr>
              <w:t>Deposit, withdraw, and transfer workflows.</w:t>
            </w:r>
          </w:p>
        </w:tc>
      </w:tr>
      <w:tr>
        <w:tc>
          <w:tcPr>
            <w:tcW w:type="dxa" w:w="1500"/>
          </w:tcPr>
          <w:p>
            <w:pPr>
              <w:spacing w:after="0"/>
              <w:jc w:val="center"/>
            </w:pPr>
            <w:r>
              <w:rPr>
                <w:rFonts w:ascii="Calibri" w:hAnsi="Calibri"/>
                <w:color w:val="1E293B"/>
                <w:sz w:val="19"/>
              </w:rPr>
              <w:t>/transactions</w:t>
            </w:r>
          </w:p>
        </w:tc>
        <w:tc>
          <w:tcPr>
            <w:tcW w:type="dxa" w:w="2200"/>
          </w:tcPr>
          <w:p>
            <w:pPr>
              <w:spacing w:after="0"/>
              <w:jc w:val="center"/>
            </w:pPr>
            <w:r>
              <w:rPr>
                <w:rFonts w:ascii="Calibri" w:hAnsi="Calibri"/>
                <w:color w:val="1E293B"/>
                <w:sz w:val="19"/>
              </w:rPr>
              <w:t>Transactions</w:t>
            </w:r>
          </w:p>
        </w:tc>
        <w:tc>
          <w:tcPr>
            <w:tcW w:type="dxa" w:w="5660"/>
          </w:tcPr>
          <w:p>
            <w:pPr>
              <w:spacing w:after="0"/>
            </w:pPr>
            <w:r>
              <w:rPr>
                <w:rFonts w:ascii="Calibri" w:hAnsi="Calibri"/>
                <w:color w:val="1E293B"/>
                <w:sz w:val="19"/>
              </w:rPr>
              <w:t>Account transaction history.</w:t>
            </w:r>
          </w:p>
        </w:tc>
      </w:tr>
      <w:tr>
        <w:tc>
          <w:tcPr>
            <w:tcW w:type="dxa" w:w="1500"/>
          </w:tcPr>
          <w:p>
            <w:pPr>
              <w:spacing w:after="0"/>
              <w:jc w:val="center"/>
            </w:pPr>
            <w:r>
              <w:rPr>
                <w:rFonts w:ascii="Calibri" w:hAnsi="Calibri"/>
                <w:color w:val="1E293B"/>
                <w:sz w:val="19"/>
              </w:rPr>
              <w:t>/loans</w:t>
            </w:r>
          </w:p>
        </w:tc>
        <w:tc>
          <w:tcPr>
            <w:tcW w:type="dxa" w:w="2200"/>
          </w:tcPr>
          <w:p>
            <w:pPr>
              <w:spacing w:after="0"/>
              <w:jc w:val="center"/>
            </w:pPr>
            <w:r>
              <w:rPr>
                <w:rFonts w:ascii="Calibri" w:hAnsi="Calibri"/>
                <w:color w:val="1E293B"/>
                <w:sz w:val="19"/>
              </w:rPr>
              <w:t>Loans</w:t>
            </w:r>
          </w:p>
        </w:tc>
        <w:tc>
          <w:tcPr>
            <w:tcW w:type="dxa" w:w="5660"/>
          </w:tcPr>
          <w:p>
            <w:pPr>
              <w:spacing w:after="0"/>
            </w:pPr>
            <w:r>
              <w:rPr>
                <w:rFonts w:ascii="Calibri" w:hAnsi="Calibri"/>
                <w:color w:val="1E293B"/>
                <w:sz w:val="19"/>
              </w:rPr>
              <w:t>Loan application and active loan review.</w:t>
            </w:r>
          </w:p>
        </w:tc>
      </w:tr>
      <w:tr>
        <w:tc>
          <w:tcPr>
            <w:tcW w:type="dxa" w:w="1500"/>
          </w:tcPr>
          <w:p>
            <w:pPr>
              <w:spacing w:after="0"/>
              <w:jc w:val="center"/>
            </w:pPr>
            <w:r>
              <w:rPr>
                <w:rFonts w:ascii="Calibri" w:hAnsi="Calibri"/>
                <w:color w:val="1E293B"/>
                <w:sz w:val="19"/>
              </w:rPr>
              <w:t>/fd</w:t>
            </w:r>
          </w:p>
        </w:tc>
        <w:tc>
          <w:tcPr>
            <w:tcW w:type="dxa" w:w="2200"/>
          </w:tcPr>
          <w:p>
            <w:pPr>
              <w:spacing w:after="0"/>
              <w:jc w:val="center"/>
            </w:pPr>
            <w:r>
              <w:rPr>
                <w:rFonts w:ascii="Calibri" w:hAnsi="Calibri"/>
                <w:color w:val="1E293B"/>
                <w:sz w:val="19"/>
              </w:rPr>
              <w:t>FixedDeposit</w:t>
            </w:r>
          </w:p>
        </w:tc>
        <w:tc>
          <w:tcPr>
            <w:tcW w:type="dxa" w:w="5660"/>
          </w:tcPr>
          <w:p>
            <w:pPr>
              <w:spacing w:after="0"/>
            </w:pPr>
            <w:r>
              <w:rPr>
                <w:rFonts w:ascii="Calibri" w:hAnsi="Calibri"/>
                <w:color w:val="1E293B"/>
                <w:sz w:val="19"/>
              </w:rPr>
              <w:t>Fixed deposit creation and portfolio view.</w:t>
            </w:r>
          </w:p>
        </w:tc>
      </w:tr>
      <w:tr>
        <w:tc>
          <w:tcPr>
            <w:tcW w:type="dxa" w:w="1500"/>
          </w:tcPr>
          <w:p>
            <w:pPr>
              <w:spacing w:after="0"/>
              <w:jc w:val="center"/>
            </w:pPr>
            <w:r>
              <w:rPr>
                <w:rFonts w:ascii="Calibri" w:hAnsi="Calibri"/>
                <w:color w:val="1E293B"/>
                <w:sz w:val="19"/>
              </w:rPr>
              <w:t>/credit-card</w:t>
            </w:r>
          </w:p>
        </w:tc>
        <w:tc>
          <w:tcPr>
            <w:tcW w:type="dxa" w:w="2200"/>
          </w:tcPr>
          <w:p>
            <w:pPr>
              <w:spacing w:after="0"/>
              <w:jc w:val="center"/>
            </w:pPr>
            <w:r>
              <w:rPr>
                <w:rFonts w:ascii="Calibri" w:hAnsi="Calibri"/>
                <w:color w:val="1E293B"/>
                <w:sz w:val="19"/>
              </w:rPr>
              <w:t>CreditCard</w:t>
            </w:r>
          </w:p>
        </w:tc>
        <w:tc>
          <w:tcPr>
            <w:tcW w:type="dxa" w:w="5660"/>
          </w:tcPr>
          <w:p>
            <w:pPr>
              <w:spacing w:after="0"/>
            </w:pPr>
            <w:r>
              <w:rPr>
                <w:rFonts w:ascii="Calibri" w:hAnsi="Calibri"/>
                <w:color w:val="1E293B"/>
                <w:sz w:val="19"/>
              </w:rPr>
              <w:t>Card application and existing card status.</w:t>
            </w:r>
          </w:p>
        </w:tc>
      </w:tr>
      <w:tr>
        <w:tc>
          <w:tcPr>
            <w:tcW w:type="dxa" w:w="1500"/>
          </w:tcPr>
          <w:p>
            <w:pPr>
              <w:spacing w:after="0"/>
              <w:jc w:val="center"/>
            </w:pPr>
            <w:r>
              <w:rPr>
                <w:rFonts w:ascii="Calibri" w:hAnsi="Calibri"/>
                <w:color w:val="1E293B"/>
                <w:sz w:val="19"/>
              </w:rPr>
              <w:t>/analytics</w:t>
            </w:r>
          </w:p>
        </w:tc>
        <w:tc>
          <w:tcPr>
            <w:tcW w:type="dxa" w:w="2200"/>
          </w:tcPr>
          <w:p>
            <w:pPr>
              <w:spacing w:after="0"/>
              <w:jc w:val="center"/>
            </w:pPr>
            <w:r>
              <w:rPr>
                <w:rFonts w:ascii="Calibri" w:hAnsi="Calibri"/>
                <w:color w:val="1E293B"/>
                <w:sz w:val="19"/>
              </w:rPr>
              <w:t>Analytics</w:t>
            </w:r>
          </w:p>
        </w:tc>
        <w:tc>
          <w:tcPr>
            <w:tcW w:type="dxa" w:w="5660"/>
          </w:tcPr>
          <w:p>
            <w:pPr>
              <w:spacing w:after="0"/>
            </w:pPr>
            <w:r>
              <w:rPr>
                <w:rFonts w:ascii="Calibri" w:hAnsi="Calibri"/>
                <w:color w:val="1E293B"/>
                <w:sz w:val="19"/>
              </w:rPr>
              <w:t>Expense analysis and financial insights.</w:t>
            </w:r>
          </w:p>
        </w:tc>
      </w:tr>
    </w:tbl>
    <w:p/>
    <w:p>
      <w:pPr>
        <w:pStyle w:val="Heading1"/>
      </w:pPr>
      <w:r>
        <w:t>16. Frontend Components</w:t>
      </w:r>
    </w:p>
    <w:p>
      <w:pPr>
        <w:pStyle w:val="ListBullet"/>
        <w:spacing w:after="80" w:line="300" w:lineRule="auto"/>
      </w:pPr>
      <w:r>
        <w:t>`MainLayout` wraps authenticated pages with the sidebar and header.</w:t>
      </w:r>
    </w:p>
    <w:p>
      <w:pPr>
        <w:pStyle w:val="ListBullet"/>
        <w:spacing w:after="80" w:line="300" w:lineRule="auto"/>
      </w:pPr>
      <w:r>
        <w:t>`Sidebar` provides navigation sections and sign-out.</w:t>
      </w:r>
    </w:p>
    <w:p>
      <w:pPr>
        <w:pStyle w:val="ListBullet"/>
        <w:spacing w:after="80" w:line="300" w:lineRule="auto"/>
      </w:pPr>
      <w:r>
        <w:t>`Header` shows page title, activity notifications, profile menu, and mobile navigation trigger.</w:t>
      </w:r>
    </w:p>
    <w:p>
      <w:pPr>
        <w:pStyle w:val="ListBullet"/>
        <w:spacing w:after="80" w:line="300" w:lineRule="auto"/>
      </w:pPr>
      <w:r>
        <w:t>`TransactionTable` renders recent account activity.</w:t>
      </w:r>
    </w:p>
    <w:p>
      <w:pPr>
        <w:pStyle w:val="ListBullet"/>
        <w:spacing w:after="80" w:line="300" w:lineRule="auto"/>
      </w:pPr>
      <w:r>
        <w:t>`ExpenseChart` renders analytics visuals.</w:t>
      </w:r>
    </w:p>
    <w:p>
      <w:pPr>
        <w:pStyle w:val="ListBullet"/>
        <w:spacing w:after="80" w:line="300" w:lineRule="auto"/>
      </w:pPr>
      <w:r>
        <w:t>`Card` provides a reusable visual container.</w:t>
      </w:r>
    </w:p>
    <w:p>
      <w:pPr>
        <w:pStyle w:val="ListBullet"/>
        <w:spacing w:after="80" w:line="300" w:lineRule="auto"/>
      </w:pPr>
      <w:r>
        <w:t>`api.js` is the single source for frontend-to-backend endpoint calls.</w:t>
      </w:r>
    </w:p>
    <w:p>
      <w:pPr>
        <w:pStyle w:val="Heading1"/>
      </w:pPr>
      <w:r>
        <w:t>17. Final UI Redesign</w:t>
      </w:r>
    </w:p>
    <w:p>
      <w:r>
        <w:t>The final redesign applies the design-system direction called 'The Vault at Depth.' It uses deep navy backgrounds, disciplined teal bioluminescent accents, gold premium accents, Fraunces-style display typography, Geist/Inter-style UI typography, tokenized spacing, polished cards, skeleton loading states, accessible focus rings, and reduced-motion support. The design goal is serious premium banking, not playful ocean decoration.</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after="0"/>
              <w:jc w:val="center"/>
            </w:pPr>
            <w:r>
              <w:rPr>
                <w:rFonts w:ascii="Calibri" w:hAnsi="Calibri"/>
                <w:b/>
                <w:color w:val="0A1220"/>
                <w:sz w:val="19"/>
              </w:rPr>
              <w:t>Design token idea</w:t>
            </w:r>
          </w:p>
        </w:tc>
        <w:tc>
          <w:tcPr>
            <w:tcW w:type="dxa" w:w="6860"/>
            <w:vAlign w:val="center"/>
            <w:tcMar>
              <w:top w:w="80" w:type="dxa"/>
              <w:start w:w="120" w:type="dxa"/>
              <w:bottom w:w="80" w:type="dxa"/>
              <w:end w:w="120" w:type="dxa"/>
            </w:tcMar>
            <w:shd w:fill="F2F4F7"/>
          </w:tcPr>
          <w:p>
            <w:pPr>
              <w:spacing w:after="0"/>
              <w:jc w:val="center"/>
            </w:pPr>
            <w:r>
              <w:rPr>
                <w:rFonts w:ascii="Calibri" w:hAnsi="Calibri"/>
                <w:b/>
                <w:color w:val="0A1220"/>
                <w:sz w:val="19"/>
              </w:rPr>
              <w:t>Implementation meaning</w:t>
            </w:r>
          </w:p>
        </w:tc>
      </w:tr>
      <w:tr>
        <w:tc>
          <w:tcPr>
            <w:tcW w:type="dxa" w:w="2500"/>
          </w:tcPr>
          <w:p>
            <w:pPr>
              <w:spacing w:after="0"/>
              <w:jc w:val="center"/>
            </w:pPr>
            <w:r>
              <w:rPr>
                <w:rFonts w:ascii="Calibri" w:hAnsi="Calibri"/>
                <w:color w:val="1E293B"/>
                <w:sz w:val="19"/>
              </w:rPr>
              <w:t>Abyss navy</w:t>
            </w:r>
          </w:p>
        </w:tc>
        <w:tc>
          <w:tcPr>
            <w:tcW w:type="dxa" w:w="6860"/>
          </w:tcPr>
          <w:p>
            <w:pPr>
              <w:spacing w:after="0"/>
            </w:pPr>
            <w:r>
              <w:rPr>
                <w:rFonts w:ascii="Calibri" w:hAnsi="Calibri"/>
                <w:color w:val="1E293B"/>
                <w:sz w:val="19"/>
              </w:rPr>
              <w:t>Primary app shell, sidebar, vault cards, landing hero.</w:t>
            </w:r>
          </w:p>
        </w:tc>
      </w:tr>
      <w:tr>
        <w:tc>
          <w:tcPr>
            <w:tcW w:type="dxa" w:w="2500"/>
          </w:tcPr>
          <w:p>
            <w:pPr>
              <w:spacing w:after="0"/>
            </w:pPr>
            <w:r>
              <w:rPr>
                <w:rFonts w:ascii="Calibri" w:hAnsi="Calibri"/>
                <w:color w:val="1E293B"/>
                <w:sz w:val="19"/>
              </w:rPr>
              <w:t>Bioluminescent teal</w:t>
            </w:r>
          </w:p>
        </w:tc>
        <w:tc>
          <w:tcPr>
            <w:tcW w:type="dxa" w:w="6860"/>
          </w:tcPr>
          <w:p>
            <w:pPr>
              <w:spacing w:after="0"/>
            </w:pPr>
            <w:r>
              <w:rPr>
                <w:rFonts w:ascii="Calibri" w:hAnsi="Calibri"/>
                <w:color w:val="1E293B"/>
                <w:sz w:val="19"/>
              </w:rPr>
              <w:t>Primary CTA, active navigation, focus rings, live/positive accents.</w:t>
            </w:r>
          </w:p>
        </w:tc>
      </w:tr>
      <w:tr>
        <w:tc>
          <w:tcPr>
            <w:tcW w:type="dxa" w:w="2500"/>
          </w:tcPr>
          <w:p>
            <w:pPr>
              <w:spacing w:after="0"/>
              <w:jc w:val="center"/>
            </w:pPr>
            <w:r>
              <w:rPr>
                <w:rFonts w:ascii="Calibri" w:hAnsi="Calibri"/>
                <w:color w:val="1E293B"/>
                <w:sz w:val="19"/>
              </w:rPr>
              <w:t>Gold</w:t>
            </w:r>
          </w:p>
        </w:tc>
        <w:tc>
          <w:tcPr>
            <w:tcW w:type="dxa" w:w="6860"/>
          </w:tcPr>
          <w:p>
            <w:pPr>
              <w:spacing w:after="0"/>
            </w:pPr>
            <w:r>
              <w:rPr>
                <w:rFonts w:ascii="Calibri" w:hAnsi="Calibri"/>
                <w:color w:val="1E293B"/>
                <w:sz w:val="19"/>
              </w:rPr>
              <w:t>Premium product cues such as credit card and fixed deposit surfaces.</w:t>
            </w:r>
          </w:p>
        </w:tc>
      </w:tr>
      <w:tr>
        <w:tc>
          <w:tcPr>
            <w:tcW w:type="dxa" w:w="2500"/>
          </w:tcPr>
          <w:p>
            <w:pPr>
              <w:spacing w:after="0"/>
              <w:jc w:val="center"/>
            </w:pPr>
            <w:r>
              <w:rPr>
                <w:rFonts w:ascii="Calibri" w:hAnsi="Calibri"/>
                <w:color w:val="1E293B"/>
                <w:sz w:val="19"/>
              </w:rPr>
              <w:t>Vault cards</w:t>
            </w:r>
          </w:p>
        </w:tc>
        <w:tc>
          <w:tcPr>
            <w:tcW w:type="dxa" w:w="6860"/>
          </w:tcPr>
          <w:p>
            <w:pPr>
              <w:spacing w:after="0"/>
            </w:pPr>
            <w:r>
              <w:rPr>
                <w:rFonts w:ascii="Calibri" w:hAnsi="Calibri"/>
                <w:color w:val="1E293B"/>
                <w:sz w:val="19"/>
              </w:rPr>
              <w:t>High-importance financial objects with deeper elevation and subtle motion.</w:t>
            </w:r>
          </w:p>
        </w:tc>
      </w:tr>
      <w:tr>
        <w:tc>
          <w:tcPr>
            <w:tcW w:type="dxa" w:w="2500"/>
          </w:tcPr>
          <w:p>
            <w:pPr>
              <w:spacing w:after="0"/>
            </w:pPr>
            <w:r>
              <w:rPr>
                <w:rFonts w:ascii="Calibri" w:hAnsi="Calibri"/>
                <w:color w:val="1E293B"/>
                <w:sz w:val="19"/>
              </w:rPr>
              <w:t>Light data surfaces</w:t>
            </w:r>
          </w:p>
        </w:tc>
        <w:tc>
          <w:tcPr>
            <w:tcW w:type="dxa" w:w="6860"/>
          </w:tcPr>
          <w:p>
            <w:pPr>
              <w:spacing w:after="0"/>
            </w:pPr>
            <w:r>
              <w:rPr>
                <w:rFonts w:ascii="Calibri" w:hAnsi="Calibri"/>
                <w:color w:val="1E293B"/>
                <w:sz w:val="19"/>
              </w:rPr>
              <w:t>Forms and tables remain readable on white/light surfaces.</w:t>
            </w:r>
          </w:p>
        </w:tc>
      </w:tr>
      <w:tr>
        <w:tc>
          <w:tcPr>
            <w:tcW w:type="dxa" w:w="2500"/>
          </w:tcPr>
          <w:p>
            <w:pPr>
              <w:spacing w:after="0"/>
              <w:jc w:val="center"/>
            </w:pPr>
            <w:r>
              <w:rPr>
                <w:rFonts w:ascii="Calibri" w:hAnsi="Calibri"/>
                <w:color w:val="1E293B"/>
                <w:sz w:val="19"/>
              </w:rPr>
              <w:t>Reduced motion</w:t>
            </w:r>
          </w:p>
        </w:tc>
        <w:tc>
          <w:tcPr>
            <w:tcW w:type="dxa" w:w="6860"/>
          </w:tcPr>
          <w:p>
            <w:pPr>
              <w:spacing w:after="0"/>
            </w:pPr>
            <w:r>
              <w:rPr>
                <w:rFonts w:ascii="Calibri" w:hAnsi="Calibri"/>
                <w:color w:val="1E293B"/>
                <w:sz w:val="19"/>
              </w:rPr>
              <w:t>Animations are disabled or shortened for users who request less motion.</w:t>
            </w:r>
          </w:p>
        </w:tc>
      </w:tr>
    </w:tbl>
    <w:p/>
    <w:p>
      <w:pPr>
        <w:pStyle w:val="Heading1"/>
      </w:pPr>
      <w:r>
        <w:t>18. API Client Behavior</w:t>
      </w:r>
    </w:p>
    <w:p>
      <w:r>
        <w:t>`frontend/src/services/api.js` defines the API base URL, wraps authenticated fetch calls, attaches bearer tokens, parses JSON, throws readable errors, and exposes domain-specific helpers for auth, accounts, transactions, loans, fixed deposits, credit cards, beneficiaries, analytics, and OTP. This keeps endpoint strings away from page components and makes frontend calls easier to maintain.</w:t>
      </w:r>
    </w:p>
    <w:p>
      <w:pPr>
        <w:pStyle w:val="Heading1"/>
      </w:pPr>
      <w:r>
        <w:t>19. Security Details</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E8EEF5"/>
          </w:tcPr>
          <w:p>
            <w:pPr>
              <w:spacing w:after="0"/>
              <w:jc w:val="center"/>
            </w:pPr>
            <w:r>
              <w:rPr>
                <w:rFonts w:ascii="Calibri" w:hAnsi="Calibri"/>
                <w:b/>
                <w:color w:val="0A1220"/>
                <w:sz w:val="19"/>
              </w:rPr>
              <w:t>Risk</w:t>
            </w:r>
          </w:p>
        </w:tc>
        <w:tc>
          <w:tcPr>
            <w:tcW w:type="dxa" w:w="6760"/>
            <w:vAlign w:val="center"/>
            <w:tcMar>
              <w:top w:w="80" w:type="dxa"/>
              <w:start w:w="120" w:type="dxa"/>
              <w:bottom w:w="80" w:type="dxa"/>
              <w:end w:w="120" w:type="dxa"/>
            </w:tcMar>
            <w:shd w:fill="E8EEF5"/>
          </w:tcPr>
          <w:p>
            <w:pPr>
              <w:spacing w:after="0"/>
              <w:jc w:val="center"/>
            </w:pPr>
            <w:r>
              <w:rPr>
                <w:rFonts w:ascii="Calibri" w:hAnsi="Calibri"/>
                <w:b/>
                <w:color w:val="0A1220"/>
                <w:sz w:val="19"/>
              </w:rPr>
              <w:t>Project response</w:t>
            </w:r>
          </w:p>
        </w:tc>
      </w:tr>
      <w:tr>
        <w:tc>
          <w:tcPr>
            <w:tcW w:type="dxa" w:w="2600"/>
          </w:tcPr>
          <w:p>
            <w:pPr>
              <w:spacing w:after="0"/>
            </w:pPr>
            <w:r>
              <w:rPr>
                <w:rFonts w:ascii="Calibri" w:hAnsi="Calibri"/>
                <w:color w:val="1E293B"/>
                <w:sz w:val="19"/>
              </w:rPr>
              <w:t>Plaintext MPIN exposure</w:t>
            </w:r>
          </w:p>
        </w:tc>
        <w:tc>
          <w:tcPr>
            <w:tcW w:type="dxa" w:w="6760"/>
          </w:tcPr>
          <w:p>
            <w:pPr>
              <w:spacing w:after="0"/>
            </w:pPr>
            <w:r>
              <w:rPr>
                <w:rFonts w:ascii="Calibri" w:hAnsi="Calibri"/>
                <w:color w:val="1E293B"/>
                <w:sz w:val="19"/>
              </w:rPr>
              <w:t>Store bcrypt hash instead of original MPIN.</w:t>
            </w:r>
          </w:p>
        </w:tc>
      </w:tr>
      <w:tr>
        <w:tc>
          <w:tcPr>
            <w:tcW w:type="dxa" w:w="2600"/>
          </w:tcPr>
          <w:p>
            <w:pPr>
              <w:spacing w:after="0"/>
              <w:jc w:val="center"/>
            </w:pPr>
            <w:r>
              <w:rPr>
                <w:rFonts w:ascii="Calibri" w:hAnsi="Calibri"/>
                <w:color w:val="1E293B"/>
                <w:sz w:val="19"/>
              </w:rPr>
              <w:t>Token forgery</w:t>
            </w:r>
          </w:p>
        </w:tc>
        <w:tc>
          <w:tcPr>
            <w:tcW w:type="dxa" w:w="6760"/>
          </w:tcPr>
          <w:p>
            <w:pPr>
              <w:spacing w:after="0"/>
            </w:pPr>
            <w:r>
              <w:rPr>
                <w:rFonts w:ascii="Calibri" w:hAnsi="Calibri"/>
                <w:color w:val="1E293B"/>
                <w:sz w:val="19"/>
              </w:rPr>
              <w:t>Sign JWTs with SECRET_KEY and validate expiry.</w:t>
            </w:r>
          </w:p>
        </w:tc>
      </w:tr>
      <w:tr>
        <w:tc>
          <w:tcPr>
            <w:tcW w:type="dxa" w:w="2600"/>
          </w:tcPr>
          <w:p>
            <w:pPr>
              <w:spacing w:after="0"/>
            </w:pPr>
            <w:r>
              <w:rPr>
                <w:rFonts w:ascii="Calibri" w:hAnsi="Calibri"/>
                <w:color w:val="1E293B"/>
                <w:sz w:val="19"/>
              </w:rPr>
              <w:t>Sensitive identifier exposure</w:t>
            </w:r>
          </w:p>
        </w:tc>
        <w:tc>
          <w:tcPr>
            <w:tcW w:type="dxa" w:w="6760"/>
          </w:tcPr>
          <w:p>
            <w:pPr>
              <w:spacing w:after="0"/>
            </w:pPr>
            <w:r>
              <w:rPr>
                <w:rFonts w:ascii="Calibri" w:hAnsi="Calibri"/>
                <w:color w:val="1E293B"/>
                <w:sz w:val="19"/>
              </w:rPr>
              <w:t>Encrypt account/card/beneficiary numbers at rest.</w:t>
            </w:r>
          </w:p>
        </w:tc>
      </w:tr>
      <w:tr>
        <w:tc>
          <w:tcPr>
            <w:tcW w:type="dxa" w:w="2600"/>
          </w:tcPr>
          <w:p>
            <w:pPr>
              <w:spacing w:after="0"/>
            </w:pPr>
            <w:r>
              <w:rPr>
                <w:rFonts w:ascii="Calibri" w:hAnsi="Calibri"/>
                <w:color w:val="1E293B"/>
                <w:sz w:val="19"/>
              </w:rPr>
              <w:t>Lookup on encrypted data</w:t>
            </w:r>
          </w:p>
        </w:tc>
        <w:tc>
          <w:tcPr>
            <w:tcW w:type="dxa" w:w="6760"/>
          </w:tcPr>
          <w:p>
            <w:pPr>
              <w:spacing w:after="0"/>
            </w:pPr>
            <w:r>
              <w:rPr>
                <w:rFonts w:ascii="Calibri" w:hAnsi="Calibri"/>
                <w:color w:val="1E293B"/>
                <w:sz w:val="19"/>
              </w:rPr>
              <w:t>Use lookup hashes for exact-match queries.</w:t>
            </w:r>
          </w:p>
        </w:tc>
      </w:tr>
      <w:tr>
        <w:tc>
          <w:tcPr>
            <w:tcW w:type="dxa" w:w="2600"/>
          </w:tcPr>
          <w:p>
            <w:pPr>
              <w:spacing w:after="0"/>
              <w:jc w:val="center"/>
            </w:pPr>
            <w:r>
              <w:rPr>
                <w:rFonts w:ascii="Calibri" w:hAnsi="Calibri"/>
                <w:color w:val="1E293B"/>
                <w:sz w:val="19"/>
              </w:rPr>
              <w:t>OTP replay</w:t>
            </w:r>
          </w:p>
        </w:tc>
        <w:tc>
          <w:tcPr>
            <w:tcW w:type="dxa" w:w="6760"/>
          </w:tcPr>
          <w:p>
            <w:pPr>
              <w:spacing w:after="0"/>
            </w:pPr>
            <w:r>
              <w:rPr>
                <w:rFonts w:ascii="Calibri" w:hAnsi="Calibri"/>
                <w:color w:val="1E293B"/>
                <w:sz w:val="19"/>
              </w:rPr>
              <w:t>Expire codes and remove them on successful verification.</w:t>
            </w:r>
          </w:p>
        </w:tc>
      </w:tr>
      <w:tr>
        <w:tc>
          <w:tcPr>
            <w:tcW w:type="dxa" w:w="2600"/>
          </w:tcPr>
          <w:p>
            <w:pPr>
              <w:spacing w:after="0"/>
            </w:pPr>
            <w:r>
              <w:rPr>
                <w:rFonts w:ascii="Calibri" w:hAnsi="Calibri"/>
                <w:color w:val="1E293B"/>
                <w:sz w:val="19"/>
              </w:rPr>
              <w:t>Cross-user data access</w:t>
            </w:r>
          </w:p>
        </w:tc>
        <w:tc>
          <w:tcPr>
            <w:tcW w:type="dxa" w:w="6760"/>
          </w:tcPr>
          <w:p>
            <w:pPr>
              <w:spacing w:after="0"/>
            </w:pPr>
            <w:r>
              <w:rPr>
                <w:rFonts w:ascii="Calibri" w:hAnsi="Calibri"/>
                <w:color w:val="1E293B"/>
                <w:sz w:val="19"/>
              </w:rPr>
              <w:t>Apply ownership checks before resource actions.</w:t>
            </w:r>
          </w:p>
        </w:tc>
      </w:tr>
      <w:tr>
        <w:tc>
          <w:tcPr>
            <w:tcW w:type="dxa" w:w="2600"/>
          </w:tcPr>
          <w:p>
            <w:pPr>
              <w:spacing w:after="0"/>
            </w:pPr>
            <w:r>
              <w:rPr>
                <w:rFonts w:ascii="Calibri" w:hAnsi="Calibri"/>
                <w:color w:val="1E293B"/>
                <w:sz w:val="19"/>
              </w:rPr>
              <w:t>Browser CORS confusion</w:t>
            </w:r>
          </w:p>
        </w:tc>
        <w:tc>
          <w:tcPr>
            <w:tcW w:type="dxa" w:w="6760"/>
          </w:tcPr>
          <w:p>
            <w:pPr>
              <w:spacing w:after="0"/>
            </w:pPr>
            <w:r>
              <w:rPr>
                <w:rFonts w:ascii="Calibri" w:hAnsi="Calibri"/>
                <w:color w:val="1E293B"/>
                <w:sz w:val="19"/>
              </w:rPr>
              <w:t>Return controlled 500 responses with CORS headers.</w:t>
            </w:r>
          </w:p>
        </w:tc>
      </w:tr>
    </w:tbl>
    <w:p/>
    <w:p>
      <w:pPr>
        <w:pStyle w:val="Heading1"/>
      </w:pPr>
      <w:r>
        <w:t>20. Deployment and Operations</w:t>
      </w:r>
    </w:p>
    <w:p>
      <w:pPr>
        <w:pStyle w:val="ListBullet"/>
        <w:spacing w:after="80" w:line="300" w:lineRule="auto"/>
      </w:pPr>
      <w:r>
        <w:t>The backend can run locally with a Python virtual environment and Uvicorn.</w:t>
      </w:r>
    </w:p>
    <w:p>
      <w:pPr>
        <w:pStyle w:val="ListBullet"/>
        <w:spacing w:after="80" w:line="300" w:lineRule="auto"/>
      </w:pPr>
      <w:r>
        <w:t>Docker Compose supports a multi-container backend stack with PostgreSQL, Redis, Celery, and Nginx.</w:t>
      </w:r>
    </w:p>
    <w:p>
      <w:pPr>
        <w:pStyle w:val="ListBullet"/>
        <w:spacing w:after="80" w:line="300" w:lineRule="auto"/>
      </w:pPr>
      <w:r>
        <w:t>The frontend uses Vite and can run locally with `npm run dev` or build with `npm run build`.</w:t>
      </w:r>
    </w:p>
    <w:p>
      <w:pPr>
        <w:pStyle w:val="ListBullet"/>
        <w:spacing w:after="80" w:line="300" w:lineRule="auto"/>
      </w:pPr>
      <w:r>
        <w:t>CORS origins must include the deployed frontend URL.</w:t>
      </w:r>
    </w:p>
    <w:p>
      <w:pPr>
        <w:pStyle w:val="ListBullet"/>
        <w:spacing w:after="80" w:line="300" w:lineRule="auto"/>
      </w:pPr>
      <w:r>
        <w:t>Production deployments must replace default secrets and encryption keys.</w:t>
      </w:r>
    </w:p>
    <w:p>
      <w:pPr>
        <w:pStyle w:val="ListBullet"/>
        <w:spacing w:after="80" w:line="300" w:lineRule="auto"/>
      </w:pPr>
      <w:r>
        <w:t>Database schema should eventually move to Alembic migrations rather than startup-time table creation.</w:t>
      </w:r>
    </w:p>
    <w:p>
      <w:pPr>
        <w:pStyle w:val="Heading1"/>
      </w:pPr>
      <w:r>
        <w:t>21. Testing and Verification</w:t>
      </w:r>
    </w:p>
    <w:p>
      <w:r>
        <w:t>The project includes a `backend/tests` package placeholder and frontend lint/build scripts. During the final UI pass, the frontend production build passed and lint passed with only one existing hook dependency warning in the transactions page. Future project hardening should add endpoint tests, authorization tests, transaction rollback tests, UI smoke tests, and regression tests for formulas.</w:t>
      </w:r>
    </w:p>
    <w:p>
      <w:pPr>
        <w:pStyle w:val="Heading1"/>
      </w:pPr>
      <w:r>
        <w:t>22. Known Limitations</w:t>
      </w:r>
    </w:p>
    <w:p>
      <w:pPr>
        <w:pStyle w:val="ListBullet"/>
        <w:spacing w:after="80" w:line="300" w:lineRule="auto"/>
      </w:pPr>
      <w:r>
        <w:t>Money values should eventually use Decimal rather than floating point.</w:t>
      </w:r>
    </w:p>
    <w:p>
      <w:pPr>
        <w:pStyle w:val="ListBullet"/>
        <w:spacing w:after="80" w:line="300" w:lineRule="auto"/>
      </w:pPr>
      <w:r>
        <w:t>Database migrations are not yet formalized through Alembic in the current code layout.</w:t>
      </w:r>
    </w:p>
    <w:p>
      <w:pPr>
        <w:pStyle w:val="ListBullet"/>
        <w:spacing w:after="80" w:line="300" w:lineRule="auto"/>
      </w:pPr>
      <w:r>
        <w:t>The project should add stronger test coverage before production use.</w:t>
      </w:r>
    </w:p>
    <w:p>
      <w:pPr>
        <w:pStyle w:val="ListBullet"/>
        <w:spacing w:after="80" w:line="300" w:lineRule="auto"/>
      </w:pPr>
      <w:r>
        <w:t>Secrets in sample/default configuration must not be used as real production secrets.</w:t>
      </w:r>
    </w:p>
    <w:p>
      <w:pPr>
        <w:pStyle w:val="ListBullet"/>
        <w:spacing w:after="80" w:line="300" w:lineRule="auto"/>
      </w:pPr>
      <w:r>
        <w:t>A complete banking platform would require compliance, audit, reconciliation, fraud detection, and operational monitoring beyond this showcase.</w:t>
      </w:r>
    </w:p>
    <w:p>
      <w:pPr>
        <w:pStyle w:val="Heading1"/>
      </w:pPr>
      <w:r>
        <w:t>23. How to Explain the Project in an Interview</w:t>
      </w:r>
    </w:p>
    <w:p>
      <w:pPr>
        <w:pStyle w:val="ListNumber"/>
        <w:spacing w:after="80" w:line="300" w:lineRule="auto"/>
      </w:pPr>
      <w:r>
        <w:t>Start by saying it is a full-stack digital banking showcase built with FastAPI and React.</w:t>
      </w:r>
    </w:p>
    <w:p>
      <w:pPr>
        <w:pStyle w:val="ListNumber"/>
        <w:spacing w:after="80" w:line="300" w:lineRule="auto"/>
      </w:pPr>
      <w:r>
        <w:t>Explain the backend architecture: routers receive requests, schemas validate data, services perform business logic, models persist state.</w:t>
      </w:r>
    </w:p>
    <w:p>
      <w:pPr>
        <w:pStyle w:val="ListNumber"/>
        <w:spacing w:after="80" w:line="300" w:lineRule="auto"/>
      </w:pPr>
      <w:r>
        <w:t>Explain the security model: MPIN hashing, JWT sessions, OTP verification, encrypted sensitive fields, and ownership checks.</w:t>
      </w:r>
    </w:p>
    <w:p>
      <w:pPr>
        <w:pStyle w:val="ListNumber"/>
        <w:spacing w:after="80" w:line="300" w:lineRule="auto"/>
      </w:pPr>
      <w:r>
        <w:t>Explain the money workflows: deposit, withdraw, transfer, statement, passbook, loans, fixed deposits, and credit cards.</w:t>
      </w:r>
    </w:p>
    <w:p>
      <w:pPr>
        <w:pStyle w:val="ListNumber"/>
        <w:spacing w:after="80" w:line="300" w:lineRule="auto"/>
      </w:pPr>
      <w:r>
        <w:t>Explain the frontend: routes, API client, authenticated layout, dashboard, charts, and redesigned premium UI.</w:t>
      </w:r>
    </w:p>
    <w:p>
      <w:pPr>
        <w:pStyle w:val="ListNumber"/>
        <w:spacing w:after="80" w:line="300" w:lineRule="auto"/>
      </w:pPr>
      <w:r>
        <w:t>End with future improvements: Decimal money, tests, migrations, audit logs, refresh tokens, and production hardening.</w:t>
      </w:r>
    </w:p>
    <w:p>
      <w:pPr>
        <w:pStyle w:val="Heading1"/>
      </w:pPr>
      <w:r>
        <w:t>24. Final Summary</w:t>
      </w:r>
    </w:p>
    <w:p>
      <w:r>
        <w:t>Underseas Bank demonstrates a complete product story: a secure backend, a usable banking frontend, a modern design system, and documentation that explains the system from tiny code-level utilities to the full architecture. The most important engineering idea is separation of responsibility: routes expose the API, schemas validate data, services own business rules, models represent persistence, utilities handle security and math, and the frontend converts those capabilities into user workflows.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Underseas Bank | Final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UNDERSEAS BANK | Final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