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71B2" w14:textId="77777777" w:rsidR="008C0F73" w:rsidRDefault="008C0F73" w:rsidP="008C0F73">
      <w:pPr>
        <w:pStyle w:val="NormalWeb"/>
      </w:pPr>
      <w:r>
        <w:t xml:space="preserve">This investment report and pitch represented the core of my grade for </w:t>
      </w:r>
      <w:r>
        <w:rPr>
          <w:rStyle w:val="Strong"/>
        </w:rPr>
        <w:t>FIN 365: Portfolio Management</w:t>
      </w:r>
      <w:r>
        <w:t xml:space="preserve"> at DePauw University, and this article walks through the rigorous process of creating that report, building the presentation, and ultimately pitching the stock. This project was a defining moment in my academic career; it pushed me to move beyond simple stock summaries and into the world of deep-tissue investment analysis. The experience of dismantling a complex business and reconstructing it into a defensible valuation has left me deeply intrigued by the world of equity research—there is a unique thrill in finding a narrative hidden within the numbers.</w:t>
      </w:r>
    </w:p>
    <w:p w14:paraId="455B821F" w14:textId="77777777" w:rsidR="008C0F73" w:rsidRDefault="008C0F73" w:rsidP="008C0F73">
      <w:pPr>
        <w:pStyle w:val="Heading3"/>
      </w:pPr>
      <w:r>
        <w:t>Starting from Zero: Finding the "Right" Fit</w:t>
      </w:r>
    </w:p>
    <w:p w14:paraId="629BAB89" w14:textId="13DD2B8C" w:rsidR="008C0F73" w:rsidRDefault="008C0F73" w:rsidP="008C0F73">
      <w:pPr>
        <w:pStyle w:val="NormalWeb"/>
      </w:pPr>
      <w:r>
        <w:t xml:space="preserve">The process </w:t>
      </w:r>
      <w:r>
        <w:t>started with a simple fit search</w:t>
      </w:r>
      <w:r>
        <w:t xml:space="preserve">. My first objective was to identify a company that could realistically be pitched to the </w:t>
      </w:r>
      <w:r>
        <w:rPr>
          <w:rStyle w:val="Strong"/>
        </w:rPr>
        <w:t>DePauw Student Endowment Fund Portfolio</w:t>
      </w:r>
      <w:r>
        <w:t>. This meant looking for a business that wasn't just "interesting," but one that was structurally sound, strategically relevant to a long-term fund, and trading at demonstrably undervalued levels.</w:t>
      </w:r>
    </w:p>
    <w:p w14:paraId="0910A387" w14:textId="77777777" w:rsidR="008C0F73" w:rsidRDefault="008C0F73" w:rsidP="008C0F73">
      <w:pPr>
        <w:pStyle w:val="NormalWeb"/>
      </w:pPr>
      <w:r>
        <w:t xml:space="preserve">After screening various sectors, GE </w:t>
      </w:r>
      <w:proofErr w:type="spellStart"/>
      <w:r>
        <w:t>Vernova</w:t>
      </w:r>
      <w:proofErr w:type="spellEnd"/>
      <w:r>
        <w:t xml:space="preserve"> (GEV) stood out as a compelling </w:t>
      </w:r>
      <w:proofErr w:type="gramStart"/>
      <w:r>
        <w:t>pure-play</w:t>
      </w:r>
      <w:proofErr w:type="gramEnd"/>
      <w:r>
        <w:t xml:space="preserve"> on the global energy transition. To validate this initial hunch, I conducted a preliminary company analysis and prepared a "rough draft" valuation model to see if the upside was mathematically defensible. Once the initial numbers showed promise, the real work began. I dove into an in-depth analysis covering GEV’s historical geographic and product segment growth since its spin-off, performed a comprehensive SWOT analysis, and developed a thorough industry and financial overview. From there, it was a cycle of constant iteration: I was perpetually stress-testing, tweaking, and updating my model to ensure the assumptions were perfectly tailored to GEV’s unique profile as a recent spin-off in a capital-intensive industry.</w:t>
      </w:r>
    </w:p>
    <w:p w14:paraId="5E5E3614" w14:textId="77777777" w:rsidR="008C0F73" w:rsidRDefault="008C0F73" w:rsidP="008C0F73">
      <w:pPr>
        <w:pStyle w:val="Heading3"/>
      </w:pPr>
      <w:r>
        <w:t xml:space="preserve">Understanding the Business: What GE </w:t>
      </w:r>
      <w:proofErr w:type="spellStart"/>
      <w:r>
        <w:t>Vernova</w:t>
      </w:r>
      <w:proofErr w:type="spellEnd"/>
      <w:r>
        <w:t xml:space="preserve"> Actually Does</w:t>
      </w:r>
    </w:p>
    <w:p w14:paraId="5F4D7468" w14:textId="7F19C4E8" w:rsidR="008C0F73" w:rsidRDefault="008C0F73" w:rsidP="008C0F73">
      <w:pPr>
        <w:pStyle w:val="NormalWeb"/>
      </w:pPr>
      <w:r>
        <w:t xml:space="preserve">GE </w:t>
      </w:r>
      <w:proofErr w:type="spellStart"/>
      <w:r>
        <w:t>Vernova</w:t>
      </w:r>
      <w:proofErr w:type="spellEnd"/>
      <w:r>
        <w:t xml:space="preserve"> was created through GE’s 2024 spin-off of its energy businesses, forming a global leader in energy infrastructure. In 2024, the company generated approximately </w:t>
      </w:r>
      <w:r>
        <w:rPr>
          <w:rStyle w:val="Strong"/>
        </w:rPr>
        <w:t>$34.9 billion in revenue</w:t>
      </w:r>
      <w:r>
        <w:t xml:space="preserve">, </w:t>
      </w:r>
      <w:r w:rsidR="00472DC8">
        <w:t>leading to</w:t>
      </w:r>
      <w:r>
        <w:t xml:space="preserve"> a massive </w:t>
      </w:r>
      <w:r>
        <w:rPr>
          <w:rStyle w:val="Strong"/>
        </w:rPr>
        <w:t>~$135 billion backlog</w:t>
      </w:r>
      <w:r>
        <w:t xml:space="preserve"> as of Q3 2025. This provides the company with unusually strong multi-year visibility.</w:t>
      </w:r>
    </w:p>
    <w:p w14:paraId="39779D23" w14:textId="77777777" w:rsidR="008C0F73" w:rsidRDefault="008C0F73" w:rsidP="008C0F73">
      <w:pPr>
        <w:pStyle w:val="NormalWeb"/>
      </w:pPr>
      <w:r>
        <w:t>The business operates across three core segments:</w:t>
      </w:r>
    </w:p>
    <w:p w14:paraId="3CD41C02" w14:textId="77777777" w:rsidR="008C0F73" w:rsidRDefault="008C0F73" w:rsidP="008C0F73">
      <w:pPr>
        <w:pStyle w:val="NormalWeb"/>
        <w:numPr>
          <w:ilvl w:val="0"/>
          <w:numId w:val="19"/>
        </w:numPr>
      </w:pPr>
      <w:r>
        <w:rPr>
          <w:rStyle w:val="Strong"/>
        </w:rPr>
        <w:t>Power (~52% of revenue):</w:t>
      </w:r>
      <w:r>
        <w:t xml:space="preserve"> Gas turbines, steam, and nuclear equipment, anchored by high-margin service contracts.</w:t>
      </w:r>
    </w:p>
    <w:p w14:paraId="30435FD4" w14:textId="77777777" w:rsidR="008C0F73" w:rsidRDefault="008C0F73" w:rsidP="008C0F73">
      <w:pPr>
        <w:pStyle w:val="NormalWeb"/>
        <w:numPr>
          <w:ilvl w:val="0"/>
          <w:numId w:val="19"/>
        </w:numPr>
      </w:pPr>
      <w:r>
        <w:rPr>
          <w:rStyle w:val="Strong"/>
        </w:rPr>
        <w:t>Wind (~28%):</w:t>
      </w:r>
      <w:r>
        <w:t xml:space="preserve"> Onshore and offshore wind turbines, currently in a strategic margin recovery phase.</w:t>
      </w:r>
    </w:p>
    <w:p w14:paraId="23C01F76" w14:textId="77777777" w:rsidR="008C0F73" w:rsidRDefault="008C0F73" w:rsidP="008C0F73">
      <w:pPr>
        <w:pStyle w:val="NormalWeb"/>
        <w:numPr>
          <w:ilvl w:val="0"/>
          <w:numId w:val="19"/>
        </w:numPr>
      </w:pPr>
      <w:r>
        <w:rPr>
          <w:rStyle w:val="Strong"/>
        </w:rPr>
        <w:t>Electrification (~20%):</w:t>
      </w:r>
      <w:r>
        <w:t xml:space="preserve"> The high-growth engine—grid equipment, transformers, and HVDC systems—positioned at the center of the global grid-modernization bottleneck.</w:t>
      </w:r>
    </w:p>
    <w:p w14:paraId="1C83A45F" w14:textId="77777777" w:rsidR="008C0F73" w:rsidRDefault="008C0F73" w:rsidP="008C0F73">
      <w:pPr>
        <w:pStyle w:val="Heading3"/>
      </w:pPr>
      <w:r>
        <w:lastRenderedPageBreak/>
        <w:t>Historical Performance: Setting the Baseline</w:t>
      </w:r>
    </w:p>
    <w:p w14:paraId="01459453" w14:textId="77777777" w:rsidR="008C0F73" w:rsidRDefault="008C0F73" w:rsidP="008C0F73">
      <w:pPr>
        <w:pStyle w:val="NormalWeb"/>
      </w:pPr>
      <w:r>
        <w:t>Before projecting the future, the report analyzes post-2022 performance, when GEV’s financials became most representative of its standalone trajectory. Over the last three years, revenue growth accelerated as Power and Electrification strengthened, and Adjusted EBITDA improved sharply as spin-related restructuring effects rolled off. This period helped establish what “normalized” performance looks like once legacy losses are removed.</w:t>
      </w:r>
    </w:p>
    <w:p w14:paraId="6557F663" w14:textId="77777777" w:rsidR="008C0F73" w:rsidRDefault="008C0F73" w:rsidP="008C0F73">
      <w:pPr>
        <w:pStyle w:val="Heading3"/>
      </w:pPr>
      <w:r>
        <w:t>Revenue Projections: Segment-Level Forecasting</w:t>
      </w:r>
    </w:p>
    <w:p w14:paraId="7A9423AE" w14:textId="77777777" w:rsidR="008C0F73" w:rsidRDefault="008C0F73" w:rsidP="008C0F73">
      <w:pPr>
        <w:pStyle w:val="NormalWeb"/>
      </w:pPr>
      <w:r>
        <w:t>My revenue projections were built bottom-up by segment, then cross-referenced against Bloomberg consensus and management’s own long-term framework.</w:t>
      </w:r>
    </w:p>
    <w:p w14:paraId="2029CF36" w14:textId="77777777" w:rsidR="008C0F73" w:rsidRDefault="008C0F73" w:rsidP="008C0F73">
      <w:pPr>
        <w:pStyle w:val="NormalWeb"/>
        <w:numPr>
          <w:ilvl w:val="0"/>
          <w:numId w:val="20"/>
        </w:numPr>
      </w:pPr>
      <w:r>
        <w:rPr>
          <w:rStyle w:val="Strong"/>
        </w:rPr>
        <w:t>Power</w:t>
      </w:r>
      <w:r>
        <w:t xml:space="preserve"> is projected at a mid-single-digit CAGR, driven by rising demand for firm generation from AI data centers.</w:t>
      </w:r>
    </w:p>
    <w:p w14:paraId="7EFF0DF9" w14:textId="77777777" w:rsidR="008C0F73" w:rsidRDefault="008C0F73" w:rsidP="008C0F73">
      <w:pPr>
        <w:pStyle w:val="NormalWeb"/>
        <w:numPr>
          <w:ilvl w:val="0"/>
          <w:numId w:val="20"/>
        </w:numPr>
      </w:pPr>
      <w:r>
        <w:rPr>
          <w:rStyle w:val="Strong"/>
        </w:rPr>
        <w:t>Wind</w:t>
      </w:r>
      <w:r>
        <w:t xml:space="preserve"> is modeled conservatively with low-single-digit growth, prioritizing margin health over volume.</w:t>
      </w:r>
    </w:p>
    <w:p w14:paraId="19C814FA" w14:textId="77777777" w:rsidR="008C0F73" w:rsidRDefault="008C0F73" w:rsidP="008C0F73">
      <w:pPr>
        <w:pStyle w:val="NormalWeb"/>
        <w:numPr>
          <w:ilvl w:val="0"/>
          <w:numId w:val="20"/>
        </w:numPr>
      </w:pPr>
      <w:r>
        <w:rPr>
          <w:rStyle w:val="Strong"/>
        </w:rPr>
        <w:t>Electrification</w:t>
      </w:r>
      <w:r>
        <w:t xml:space="preserve"> is the primary driver, modeled at high-single-digit growth to account for the critical global transformer shortage. By the end of the forecast period, consolidated revenue is expected to reach </w:t>
      </w:r>
      <w:r>
        <w:rPr>
          <w:rStyle w:val="Strong"/>
        </w:rPr>
        <w:t>~$50B+</w:t>
      </w:r>
      <w:r>
        <w:t>, aligning with the stronger end of management's medium-term guidance.</w:t>
      </w:r>
    </w:p>
    <w:p w14:paraId="2BD9768A" w14:textId="77777777" w:rsidR="008C0F73" w:rsidRDefault="008C0F73" w:rsidP="008C0F73">
      <w:pPr>
        <w:pStyle w:val="Heading3"/>
      </w:pPr>
      <w:r>
        <w:t>Margins and Profitability: The Path to Expansion</w:t>
      </w:r>
    </w:p>
    <w:p w14:paraId="50A55D0E" w14:textId="77777777" w:rsidR="008C0F73" w:rsidRDefault="008C0F73" w:rsidP="008C0F73">
      <w:pPr>
        <w:pStyle w:val="NormalWeb"/>
      </w:pPr>
      <w:r>
        <w:t>A major focus of the report is EBITDA margin expansion. I projected margins to climb toward the high-teens to low-20s range by the outer years as higher-margin backlog (booked at better pricing in 2024/2025) begins to convert into revenue, and as the "Wind" segment finally moves past its legacy offshore contract drag.</w:t>
      </w:r>
    </w:p>
    <w:p w14:paraId="72EFC284" w14:textId="77777777" w:rsidR="008C0F73" w:rsidRDefault="008C0F73" w:rsidP="008C0F73">
      <w:pPr>
        <w:pStyle w:val="Heading3"/>
      </w:pPr>
      <w:r>
        <w:t>Valuation Framework: DCF, SOTP, and Scenarios</w:t>
      </w:r>
    </w:p>
    <w:p w14:paraId="73063963" w14:textId="77777777" w:rsidR="008C0F73" w:rsidRDefault="008C0F73" w:rsidP="008C0F73">
      <w:pPr>
        <w:pStyle w:val="NormalWeb"/>
      </w:pPr>
      <w:r>
        <w:t xml:space="preserve">Because GE </w:t>
      </w:r>
      <w:proofErr w:type="spellStart"/>
      <w:r>
        <w:t>Vernova</w:t>
      </w:r>
      <w:proofErr w:type="spellEnd"/>
      <w:r>
        <w:t xml:space="preserve"> is a recent spin-off with distorted near-term earnings, I relied heavily on intrinsic analysis rather than simple trailing multiples:</w:t>
      </w:r>
    </w:p>
    <w:p w14:paraId="50D47955" w14:textId="77777777" w:rsidR="008C0F73" w:rsidRDefault="008C0F73" w:rsidP="008C0F73">
      <w:pPr>
        <w:pStyle w:val="NormalWeb"/>
        <w:numPr>
          <w:ilvl w:val="0"/>
          <w:numId w:val="21"/>
        </w:numPr>
      </w:pPr>
      <w:r>
        <w:rPr>
          <w:rStyle w:val="Strong"/>
        </w:rPr>
        <w:t>7-year FCFF DCF:</w:t>
      </w:r>
      <w:r>
        <w:t xml:space="preserve"> The heavy lifter of the model (60% weight), utilizing both Perpetual Growth and Exit Multiple methods.</w:t>
      </w:r>
    </w:p>
    <w:p w14:paraId="023FA127" w14:textId="77777777" w:rsidR="008C0F73" w:rsidRDefault="008C0F73" w:rsidP="008C0F73">
      <w:pPr>
        <w:pStyle w:val="NormalWeb"/>
        <w:numPr>
          <w:ilvl w:val="0"/>
          <w:numId w:val="21"/>
        </w:numPr>
      </w:pPr>
      <w:r>
        <w:rPr>
          <w:rStyle w:val="Strong"/>
        </w:rPr>
        <w:t>Relative Valuation:</w:t>
      </w:r>
      <w:r>
        <w:t xml:space="preserve"> Incorporating both "Peer Comps" and "</w:t>
      </w:r>
      <w:proofErr w:type="spellStart"/>
      <w:r>
        <w:t>Self Comps</w:t>
      </w:r>
      <w:proofErr w:type="spellEnd"/>
      <w:r>
        <w:t>" to account for GEV's historical trading premium.</w:t>
      </w:r>
    </w:p>
    <w:p w14:paraId="5E15FE87" w14:textId="77777777" w:rsidR="008C0F73" w:rsidRDefault="008C0F73" w:rsidP="008C0F73">
      <w:pPr>
        <w:pStyle w:val="NormalWeb"/>
        <w:numPr>
          <w:ilvl w:val="0"/>
          <w:numId w:val="21"/>
        </w:numPr>
      </w:pPr>
      <w:r>
        <w:rPr>
          <w:rStyle w:val="Strong"/>
        </w:rPr>
        <w:t>Scenario Modeling:</w:t>
      </w:r>
      <w:r>
        <w:t xml:space="preserve"> Five distinct cases ranging from "Bear" to "Bull."</w:t>
      </w:r>
    </w:p>
    <w:p w14:paraId="0CD26514" w14:textId="77777777" w:rsidR="008C0F73" w:rsidRDefault="008C0F73" w:rsidP="008C0F73">
      <w:pPr>
        <w:pStyle w:val="NormalWeb"/>
      </w:pPr>
      <w:r>
        <w:t xml:space="preserve">Under my base (bullish-leaning) scenario, the model produced a 1-year target price of </w:t>
      </w:r>
      <w:r>
        <w:rPr>
          <w:rStyle w:val="Strong"/>
        </w:rPr>
        <w:t>$636.66</w:t>
      </w:r>
      <w:r>
        <w:t>, implying meaningful upside from the December 3 trading levels, supported by fundamental earnings power.</w:t>
      </w:r>
    </w:p>
    <w:p w14:paraId="7E7C672F" w14:textId="77777777" w:rsidR="008C0F73" w:rsidRDefault="008C0F73" w:rsidP="008C0F73">
      <w:pPr>
        <w:pStyle w:val="Heading3"/>
      </w:pPr>
      <w:r>
        <w:lastRenderedPageBreak/>
        <w:t>Portfolio Fit &amp; Conclusion</w:t>
      </w:r>
    </w:p>
    <w:p w14:paraId="058F7BC0" w14:textId="77777777" w:rsidR="008C0F73" w:rsidRDefault="008C0F73" w:rsidP="008C0F73">
      <w:pPr>
        <w:pStyle w:val="NormalWeb"/>
      </w:pPr>
      <w:r>
        <w:t xml:space="preserve">The report concludes that GE </w:t>
      </w:r>
      <w:proofErr w:type="spellStart"/>
      <w:r>
        <w:t>Vernova</w:t>
      </w:r>
      <w:proofErr w:type="spellEnd"/>
      <w:r>
        <w:t xml:space="preserve"> is a "Buy" for the DePauw Student Endowment Portfolio. It offers a rare combination of infrastructure-like stability (via the $130B+ backlog) and high-growth secular exposure to the AI power-demand cycle. For a student-led fund, it represents a high-quality "Industrials" add that balances out tech-heavy concentration.</w:t>
      </w:r>
    </w:p>
    <w:p w14:paraId="6C8B2A06" w14:textId="77777777" w:rsidR="008C0F73" w:rsidRDefault="008C0F73" w:rsidP="008C0F73">
      <w:pPr>
        <w:pStyle w:val="Heading3"/>
      </w:pPr>
      <w:r>
        <w:t>Accessing the Full Report</w:t>
      </w:r>
    </w:p>
    <w:p w14:paraId="31D807A4" w14:textId="77777777" w:rsidR="008C0F73" w:rsidRDefault="008C0F73" w:rsidP="008C0F73">
      <w:pPr>
        <w:pStyle w:val="NormalWeb"/>
      </w:pPr>
      <w:r>
        <w:t xml:space="preserve">The full investment research report is available on the </w:t>
      </w:r>
      <w:r>
        <w:rPr>
          <w:rStyle w:val="Strong"/>
        </w:rPr>
        <w:t>Projects</w:t>
      </w:r>
      <w:r>
        <w:t xml:space="preserve"> page of my website. The </w:t>
      </w:r>
      <w:r>
        <w:rPr>
          <w:rStyle w:val="Strong"/>
        </w:rPr>
        <w:t>Word (.doc) version</w:t>
      </w:r>
      <w:r>
        <w:t xml:space="preserve"> includes the embedded, interactive </w:t>
      </w:r>
      <w:r>
        <w:rPr>
          <w:rStyle w:val="Strong"/>
        </w:rPr>
        <w:t>Excel valuation models</w:t>
      </w:r>
      <w:r>
        <w:t>, allowing you to adjust assumptions, toggle between the five risk scenarios, and see the transparent linkages from data inputs to the final target price.</w:t>
      </w:r>
    </w:p>
    <w:p w14:paraId="0560EF93" w14:textId="49566898" w:rsidR="00595AC4" w:rsidRPr="008C0F73" w:rsidRDefault="00595AC4" w:rsidP="008C0F73"/>
    <w:sectPr w:rsidR="00595AC4" w:rsidRPr="008C0F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E71A5"/>
    <w:multiLevelType w:val="multilevel"/>
    <w:tmpl w:val="541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D210E"/>
    <w:multiLevelType w:val="multilevel"/>
    <w:tmpl w:val="86109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82879"/>
    <w:multiLevelType w:val="multilevel"/>
    <w:tmpl w:val="B2A6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C440B"/>
    <w:multiLevelType w:val="multilevel"/>
    <w:tmpl w:val="369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06C03"/>
    <w:multiLevelType w:val="multilevel"/>
    <w:tmpl w:val="DAD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03529"/>
    <w:multiLevelType w:val="multilevel"/>
    <w:tmpl w:val="2BB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D341C"/>
    <w:multiLevelType w:val="multilevel"/>
    <w:tmpl w:val="A96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9560C"/>
    <w:multiLevelType w:val="multilevel"/>
    <w:tmpl w:val="88A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E63B7"/>
    <w:multiLevelType w:val="multilevel"/>
    <w:tmpl w:val="4A5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948A2"/>
    <w:multiLevelType w:val="multilevel"/>
    <w:tmpl w:val="830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82E23"/>
    <w:multiLevelType w:val="multilevel"/>
    <w:tmpl w:val="3E5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B02E9"/>
    <w:multiLevelType w:val="multilevel"/>
    <w:tmpl w:val="853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057368">
    <w:abstractNumId w:val="8"/>
  </w:num>
  <w:num w:numId="2" w16cid:durableId="462428062">
    <w:abstractNumId w:val="6"/>
  </w:num>
  <w:num w:numId="3" w16cid:durableId="1270970933">
    <w:abstractNumId w:val="5"/>
  </w:num>
  <w:num w:numId="4" w16cid:durableId="812795626">
    <w:abstractNumId w:val="4"/>
  </w:num>
  <w:num w:numId="5" w16cid:durableId="1415399985">
    <w:abstractNumId w:val="7"/>
  </w:num>
  <w:num w:numId="6" w16cid:durableId="1607886379">
    <w:abstractNumId w:val="3"/>
  </w:num>
  <w:num w:numId="7" w16cid:durableId="1487895515">
    <w:abstractNumId w:val="2"/>
  </w:num>
  <w:num w:numId="8" w16cid:durableId="1197936297">
    <w:abstractNumId w:val="1"/>
  </w:num>
  <w:num w:numId="9" w16cid:durableId="912154596">
    <w:abstractNumId w:val="0"/>
  </w:num>
  <w:num w:numId="10" w16cid:durableId="1009794860">
    <w:abstractNumId w:val="16"/>
  </w:num>
  <w:num w:numId="11" w16cid:durableId="1399209330">
    <w:abstractNumId w:val="13"/>
  </w:num>
  <w:num w:numId="12" w16cid:durableId="1649743101">
    <w:abstractNumId w:val="19"/>
  </w:num>
  <w:num w:numId="13" w16cid:durableId="1523587436">
    <w:abstractNumId w:val="15"/>
  </w:num>
  <w:num w:numId="14" w16cid:durableId="834149664">
    <w:abstractNumId w:val="17"/>
  </w:num>
  <w:num w:numId="15" w16cid:durableId="207033301">
    <w:abstractNumId w:val="20"/>
  </w:num>
  <w:num w:numId="16" w16cid:durableId="322011098">
    <w:abstractNumId w:val="18"/>
  </w:num>
  <w:num w:numId="17" w16cid:durableId="1227498411">
    <w:abstractNumId w:val="12"/>
  </w:num>
  <w:num w:numId="18" w16cid:durableId="502862296">
    <w:abstractNumId w:val="10"/>
  </w:num>
  <w:num w:numId="19" w16cid:durableId="1920170304">
    <w:abstractNumId w:val="11"/>
  </w:num>
  <w:num w:numId="20" w16cid:durableId="49545325">
    <w:abstractNumId w:val="14"/>
  </w:num>
  <w:num w:numId="21" w16cid:durableId="1582833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061"/>
    <w:rsid w:val="00326F90"/>
    <w:rsid w:val="00472DC8"/>
    <w:rsid w:val="004C552D"/>
    <w:rsid w:val="00595AC4"/>
    <w:rsid w:val="006472CB"/>
    <w:rsid w:val="00663A43"/>
    <w:rsid w:val="008C0F73"/>
    <w:rsid w:val="00945B66"/>
    <w:rsid w:val="009D7CEC"/>
    <w:rsid w:val="00AA1D8D"/>
    <w:rsid w:val="00AE112F"/>
    <w:rsid w:val="00B47730"/>
    <w:rsid w:val="00CB0664"/>
    <w:rsid w:val="00DD64AE"/>
    <w:rsid w:val="00ED44FF"/>
    <w:rsid w:val="00FC693F"/>
    <w:rsid w:val="00FF18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E7FA7"/>
  <w14:defaultImageDpi w14:val="300"/>
  <w15:docId w15:val="{7FEE9AD1-B7CC-4448-BBCA-EB3461DA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D64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D6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Manmeet S Hayer</cp:lastModifiedBy>
  <cp:revision>10</cp:revision>
  <dcterms:created xsi:type="dcterms:W3CDTF">2025-10-19T23:22:00Z</dcterms:created>
  <dcterms:modified xsi:type="dcterms:W3CDTF">2025-12-18T17:44:00Z</dcterms:modified>
  <cp:category/>
</cp:coreProperties>
</file>