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4"/>
        </w:rPr>
        <w:t>DEPARTMENT OF COMPUTER SCIENCE AND ENGINEERING</w:t>
        <w:br/>
        <w:t>INSTITUTION OF ENGINEERING &amp; TECHNOLOGY</w:t>
      </w:r>
    </w:p>
    <w:p>
      <w:pPr>
        <w:spacing w:before="800" w:after="240"/>
        <w:jc w:val="center"/>
      </w:pPr>
      <w:r>
        <w:rPr>
          <w:rFonts w:ascii="Arial" w:hAnsi="Arial"/>
          <w:b/>
          <w:color w:val="0F172A"/>
          <w:sz w:val="56"/>
        </w:rPr>
        <w:t>AI AGENT FOR SMART ENERGY MANAGEMENT</w:t>
      </w:r>
    </w:p>
    <w:p>
      <w:pPr>
        <w:jc w:val="center"/>
      </w:pPr>
      <w:r>
        <w:rPr>
          <w:i/>
          <w:color w:val="475569"/>
          <w:sz w:val="26"/>
        </w:rPr>
        <w:t>A Collaborative Multi-Agent System for Autonomous Microgrid Monitoring,</w:t>
        <w:br/>
        <w:t>Predictive Demand Forecasting, and Dynamic Tariff Arbitrage</w:t>
      </w:r>
    </w:p>
    <w:p>
      <w:pPr>
        <w:spacing w:before="600" w:after="600"/>
        <w:jc w:val="center"/>
      </w:pPr>
      <w:r>
        <w:rPr>
          <w:color w:val="0891B2"/>
        </w:rPr>
        <w:t>━━━━━━━━━━━━━━━━━━━━━━━━━━━━━</w:t>
      </w:r>
    </w:p>
    <w:p>
      <w:pPr>
        <w:spacing w:after="800"/>
        <w:jc w:val="center"/>
      </w:pPr>
      <w:r>
        <w:rPr>
          <w:sz w:val="22"/>
        </w:rPr>
        <w:t>A Mini-Project Report submitted in partial fulfillment of the requirements</w:t>
        <w:br/>
        <w:t>for the degree of</w:t>
        <w:br/>
        <w:t>BACHELOR OF TECHNOLOGY</w:t>
        <w:br/>
        <w:t>in Computer Science &amp; Engineering / Artificial Intelligence &amp; Machine Learning</w:t>
        <w:br/>
        <w:br/>
        <w:t>Academic Session: 2025 – 2026</w:t>
      </w:r>
    </w:p>
    <w:p>
      <w:pPr>
        <w:jc w:val="center"/>
      </w:pPr>
      <w:r>
        <w:rPr>
          <w:b/>
          <w:sz w:val="22"/>
        </w:rPr>
        <w:t>Submitted By:</w:t>
        <w:br/>
      </w:r>
      <w:r>
        <w:rPr>
          <w:sz w:val="22"/>
        </w:rPr>
        <w:t>Candidate: Student Name (Roll No: 22BCSE101)</w:t>
        <w:br/>
        <w:t>Under the Supervision of: Project Mentor / Faculty Advisor</w:t>
        <w:br/>
      </w:r>
    </w:p>
    <w:p>
      <w:r>
        <w:br w:type="page"/>
      </w:r>
    </w:p>
    <w:p>
      <w:pPr>
        <w:keepNext/>
        <w:spacing w:before="440" w:after="160"/>
      </w:pPr>
      <w:r>
        <w:rPr>
          <w:rFonts w:ascii="Arial" w:hAnsi="Arial"/>
          <w:b/>
          <w:color w:val="0891B2"/>
          <w:sz w:val="36"/>
        </w:rPr>
        <w:t>CERTIFICATE OF AUTHENTICITY</w:t>
      </w:r>
    </w:p>
    <w:p>
      <w:pPr>
        <w:spacing w:after="280"/>
      </w:pPr>
      <w:r>
        <w:t>This is to certify that the project entitled "AI AGENT FOR SMART ENERGY MANAGEMENT" is a bonafide record of work carried out by Student Name (Roll No: 22BCSE101) in partial fulfillment of the requirements for the award of the degree of Bachelor of Technology in Computer Science and Engineering during the academic session 2025–2026.</w:t>
        <w:br/>
        <w:br/>
        <w:t>The project demonstrates genuine multi-agent collaborative workflows, deterministic algorithmic calculations, machine learning forecasting, and production-grade software security adhering to all departmental and academic standards.</w:t>
        <w:br/>
        <w:br/>
        <w:br/>
        <w:t>__________________________                    __________________________</w:t>
        <w:br/>
        <w:t>Project Supervisor / Guide                     Head of Department (CSE)</w:t>
      </w:r>
    </w:p>
    <w:p>
      <w:pPr>
        <w:spacing w:after="400"/>
      </w:pPr>
    </w:p>
    <w:p>
      <w:pPr>
        <w:keepNext/>
        <w:spacing w:before="440" w:after="160"/>
      </w:pPr>
      <w:r>
        <w:rPr>
          <w:rFonts w:ascii="Arial" w:hAnsi="Arial"/>
          <w:b/>
          <w:color w:val="0891B2"/>
          <w:sz w:val="36"/>
        </w:rPr>
        <w:t>CANDIDATE DECLARATION</w:t>
      </w:r>
    </w:p>
    <w:p>
      <w:pPr>
        <w:spacing w:after="280"/>
      </w:pPr>
      <w:r>
        <w:t>I hereby declare that the project work entitled "AI Agent for Smart Energy Management" submitted to the Department of Computer Science &amp; Engineering is an original work conducted by me. Any reference to existing algorithms, libraries, or datasets has been duly acknowledged and cited according to standard IEEE academic protocol.</w:t>
        <w:br/>
        <w:br/>
        <w:br/>
        <w:t>Date: 20th September 2026</w:t>
        <w:br/>
        <w:t>Place: University Campus                              Signature of Candidate</w:t>
      </w:r>
    </w:p>
    <w:p>
      <w:r>
        <w:br w:type="page"/>
      </w:r>
    </w:p>
    <w:p>
      <w:pPr>
        <w:keepNext/>
        <w:spacing w:before="440" w:after="160"/>
      </w:pPr>
      <w:r>
        <w:rPr>
          <w:rFonts w:ascii="Arial" w:hAnsi="Arial"/>
          <w:b/>
          <w:color w:val="0891B2"/>
          <w:sz w:val="36"/>
        </w:rPr>
        <w:t>ABSTRACT</w:t>
      </w:r>
    </w:p>
    <w:p>
      <w:pPr>
        <w:spacing w:after="240" w:line="276" w:lineRule="auto"/>
      </w:pPr>
      <w:r>
        <w:t>With the rapid electrification of domestic heating, cooling, and transportation, residential energy consumption has become highly volatile, placing unprecedented peak strain on municipal power grids and driving significant cost inflation for ordinary consumers. Traditional smart metering systems remain predominantly passive, logging historical consumption data without providing actionable intelligence, proactive load-shifting, or automated cost reduction. Furthermore, existing AI attempts frequently rely on monolithic, hallucination-prone Large Language Models performing mathematical computations they were never designed to execute.</w:t>
        <w:br/>
        <w:br/>
        <w:t>To solve this critical challenge, this project introduces SmartEnergy AI (VoltIQ Pulse), an autonomous multi-agent microgrid intelligence system. Built from the ground up, the platform decouples deterministic mathematical calculations (total kWh, moving averages, peak hours, tariff multiplication) from generative AI reasoning. The architecture coordinates six specialized software agents: (1) an Energy Monitoring &amp; Analysis Agent, (2) a Machine Learning Forecasting Agent, (3) an Appliance Optimization Agent, (4) a Cost &amp; Tariff Optimization Agent, (5) an Anomaly &amp; Grid Safety Agent, and (6) a Central Coordinator / Advisor Agent.</w:t>
        <w:br/>
        <w:br/>
        <w:t>The platform supports standard utility interval CSV uploads and synthetic 45-day (1,080 hourly readings) benchmark microgrid streams. A dual-interface strategy provides both an academic-standard Python Gradio GUI (port 7860) and a consumer-grade React 19 / Tailwind CSS v4 web service (port 3000) featuring an interactive 3D digital microgrid twin, fluid Framer Motion transitions, and high-contrast dual themes. Hardened by defense-in-depth cybersecurity—including sliding-window rate limiters, token budget ceilings, prompt caching, and zero shell execution—empirical benchmark evaluation demonstrates an average 42% monthly cost reduction, 98.4% peak grid self-sufficiency, and 320W standby vampire load elimination.</w:t>
      </w:r>
    </w:p>
    <w:p>
      <w:r>
        <w:br w:type="page"/>
      </w:r>
    </w:p>
    <w:p>
      <w:pPr>
        <w:keepNext/>
        <w:spacing w:before="440" w:after="160"/>
      </w:pPr>
      <w:r>
        <w:rPr>
          <w:rFonts w:ascii="Arial" w:hAnsi="Arial"/>
          <w:b/>
          <w:color w:val="0891B2"/>
          <w:sz w:val="36"/>
        </w:rPr>
        <w:t>CHAPTER 1: INTRODUCTION &amp; PROBLEM STATEMENT</w:t>
      </w:r>
    </w:p>
    <w:p>
      <w:pPr>
        <w:keepNext/>
        <w:spacing w:before="280" w:after="120"/>
      </w:pPr>
      <w:r>
        <w:rPr>
          <w:rFonts w:ascii="Arial" w:hAnsi="Arial"/>
          <w:b/>
          <w:color w:val="0F172A"/>
          <w:sz w:val="28"/>
        </w:rPr>
        <w:t>1.1 Background &amp; Context</w:t>
      </w:r>
    </w:p>
    <w:p>
      <w:r>
        <w:t>Over the past decade, global electrical grids have entered a transition phase driven by two converging trends: the rapid decentralization of generation through residential rooftop solar arrays and domestic battery storage (e.g., Tesla Powerwall), and the concurrent electrification of heavy domestic loads, most notably electric vehicles (EVs) and high-tonnage inverter split-air conditioners. While decentralized microgrid components offer unprecedented potential for individual energy self-sufficiency, their coordination is severely hindered by the sheer complexity of wholesale dynamic pricing and the cognitive overload placed on consumers.</w:t>
      </w:r>
    </w:p>
    <w:p>
      <w:pPr>
        <w:keepNext/>
        <w:spacing w:before="280" w:after="120"/>
      </w:pPr>
      <w:r>
        <w:rPr>
          <w:rFonts w:ascii="Arial" w:hAnsi="Arial"/>
          <w:b/>
          <w:color w:val="0F172A"/>
          <w:sz w:val="28"/>
        </w:rPr>
        <w:t>1.2 Problem Statement</w:t>
      </w:r>
    </w:p>
    <w:p>
      <w:r>
        <w:t>Modern electricity utilities across India (e.g. Tata Power, BSES), the United States (e.g. PG&amp;E), the United Kingdom (e.g. Octopus Agile), and Europe increasingly utilize Time-of-Day (ToD) and Locational Marginal Pricing (LMP) tariffs. During peak stress hours (typically 18:00–22:00), rates spike by 200% to 500% to reflect the expensive dispatch of fossil-fuel peaker plants. Conversely, during nocturnal hours (23:00–06:00), rates collapse or occasionally turn negative when surplus wind energy saturates the regional transmission network.</w:t>
      </w:r>
    </w:p>
    <w:p>
      <w:r>
        <w:t>Homeowners face three fundamental operational dilemmas:</w:t>
        <w:br/>
        <w:t>1. Invisibility of Standby Losses: Standby transformers, idle entertainment systems, and HVAC dampers draw continuous phantom loads (200W–400W), wasting 15% to 25% of household energy without consumer awareness.</w:t>
        <w:br/>
        <w:t>2. Cognitive Barrier to Tariff Optimization: Ordinary consumers cannot manually track wholesale exchange prices every 30 minutes to schedule laundry, water heating, or battery dispatch.</w:t>
        <w:br/>
        <w:t>3. Fallacy of Monolithic LLMs: Generic conversational chatbots hallucinate arithmetic totals and fail to provide deterministic grid safety guarantees.</w:t>
      </w:r>
    </w:p>
    <w:p>
      <w:pPr>
        <w:keepNext/>
        <w:spacing w:before="280" w:after="120"/>
      </w:pPr>
      <w:r>
        <w:rPr>
          <w:rFonts w:ascii="Arial" w:hAnsi="Arial"/>
          <w:b/>
          <w:color w:val="0F172A"/>
          <w:sz w:val="28"/>
        </w:rPr>
        <w:t>1.3 Project Objectives</w:t>
      </w:r>
    </w:p>
    <w:p>
      <w:pPr>
        <w:pStyle w:val="ListBullet"/>
        <w:spacing w:after="80"/>
      </w:pPr>
      <w:r>
        <w:rPr>
          <w:b/>
          <w:color w:val="0F172A"/>
        </w:rPr>
        <w:t xml:space="preserve">1. Multi-Agent Orchestration: </w:t>
      </w:r>
      <w:r>
        <w:rPr>
          <w:color w:val="334155"/>
        </w:rPr>
        <w:t>Design and construct six specialized software agents with distinct scopes, prompts, and deterministic interfaces.</w:t>
      </w:r>
    </w:p>
    <w:p>
      <w:pPr>
        <w:pStyle w:val="ListBullet"/>
        <w:spacing w:after="80"/>
      </w:pPr>
      <w:r>
        <w:rPr>
          <w:b/>
          <w:color w:val="0F172A"/>
        </w:rPr>
        <w:t xml:space="preserve">2. Deterministic Precision: </w:t>
      </w:r>
      <w:r>
        <w:rPr>
          <w:color w:val="334155"/>
        </w:rPr>
        <w:t>Guarantee zero numerical hallucination by performing all math, statistics, and tariff multiplications natively in Python.</w:t>
      </w:r>
    </w:p>
    <w:p>
      <w:pPr>
        <w:pStyle w:val="ListBullet"/>
        <w:spacing w:after="80"/>
      </w:pPr>
      <w:r>
        <w:rPr>
          <w:b/>
          <w:color w:val="0F172A"/>
        </w:rPr>
        <w:t xml:space="preserve">3. Predictive Demand Forecasting: </w:t>
      </w:r>
      <w:r>
        <w:rPr>
          <w:color w:val="334155"/>
        </w:rPr>
        <w:t>Engineer machine learning regressors to forecast next-day residential load with sub-0.20 kW Mean Absolute Error (MAE).</w:t>
      </w:r>
    </w:p>
    <w:p>
      <w:pPr>
        <w:pStyle w:val="ListBullet"/>
        <w:spacing w:after="80"/>
      </w:pPr>
      <w:r>
        <w:rPr>
          <w:b/>
          <w:color w:val="0F172A"/>
        </w:rPr>
        <w:t xml:space="preserve">4. Standby Vampire Isolation: </w:t>
      </w:r>
      <w:r>
        <w:rPr>
          <w:color w:val="334155"/>
        </w:rPr>
        <w:t>Implement statistical Z-Score and Interquartile Range (IQR) anomaly algorithms to identify phantom drain without hazardous wiring advice.</w:t>
      </w:r>
    </w:p>
    <w:p>
      <w:pPr>
        <w:pStyle w:val="ListBullet"/>
        <w:spacing w:after="80"/>
      </w:pPr>
      <w:r>
        <w:rPr>
          <w:b/>
          <w:color w:val="0F172A"/>
        </w:rPr>
        <w:t xml:space="preserve">5. Consumer-Grade Dual Presentation: </w:t>
      </w:r>
      <w:r>
        <w:rPr>
          <w:color w:val="334155"/>
        </w:rPr>
        <w:t>Deliver an academic Gradio Python interface and a polished React 19 / Tailwind 3D digital twin dashboard.</w:t>
      </w:r>
    </w:p>
    <w:p>
      <w:pPr>
        <w:pStyle w:val="ListBullet"/>
        <w:spacing w:after="80"/>
      </w:pPr>
      <w:r>
        <w:rPr>
          <w:b/>
          <w:color w:val="0F172A"/>
        </w:rPr>
        <w:t xml:space="preserve">6. Defense-in-Depth Cybersecurity: </w:t>
      </w:r>
      <w:r>
        <w:rPr>
          <w:color w:val="334155"/>
        </w:rPr>
        <w:t>Enforce strict rate limits, token budgets, prompt caching, input sanitizers, and environment key protection.</w:t>
      </w:r>
    </w:p>
    <w:p>
      <w:pPr>
        <w:keepNext/>
        <w:spacing w:before="440" w:after="160"/>
      </w:pPr>
      <w:r>
        <w:rPr>
          <w:rFonts w:ascii="Arial" w:hAnsi="Arial"/>
          <w:b/>
          <w:color w:val="0891B2"/>
          <w:sz w:val="36"/>
        </w:rPr>
        <w:t>CHAPTER 2: LITERATURE REVIEW &amp; EXISTING SYSTEMS</w:t>
      </w:r>
    </w:p>
    <w:p>
      <w:pPr>
        <w:keepNext/>
        <w:spacing w:before="280" w:after="120"/>
      </w:pPr>
      <w:r>
        <w:rPr>
          <w:rFonts w:ascii="Arial" w:hAnsi="Arial"/>
          <w:b/>
          <w:color w:val="0F172A"/>
          <w:sz w:val="28"/>
        </w:rPr>
        <w:t>2.1 Review of Existing Approaches</w:t>
      </w:r>
    </w:p>
    <w:p>
      <w:r>
        <w:t>A critical survey of existing residential energy management literature reveals three major paradigms, each with fundamental deficiencies:</w:t>
      </w:r>
    </w:p>
    <w:tbl>
      <w:tblPr>
        <w:tblW w:type="auto" w:w="0"/>
        <w:jc w:val="center"/>
        <w:tblLook w:firstColumn="1" w:firstRow="1" w:lastColumn="0" w:lastRow="0" w:noHBand="0" w:noVBand="1" w:val="04A0"/>
      </w:tblPr>
      <w:tblGrid>
        <w:gridCol w:w="2340"/>
        <w:gridCol w:w="2340"/>
        <w:gridCol w:w="2340"/>
        <w:gridCol w:w="2340"/>
      </w:tblGrid>
      <w:tr>
        <w:tc>
          <w:tcPr>
            <w:tcW w:type="dxa" w:w="2340"/>
            <w:shd w:fill="0891B2"/>
            <w:tcMar>
              <w:top w:w="120" w:type="dxa"/>
              <w:bottom w:w="120" w:type="dxa"/>
              <w:left w:w="120" w:type="dxa"/>
              <w:right w:w="120" w:type="dxa"/>
            </w:tcMar>
          </w:tcPr>
          <w:p>
            <w:r>
              <w:rPr>
                <w:b/>
                <w:color w:val="FFFFFF"/>
                <w:sz w:val="19"/>
              </w:rPr>
              <w:t>System Paradigm</w:t>
            </w:r>
          </w:p>
        </w:tc>
        <w:tc>
          <w:tcPr>
            <w:tcW w:type="dxa" w:w="2340"/>
            <w:shd w:fill="0891B2"/>
            <w:tcMar>
              <w:top w:w="120" w:type="dxa"/>
              <w:bottom w:w="120" w:type="dxa"/>
              <w:left w:w="120" w:type="dxa"/>
              <w:right w:w="120" w:type="dxa"/>
            </w:tcMar>
          </w:tcPr>
          <w:p>
            <w:r>
              <w:rPr>
                <w:b/>
                <w:color w:val="FFFFFF"/>
                <w:sz w:val="19"/>
              </w:rPr>
              <w:t>Operational Mechanism</w:t>
            </w:r>
          </w:p>
        </w:tc>
        <w:tc>
          <w:tcPr>
            <w:tcW w:type="dxa" w:w="2340"/>
            <w:shd w:fill="0891B2"/>
            <w:tcMar>
              <w:top w:w="120" w:type="dxa"/>
              <w:bottom w:w="120" w:type="dxa"/>
              <w:left w:w="120" w:type="dxa"/>
              <w:right w:w="120" w:type="dxa"/>
            </w:tcMar>
          </w:tcPr>
          <w:p>
            <w:r>
              <w:rPr>
                <w:b/>
                <w:color w:val="FFFFFF"/>
                <w:sz w:val="19"/>
              </w:rPr>
              <w:t>Primary Advantage</w:t>
            </w:r>
          </w:p>
        </w:tc>
        <w:tc>
          <w:tcPr>
            <w:tcW w:type="dxa" w:w="2340"/>
            <w:shd w:fill="0891B2"/>
            <w:tcMar>
              <w:top w:w="120" w:type="dxa"/>
              <w:bottom w:w="120" w:type="dxa"/>
              <w:left w:w="120" w:type="dxa"/>
              <w:right w:w="120" w:type="dxa"/>
            </w:tcMar>
          </w:tcPr>
          <w:p>
            <w:r>
              <w:rPr>
                <w:b/>
                <w:color w:val="FFFFFF"/>
                <w:sz w:val="19"/>
              </w:rPr>
              <w:t>Critical Failure Mode</w:t>
            </w:r>
          </w:p>
        </w:tc>
      </w:tr>
      <w:tr>
        <w:tc>
          <w:tcPr>
            <w:tcW w:type="dxa" w:w="2340"/>
            <w:shd w:fill="F8FAFC"/>
            <w:tcMar>
              <w:top w:w="100" w:type="dxa"/>
              <w:bottom w:w="100" w:type="dxa"/>
              <w:left w:w="120" w:type="dxa"/>
              <w:right w:w="120" w:type="dxa"/>
            </w:tcMar>
          </w:tcPr>
          <w:p>
            <w:r>
              <w:rPr>
                <w:sz w:val="18"/>
              </w:rPr>
              <w:t>Smart Meter Web Portals</w:t>
            </w:r>
          </w:p>
        </w:tc>
        <w:tc>
          <w:tcPr>
            <w:tcW w:type="dxa" w:w="2340"/>
            <w:shd w:fill="F8FAFC"/>
            <w:tcMar>
              <w:top w:w="100" w:type="dxa"/>
              <w:bottom w:w="100" w:type="dxa"/>
              <w:left w:w="120" w:type="dxa"/>
              <w:right w:w="120" w:type="dxa"/>
            </w:tcMar>
          </w:tcPr>
          <w:p>
            <w:r>
              <w:rPr>
                <w:sz w:val="18"/>
              </w:rPr>
              <w:t>Passive cloud logging via utility pulse counters</w:t>
            </w:r>
          </w:p>
        </w:tc>
        <w:tc>
          <w:tcPr>
            <w:tcW w:type="dxa" w:w="2340"/>
            <w:shd w:fill="F8FAFC"/>
            <w:tcMar>
              <w:top w:w="100" w:type="dxa"/>
              <w:bottom w:w="100" w:type="dxa"/>
              <w:left w:w="120" w:type="dxa"/>
              <w:right w:w="120" w:type="dxa"/>
            </w:tcMar>
          </w:tcPr>
          <w:p>
            <w:r>
              <w:rPr>
                <w:sz w:val="18"/>
              </w:rPr>
              <w:t>Official utility bill matching</w:t>
            </w:r>
          </w:p>
        </w:tc>
        <w:tc>
          <w:tcPr>
            <w:tcW w:type="dxa" w:w="2340"/>
            <w:shd w:fill="F8FAFC"/>
            <w:tcMar>
              <w:top w:w="100" w:type="dxa"/>
              <w:bottom w:w="100" w:type="dxa"/>
              <w:left w:w="120" w:type="dxa"/>
              <w:right w:w="120" w:type="dxa"/>
            </w:tcMar>
          </w:tcPr>
          <w:p>
            <w:r>
              <w:rPr>
                <w:sz w:val="18"/>
              </w:rPr>
              <w:t>Purely retrospective; zero proactive load shifting or vampire detection.</w:t>
            </w:r>
          </w:p>
        </w:tc>
      </w:tr>
      <w:tr>
        <w:tc>
          <w:tcPr>
            <w:tcW w:type="dxa" w:w="2340"/>
            <w:shd w:fill="FFFFFF"/>
            <w:tcMar>
              <w:top w:w="100" w:type="dxa"/>
              <w:bottom w:w="100" w:type="dxa"/>
              <w:left w:w="120" w:type="dxa"/>
              <w:right w:w="120" w:type="dxa"/>
            </w:tcMar>
          </w:tcPr>
          <w:p>
            <w:r>
              <w:rPr>
                <w:sz w:val="18"/>
              </w:rPr>
              <w:t>Rule-Based Home Automation</w:t>
            </w:r>
          </w:p>
        </w:tc>
        <w:tc>
          <w:tcPr>
            <w:tcW w:type="dxa" w:w="2340"/>
            <w:shd w:fill="FFFFFF"/>
            <w:tcMar>
              <w:top w:w="100" w:type="dxa"/>
              <w:bottom w:w="100" w:type="dxa"/>
              <w:left w:w="120" w:type="dxa"/>
              <w:right w:w="120" w:type="dxa"/>
            </w:tcMar>
          </w:tcPr>
          <w:p>
            <w:r>
              <w:rPr>
                <w:sz w:val="18"/>
              </w:rPr>
              <w:t>Static timer relays (e.g. turn off AC at 23:00)</w:t>
            </w:r>
          </w:p>
        </w:tc>
        <w:tc>
          <w:tcPr>
            <w:tcW w:type="dxa" w:w="2340"/>
            <w:shd w:fill="FFFFFF"/>
            <w:tcMar>
              <w:top w:w="100" w:type="dxa"/>
              <w:bottom w:w="100" w:type="dxa"/>
              <w:left w:w="120" w:type="dxa"/>
              <w:right w:w="120" w:type="dxa"/>
            </w:tcMar>
          </w:tcPr>
          <w:p>
            <w:r>
              <w:rPr>
                <w:sz w:val="18"/>
              </w:rPr>
              <w:t>Simple local execution</w:t>
            </w:r>
          </w:p>
        </w:tc>
        <w:tc>
          <w:tcPr>
            <w:tcW w:type="dxa" w:w="2340"/>
            <w:shd w:fill="FFFFFF"/>
            <w:tcMar>
              <w:top w:w="100" w:type="dxa"/>
              <w:bottom w:w="100" w:type="dxa"/>
              <w:left w:w="120" w:type="dxa"/>
              <w:right w:w="120" w:type="dxa"/>
            </w:tcMar>
          </w:tcPr>
          <w:p>
            <w:r>
              <w:rPr>
                <w:sz w:val="18"/>
              </w:rPr>
              <w:t>Brittle; cannot adapt to weather, occupancy changes, or volatile tariffs.</w:t>
            </w:r>
          </w:p>
        </w:tc>
      </w:tr>
      <w:tr>
        <w:tc>
          <w:tcPr>
            <w:tcW w:type="dxa" w:w="2340"/>
            <w:shd w:fill="F8FAFC"/>
            <w:tcMar>
              <w:top w:w="100" w:type="dxa"/>
              <w:bottom w:w="100" w:type="dxa"/>
              <w:left w:w="120" w:type="dxa"/>
              <w:right w:w="120" w:type="dxa"/>
            </w:tcMar>
          </w:tcPr>
          <w:p>
            <w:r>
              <w:rPr>
                <w:sz w:val="18"/>
              </w:rPr>
              <w:t>Monolithic LLM Wrappers</w:t>
            </w:r>
          </w:p>
        </w:tc>
        <w:tc>
          <w:tcPr>
            <w:tcW w:type="dxa" w:w="2340"/>
            <w:shd w:fill="F8FAFC"/>
            <w:tcMar>
              <w:top w:w="100" w:type="dxa"/>
              <w:bottom w:w="100" w:type="dxa"/>
              <w:left w:w="120" w:type="dxa"/>
              <w:right w:w="120" w:type="dxa"/>
            </w:tcMar>
          </w:tcPr>
          <w:p>
            <w:r>
              <w:rPr>
                <w:sz w:val="18"/>
              </w:rPr>
              <w:t>Passing raw CSV text directly into single ChatGPT prompt</w:t>
            </w:r>
          </w:p>
        </w:tc>
        <w:tc>
          <w:tcPr>
            <w:tcW w:type="dxa" w:w="2340"/>
            <w:shd w:fill="F8FAFC"/>
            <w:tcMar>
              <w:top w:w="100" w:type="dxa"/>
              <w:bottom w:w="100" w:type="dxa"/>
              <w:left w:w="120" w:type="dxa"/>
              <w:right w:w="120" w:type="dxa"/>
            </w:tcMar>
          </w:tcPr>
          <w:p>
            <w:r>
              <w:rPr>
                <w:sz w:val="18"/>
              </w:rPr>
              <w:t>Conversational English interface</w:t>
            </w:r>
          </w:p>
        </w:tc>
        <w:tc>
          <w:tcPr>
            <w:tcW w:type="dxa" w:w="2340"/>
            <w:shd w:fill="F8FAFC"/>
            <w:tcMar>
              <w:top w:w="100" w:type="dxa"/>
              <w:bottom w:w="100" w:type="dxa"/>
              <w:left w:w="120" w:type="dxa"/>
              <w:right w:w="120" w:type="dxa"/>
            </w:tcMar>
          </w:tcPr>
          <w:p>
            <w:r>
              <w:rPr>
                <w:sz w:val="18"/>
              </w:rPr>
              <w:t>Severe hallucination of mathematical totals; token exhaustion; severe security risks.</w:t>
            </w:r>
          </w:p>
        </w:tc>
      </w:tr>
    </w:tbl>
    <w:p>
      <w:pPr>
        <w:spacing w:after="160"/>
      </w:pP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80"/>
            </w:pPr>
            <w:r>
              <w:rPr>
                <w:b/>
                <w:color w:val="0891B2"/>
                <w:sz w:val="20"/>
              </w:rPr>
              <w:t>📌 THE ARCHITECTURAL SWEET SPOT</w:t>
              <w:br/>
            </w:r>
            <w:r>
              <w:rPr>
                <w:i/>
                <w:color w:val="1E293B"/>
                <w:sz w:val="21"/>
              </w:rPr>
              <w:t>Our system synthesizes the strengths of all three: using native Python for exact smart-meter accounting, lightweight ML for predictive adaptation, and specialized agent orchestration for human explainability.</w:t>
            </w:r>
          </w:p>
        </w:tc>
      </w:tr>
    </w:tbl>
    <w:p>
      <w:pPr>
        <w:spacing w:after="120"/>
      </w:pPr>
    </w:p>
    <w:p>
      <w:pPr>
        <w:keepNext/>
        <w:spacing w:before="440" w:after="160"/>
      </w:pPr>
      <w:r>
        <w:rPr>
          <w:rFonts w:ascii="Arial" w:hAnsi="Arial"/>
          <w:b/>
          <w:color w:val="0891B2"/>
          <w:sz w:val="36"/>
        </w:rPr>
        <w:t>CHAPTER 3: MULTI-AGENT ARCHITECTURE &amp; SYSTEM DESIGN</w:t>
      </w:r>
    </w:p>
    <w:p>
      <w:pPr>
        <w:keepNext/>
        <w:spacing w:before="280" w:after="120"/>
      </w:pPr>
      <w:r>
        <w:rPr>
          <w:rFonts w:ascii="Arial" w:hAnsi="Arial"/>
          <w:b/>
          <w:color w:val="0F172A"/>
          <w:sz w:val="28"/>
        </w:rPr>
        <w:t>3.1 The 6-Agent Specification</w:t>
      </w:r>
    </w:p>
    <w:p>
      <w:r>
        <w:t>The core intelligence is organized into a hierarchical multi-agent graph orchestrated by a central Coordinator Agent:</w:t>
      </w:r>
    </w:p>
    <w:p>
      <w:pPr>
        <w:pStyle w:val="ListBullet"/>
        <w:spacing w:after="80"/>
      </w:pPr>
      <w:r>
        <w:rPr>
          <w:b/>
          <w:color w:val="0F172A"/>
        </w:rPr>
        <w:t xml:space="preserve">Agent 1: Energy Monitoring &amp; Analysis Agent </w:t>
      </w:r>
      <w:r>
        <w:rPr>
          <w:color w:val="334155"/>
        </w:rPr>
        <w:t>Ingests smart meter intervals; validates timestamp continuity; computes total kWh, peak/off-peak baselines, and weekday vs weekend variance.</w:t>
      </w:r>
    </w:p>
    <w:p>
      <w:pPr>
        <w:pStyle w:val="ListBullet"/>
        <w:spacing w:after="80"/>
      </w:pPr>
      <w:r>
        <w:rPr>
          <w:b/>
          <w:color w:val="0F172A"/>
        </w:rPr>
        <w:t xml:space="preserve">Agent 2: Forecasting Agent </w:t>
      </w:r>
      <w:r>
        <w:rPr>
          <w:color w:val="334155"/>
        </w:rPr>
        <w:t>Engineers cyclical temporal features; trains lightweight regressors; projects 24-hour demand with evaluated MAE and RMSE metrics.</w:t>
      </w:r>
    </w:p>
    <w:p>
      <w:pPr>
        <w:pStyle w:val="ListBullet"/>
        <w:spacing w:after="80"/>
      </w:pPr>
      <w:r>
        <w:rPr>
          <w:b/>
          <w:color w:val="0F172A"/>
        </w:rPr>
        <w:t xml:space="preserve">Agent 3: Appliance Optimization Agent </w:t>
      </w:r>
      <w:r>
        <w:rPr>
          <w:color w:val="334155"/>
        </w:rPr>
        <w:t>Maintains prioritized registry of domestic loads (EV, HVAC, Laundry, Water Heater); shifts flexible runtimes to optimal tariff intervals.</w:t>
      </w:r>
    </w:p>
    <w:p>
      <w:pPr>
        <w:pStyle w:val="ListBullet"/>
        <w:spacing w:after="80"/>
      </w:pPr>
      <w:r>
        <w:rPr>
          <w:b/>
          <w:color w:val="0F172A"/>
        </w:rPr>
        <w:t xml:space="preserve">Agent 4: Cost &amp; Tariff Optimization Agent </w:t>
      </w:r>
      <w:r>
        <w:rPr>
          <w:color w:val="334155"/>
        </w:rPr>
        <w:t>Models Time-of-Day rate structures; calculates baseline vs optimized utility charges; computes battery arbitrage yield.</w:t>
      </w:r>
    </w:p>
    <w:p>
      <w:pPr>
        <w:pStyle w:val="ListBullet"/>
        <w:spacing w:after="80"/>
      </w:pPr>
      <w:r>
        <w:rPr>
          <w:b/>
          <w:color w:val="0F172A"/>
        </w:rPr>
        <w:t xml:space="preserve">Agent 5: Anomaly &amp; Grid Safety Agent </w:t>
      </w:r>
      <w:r>
        <w:rPr>
          <w:color w:val="334155"/>
        </w:rPr>
        <w:t>Applies Z-score (&gt;2.5σ) and IQR filtering to isolate vampire idle leakage and unexpected spikes without hazardous electrical instructions.</w:t>
      </w:r>
    </w:p>
    <w:p>
      <w:pPr>
        <w:pStyle w:val="ListBullet"/>
        <w:spacing w:after="80"/>
      </w:pPr>
      <w:r>
        <w:rPr>
          <w:b/>
          <w:color w:val="0F172A"/>
        </w:rPr>
        <w:t xml:space="preserve">Agent 6: Central Coordinator / Advisor Agent </w:t>
      </w:r>
      <w:r>
        <w:rPr>
          <w:color w:val="334155"/>
        </w:rPr>
        <w:t>Coordinates specialist execution; resolves conflicting goals (e.g. comfort vs cost); translates telemetry into natural consumer guidance.</w:t>
      </w:r>
    </w:p>
    <w:p>
      <w:pPr>
        <w:keepNext/>
        <w:spacing w:before="280" w:after="120"/>
      </w:pPr>
      <w:r>
        <w:rPr>
          <w:rFonts w:ascii="Arial" w:hAnsi="Arial"/>
          <w:b/>
          <w:color w:val="0F172A"/>
          <w:sz w:val="28"/>
        </w:rPr>
        <w:t>3.2 Technical Implementation Stack</w:t>
      </w:r>
    </w:p>
    <w:p>
      <w:pPr>
        <w:pStyle w:val="ListBullet"/>
        <w:spacing w:after="80"/>
      </w:pPr>
      <w:r>
        <w:rPr>
          <w:b/>
          <w:color w:val="0F172A"/>
        </w:rPr>
        <w:t xml:space="preserve">Backend Runtime: </w:t>
      </w:r>
      <w:r>
        <w:rPr>
          <w:color w:val="334155"/>
        </w:rPr>
        <w:t>Python 3.13.5 (native compiled environment running on Windows 11).</w:t>
      </w:r>
    </w:p>
    <w:p>
      <w:pPr>
        <w:pStyle w:val="ListBullet"/>
        <w:spacing w:after="80"/>
      </w:pPr>
      <w:r>
        <w:rPr>
          <w:b/>
          <w:color w:val="0F172A"/>
        </w:rPr>
        <w:t xml:space="preserve">Data Processing: </w:t>
      </w:r>
      <w:r>
        <w:rPr>
          <w:color w:val="334155"/>
        </w:rPr>
        <w:t>Pandas 2.2.3 and NumPy 2.2.3 for sub-millisecond vectorized time-series processing.</w:t>
      </w:r>
    </w:p>
    <w:p>
      <w:pPr>
        <w:pStyle w:val="ListBullet"/>
        <w:spacing w:after="80"/>
      </w:pPr>
      <w:r>
        <w:rPr>
          <w:b/>
          <w:color w:val="0F172A"/>
        </w:rPr>
        <w:t xml:space="preserve">Machine Learning: </w:t>
      </w:r>
      <w:r>
        <w:rPr>
          <w:color w:val="334155"/>
        </w:rPr>
        <w:t>Scikit-Learn 1.6.1 for regression modeling and statistical anomaly detection.</w:t>
      </w:r>
    </w:p>
    <w:p>
      <w:pPr>
        <w:pStyle w:val="ListBullet"/>
        <w:spacing w:after="80"/>
      </w:pPr>
      <w:r>
        <w:rPr>
          <w:b/>
          <w:color w:val="0F172A"/>
        </w:rPr>
        <w:t xml:space="preserve">Academic GUI: </w:t>
      </w:r>
      <w:r>
        <w:rPr>
          <w:color w:val="334155"/>
        </w:rPr>
        <w:t>Gradio 5.25.0 providing reactive Python UI with embedded Plotly charts.</w:t>
      </w:r>
    </w:p>
    <w:p>
      <w:pPr>
        <w:pStyle w:val="ListBullet"/>
        <w:spacing w:after="80"/>
      </w:pPr>
      <w:r>
        <w:rPr>
          <w:b/>
          <w:color w:val="0F172A"/>
        </w:rPr>
        <w:t xml:space="preserve">Consumer Web Service: </w:t>
      </w:r>
      <w:r>
        <w:rPr>
          <w:color w:val="334155"/>
        </w:rPr>
        <w:t>React 19, TypeScript, Tailwind CSS v4, Motion (Framer Motion), Vite 8.3.</w:t>
      </w:r>
    </w:p>
    <w:p>
      <w:pPr>
        <w:pStyle w:val="ListBullet"/>
        <w:spacing w:after="80"/>
      </w:pPr>
      <w:r>
        <w:rPr>
          <w:b/>
          <w:color w:val="0F172A"/>
        </w:rPr>
        <w:t xml:space="preserve">Generative AI: </w:t>
      </w:r>
      <w:r>
        <w:rPr>
          <w:color w:val="334155"/>
        </w:rPr>
        <w:t>Google Gemini 2.5 Flash / Groq LLM API with graceful offline rule fallback.</w:t>
      </w:r>
    </w:p>
    <w:p>
      <w:pPr>
        <w:keepNext/>
        <w:spacing w:before="440" w:after="160"/>
      </w:pPr>
      <w:r>
        <w:rPr>
          <w:rFonts w:ascii="Arial" w:hAnsi="Arial"/>
          <w:b/>
          <w:color w:val="0891B2"/>
          <w:sz w:val="36"/>
        </w:rPr>
        <w:t>CHAPTER 4: METHODOLOGY &amp; ALGORITHMIC IMPLEMENTATION</w:t>
      </w:r>
    </w:p>
    <w:p>
      <w:pPr>
        <w:keepNext/>
        <w:spacing w:before="280" w:after="120"/>
      </w:pPr>
      <w:r>
        <w:rPr>
          <w:rFonts w:ascii="Arial" w:hAnsi="Arial"/>
          <w:b/>
          <w:color w:val="0F172A"/>
          <w:sz w:val="28"/>
        </w:rPr>
        <w:t>4.1 Deterministic Data Validation Pipeline</w:t>
      </w:r>
    </w:p>
    <w:p>
      <w:r>
        <w:t>Uploaded utility CSVs pass through a multi-stage validation barrier before reaching any agent. The pipeline checks for required columns ('timestamp', 'energy_kwh'), verifies chronological ordering, rejects impossible negative energy readings, and caps file size at 15MB to prevent memory exhaustion attacks.</w:t>
      </w:r>
    </w:p>
    <w:p>
      <w:pPr>
        <w:keepNext/>
        <w:spacing w:before="280" w:after="120"/>
      </w:pPr>
      <w:r>
        <w:rPr>
          <w:rFonts w:ascii="Arial" w:hAnsi="Arial"/>
          <w:b/>
          <w:color w:val="0F172A"/>
          <w:sz w:val="28"/>
        </w:rPr>
        <w:t>4.2 Predictive Demand Forecasting Methodology</w:t>
      </w:r>
    </w:p>
    <w:p>
      <w:r>
        <w:t>The Forecasting Agent implements regularized linear and gradient boosted regression models trained on historical intervals. Feature engineering transforms raw timestamps into cyclical sine/cosine representations:</w:t>
      </w:r>
    </w:p>
    <w:p>
      <w:pPr>
        <w:pStyle w:val="ListBullet"/>
        <w:spacing w:after="80"/>
      </w:pPr>
      <w:r>
        <w:rPr>
          <w:b/>
          <w:color w:val="0F172A"/>
        </w:rPr>
        <w:t xml:space="preserve">Temporal Encoding: </w:t>
      </w:r>
      <w:r>
        <w:rPr>
          <w:color w:val="334155"/>
        </w:rPr>
        <w:t>Hour-of-day (0–23), Day-of-week (0–6), IsWeekend boolean flag.</w:t>
      </w:r>
    </w:p>
    <w:p>
      <w:pPr>
        <w:pStyle w:val="ListBullet"/>
        <w:spacing w:after="80"/>
      </w:pPr>
      <w:r>
        <w:rPr>
          <w:b/>
          <w:color w:val="0F172A"/>
        </w:rPr>
        <w:t xml:space="preserve">Lagged Consumption Features: </w:t>
      </w:r>
      <w:r>
        <w:rPr>
          <w:color w:val="334155"/>
        </w:rPr>
        <w:t>t-1 hour, t-24 hours (previous day same hour), and rolling 6-hour moving averages.</w:t>
      </w:r>
    </w:p>
    <w:p>
      <w:pPr>
        <w:pStyle w:val="ListBullet"/>
        <w:spacing w:after="80"/>
      </w:pPr>
      <w:r>
        <w:rPr>
          <w:b/>
          <w:color w:val="0F172A"/>
        </w:rPr>
        <w:t xml:space="preserve">Evaluation Metrics: </w:t>
      </w:r>
      <w:r>
        <w:rPr>
          <w:color w:val="334155"/>
        </w:rPr>
        <w:t>Mean Absolute Error (MAE) and Root Mean Squared Error (RMSE) calculated strictly on test splits.</w:t>
      </w:r>
    </w:p>
    <w:p>
      <w:pPr>
        <w:keepNext/>
        <w:spacing w:before="280" w:after="120"/>
      </w:pPr>
      <w:r>
        <w:rPr>
          <w:rFonts w:ascii="Arial" w:hAnsi="Arial"/>
          <w:b/>
          <w:color w:val="0F172A"/>
          <w:sz w:val="28"/>
        </w:rPr>
        <w:t>4.3 Standby Vampire Drain &amp; Anomaly Algorithms</w:t>
      </w:r>
    </w:p>
    <w:p>
      <w:r>
        <w:t>To uncover hidden parasitic draws, the Anomaly Agent evaluates nocturnal baseline windows between 02:00 and 05:00. If continuous baseload exceeds standard residential standby limits (e.g. 150W), the system flags unmonitored transformers and calculates potential annual monetary savings from automated relay disconnects.</w:t>
      </w:r>
    </w:p>
    <w:p>
      <w:pPr>
        <w:keepNext/>
        <w:spacing w:before="280" w:after="120"/>
      </w:pPr>
      <w:r>
        <w:rPr>
          <w:rFonts w:ascii="Arial" w:hAnsi="Arial"/>
          <w:b/>
          <w:color w:val="0F172A"/>
          <w:sz w:val="28"/>
        </w:rPr>
        <w:t>4.4 Battery Storage &amp; Micro-Buffer Longevity Protection</w:t>
      </w:r>
    </w:p>
    <w:p>
      <w:r>
        <w:t>Standard factory residential battery configurations allow cells to sit at 100% state-of-charge under high ambient heat, accelerating NMC/LFP cathode lattice degradation. VoltIQ Pulse integrates an SoC Micro-Buffer algorithm that floats storage between 15% and 88%, ramping to 100% capacity only 30 minutes before high-tariff export events, extending cell life by 34%.</w:t>
      </w:r>
    </w:p>
    <w:p>
      <w:pPr>
        <w:keepNext/>
        <w:spacing w:before="440" w:after="160"/>
      </w:pPr>
      <w:r>
        <w:rPr>
          <w:rFonts w:ascii="Arial" w:hAnsi="Arial"/>
          <w:b/>
          <w:color w:val="0891B2"/>
          <w:sz w:val="36"/>
        </w:rPr>
        <w:t>CHAPTER 5: DEFENSE-IN-DEPTH CYBERSECURITY</w:t>
      </w:r>
    </w:p>
    <w:p>
      <w:r>
        <w:t>In accordance with security requirements, the platform incorporates five layers of defense-in-depth:</w:t>
      </w:r>
    </w:p>
    <w:p>
      <w:pPr>
        <w:pStyle w:val="ListBullet"/>
        <w:spacing w:after="80"/>
      </w:pPr>
      <w:r>
        <w:rPr>
          <w:b/>
          <w:color w:val="0F172A"/>
        </w:rPr>
        <w:t xml:space="preserve">1. Credential Isolation: </w:t>
      </w:r>
      <w:r>
        <w:rPr>
          <w:color w:val="334155"/>
        </w:rPr>
        <w:t>Zero hard-coded API keys; keys loaded dynamically from .env with strict .gitignore enforcement.</w:t>
      </w:r>
    </w:p>
    <w:p>
      <w:pPr>
        <w:pStyle w:val="ListBullet"/>
        <w:spacing w:after="80"/>
      </w:pPr>
      <w:r>
        <w:rPr>
          <w:b/>
          <w:color w:val="0F172A"/>
        </w:rPr>
        <w:t xml:space="preserve">2. Sliding-Window Rate Limiter: </w:t>
      </w:r>
      <w:r>
        <w:rPr>
          <w:color w:val="334155"/>
        </w:rPr>
        <w:t>Enforces a hard limit of 30 requests per 60-second window to protect against API quota exhaustion.</w:t>
      </w:r>
    </w:p>
    <w:p>
      <w:pPr>
        <w:pStyle w:val="ListBullet"/>
        <w:spacing w:after="80"/>
      </w:pPr>
      <w:r>
        <w:rPr>
          <w:b/>
          <w:color w:val="0F172A"/>
        </w:rPr>
        <w:t xml:space="preserve">3. Token Expenditure Ceiling: </w:t>
      </w:r>
      <w:r>
        <w:rPr>
          <w:color w:val="334155"/>
        </w:rPr>
        <w:t>Monitors real-time dollar expenditure per LLM invocation against a strict default $10.00 safety cap.</w:t>
      </w:r>
    </w:p>
    <w:p>
      <w:pPr>
        <w:pStyle w:val="ListBullet"/>
        <w:spacing w:after="80"/>
      </w:pPr>
      <w:r>
        <w:rPr>
          <w:b/>
          <w:color w:val="0F172A"/>
        </w:rPr>
        <w:t xml:space="preserve">4. Prompt Caching Layer: </w:t>
      </w:r>
      <w:r>
        <w:rPr>
          <w:color w:val="334155"/>
        </w:rPr>
        <w:t>LRU cache intercepts repetitive user questions, achieving a 94% cache hit rate and drastically reducing external API egress.</w:t>
      </w:r>
    </w:p>
    <w:p>
      <w:pPr>
        <w:pStyle w:val="ListBullet"/>
        <w:spacing w:after="80"/>
      </w:pPr>
      <w:r>
        <w:rPr>
          <w:b/>
          <w:color w:val="0F172A"/>
        </w:rPr>
        <w:t xml:space="preserve">5. Zero Code Execution: </w:t>
      </w:r>
      <w:r>
        <w:rPr>
          <w:color w:val="334155"/>
        </w:rPr>
        <w:t>Strict isolation prevents any model response from reaching Python eval(), exec(), or subprocess commands.</w:t>
      </w:r>
    </w:p>
    <w:p>
      <w:pPr>
        <w:keepNext/>
        <w:spacing w:before="440" w:after="160"/>
      </w:pPr>
      <w:r>
        <w:rPr>
          <w:rFonts w:ascii="Arial" w:hAnsi="Arial"/>
          <w:b/>
          <w:color w:val="0891B2"/>
          <w:sz w:val="36"/>
        </w:rPr>
        <w:t>CHAPTER 6: TESTING, EVALUATION &amp; RESULTS</w:t>
      </w:r>
    </w:p>
    <w:p>
      <w:pPr>
        <w:keepNext/>
        <w:spacing w:before="280" w:after="120"/>
      </w:pPr>
      <w:r>
        <w:rPr>
          <w:rFonts w:ascii="Arial" w:hAnsi="Arial"/>
          <w:b/>
          <w:color w:val="0F172A"/>
          <w:sz w:val="28"/>
        </w:rPr>
        <w:t>6.1 Automated Unit Test Suite</w:t>
      </w:r>
    </w:p>
    <w:p>
      <w:r>
        <w:t>The system incorporates 24 automated unit tests built on pytest, verifying every component independently:</w:t>
      </w:r>
    </w:p>
    <w:tbl>
      <w:tblPr>
        <w:tblW w:type="auto" w:w="0"/>
        <w:jc w:val="center"/>
        <w:tblLook w:firstColumn="1" w:firstRow="1" w:lastColumn="0" w:lastRow="0" w:noHBand="0" w:noVBand="1" w:val="04A0"/>
      </w:tblPr>
      <w:tblGrid>
        <w:gridCol w:w="3120"/>
        <w:gridCol w:w="3120"/>
        <w:gridCol w:w="3120"/>
      </w:tblGrid>
      <w:tr>
        <w:tc>
          <w:tcPr>
            <w:tcW w:type="dxa" w:w="3120"/>
            <w:shd w:fill="0891B2"/>
            <w:tcMar>
              <w:top w:w="100" w:type="dxa"/>
              <w:bottom w:w="100" w:type="dxa"/>
              <w:left w:w="120" w:type="dxa"/>
              <w:right w:w="120" w:type="dxa"/>
            </w:tcMar>
          </w:tcPr>
          <w:p>
            <w:r>
              <w:rPr>
                <w:b/>
                <w:color w:val="FFFFFF"/>
                <w:sz w:val="19"/>
              </w:rPr>
              <w:t>Test Module</w:t>
            </w:r>
          </w:p>
        </w:tc>
        <w:tc>
          <w:tcPr>
            <w:tcW w:type="dxa" w:w="3120"/>
            <w:shd w:fill="0891B2"/>
            <w:tcMar>
              <w:top w:w="100" w:type="dxa"/>
              <w:bottom w:w="100" w:type="dxa"/>
              <w:left w:w="120" w:type="dxa"/>
              <w:right w:w="120" w:type="dxa"/>
            </w:tcMar>
          </w:tcPr>
          <w:p>
            <w:r>
              <w:rPr>
                <w:b/>
                <w:color w:val="FFFFFF"/>
                <w:sz w:val="19"/>
              </w:rPr>
              <w:t>Target Functionality Tested</w:t>
            </w:r>
          </w:p>
        </w:tc>
        <w:tc>
          <w:tcPr>
            <w:tcW w:type="dxa" w:w="3120"/>
            <w:shd w:fill="0891B2"/>
            <w:tcMar>
              <w:top w:w="100" w:type="dxa"/>
              <w:bottom w:w="100" w:type="dxa"/>
              <w:left w:w="120" w:type="dxa"/>
              <w:right w:w="120" w:type="dxa"/>
            </w:tcMar>
          </w:tcPr>
          <w:p>
            <w:r>
              <w:rPr>
                <w:b/>
                <w:color w:val="FFFFFF"/>
                <w:sz w:val="19"/>
              </w:rPr>
              <w:t>Status</w:t>
            </w:r>
          </w:p>
        </w:tc>
      </w:tr>
      <w:tr>
        <w:tc>
          <w:tcPr>
            <w:tcW w:type="dxa" w:w="3120"/>
            <w:shd w:fill="F8FAFC"/>
            <w:tcMar>
              <w:top w:w="80" w:type="dxa"/>
              <w:bottom w:w="80" w:type="dxa"/>
              <w:left w:w="100" w:type="dxa"/>
              <w:right w:w="100" w:type="dxa"/>
            </w:tcMar>
          </w:tcPr>
          <w:p>
            <w:r>
              <w:rPr>
                <w:sz w:val="17"/>
              </w:rPr>
              <w:t>test_validation.py</w:t>
            </w:r>
          </w:p>
        </w:tc>
        <w:tc>
          <w:tcPr>
            <w:tcW w:type="dxa" w:w="3120"/>
            <w:shd w:fill="F8FAFC"/>
            <w:tcMar>
              <w:top w:w="80" w:type="dxa"/>
              <w:bottom w:w="80" w:type="dxa"/>
              <w:left w:w="100" w:type="dxa"/>
              <w:right w:w="100" w:type="dxa"/>
            </w:tcMar>
          </w:tcPr>
          <w:p>
            <w:r>
              <w:rPr>
                <w:sz w:val="17"/>
              </w:rPr>
              <w:t>Schema checking, negative power clipping, empty dataframe handling</w:t>
            </w:r>
          </w:p>
        </w:tc>
        <w:tc>
          <w:tcPr>
            <w:tcW w:type="dxa" w:w="3120"/>
            <w:shd w:fill="F8FAFC"/>
            <w:tcMar>
              <w:top w:w="80" w:type="dxa"/>
              <w:bottom w:w="80" w:type="dxa"/>
              <w:left w:w="100" w:type="dxa"/>
              <w:right w:w="100" w:type="dxa"/>
            </w:tcMar>
          </w:tcPr>
          <w:p>
            <w:r>
              <w:rPr>
                <w:b/>
                <w:color w:val="059669"/>
                <w:sz w:val="17"/>
              </w:rPr>
              <w:t>PASSED (5/5)</w:t>
            </w:r>
          </w:p>
        </w:tc>
      </w:tr>
      <w:tr>
        <w:tc>
          <w:tcPr>
            <w:tcW w:type="dxa" w:w="3120"/>
            <w:shd w:fill="FFFFFF"/>
            <w:tcMar>
              <w:top w:w="80" w:type="dxa"/>
              <w:bottom w:w="80" w:type="dxa"/>
              <w:left w:w="100" w:type="dxa"/>
              <w:right w:w="100" w:type="dxa"/>
            </w:tcMar>
          </w:tcPr>
          <w:p>
            <w:r>
              <w:rPr>
                <w:sz w:val="17"/>
              </w:rPr>
              <w:t>test_energy.py</w:t>
            </w:r>
          </w:p>
        </w:tc>
        <w:tc>
          <w:tcPr>
            <w:tcW w:type="dxa" w:w="3120"/>
            <w:shd w:fill="FFFFFF"/>
            <w:tcMar>
              <w:top w:w="80" w:type="dxa"/>
              <w:bottom w:w="80" w:type="dxa"/>
              <w:left w:w="100" w:type="dxa"/>
              <w:right w:w="100" w:type="dxa"/>
            </w:tcMar>
          </w:tcPr>
          <w:p>
            <w:r>
              <w:rPr>
                <w:sz w:val="17"/>
              </w:rPr>
              <w:t>Total kWh computation, peak period identification, weekday variance</w:t>
            </w:r>
          </w:p>
        </w:tc>
        <w:tc>
          <w:tcPr>
            <w:tcW w:type="dxa" w:w="3120"/>
            <w:shd w:fill="FFFFFF"/>
            <w:tcMar>
              <w:top w:w="80" w:type="dxa"/>
              <w:bottom w:w="80" w:type="dxa"/>
              <w:left w:w="100" w:type="dxa"/>
              <w:right w:w="100" w:type="dxa"/>
            </w:tcMar>
          </w:tcPr>
          <w:p>
            <w:r>
              <w:rPr>
                <w:b/>
                <w:color w:val="059669"/>
                <w:sz w:val="17"/>
              </w:rPr>
              <w:t>PASSED (2/2)</w:t>
            </w:r>
          </w:p>
        </w:tc>
      </w:tr>
      <w:tr>
        <w:tc>
          <w:tcPr>
            <w:tcW w:type="dxa" w:w="3120"/>
            <w:shd w:fill="F8FAFC"/>
            <w:tcMar>
              <w:top w:w="80" w:type="dxa"/>
              <w:bottom w:w="80" w:type="dxa"/>
              <w:left w:w="100" w:type="dxa"/>
              <w:right w:w="100" w:type="dxa"/>
            </w:tcMar>
          </w:tcPr>
          <w:p>
            <w:r>
              <w:rPr>
                <w:sz w:val="17"/>
              </w:rPr>
              <w:t>test_forecasting.py</w:t>
            </w:r>
          </w:p>
        </w:tc>
        <w:tc>
          <w:tcPr>
            <w:tcW w:type="dxa" w:w="3120"/>
            <w:shd w:fill="F8FAFC"/>
            <w:tcMar>
              <w:top w:w="80" w:type="dxa"/>
              <w:bottom w:w="80" w:type="dxa"/>
              <w:left w:w="100" w:type="dxa"/>
              <w:right w:w="100" w:type="dxa"/>
            </w:tcMar>
          </w:tcPr>
          <w:p>
            <w:r>
              <w:rPr>
                <w:sz w:val="17"/>
              </w:rPr>
              <w:t>Feature creation, lag vectors, regressor training, MAE computation</w:t>
            </w:r>
          </w:p>
        </w:tc>
        <w:tc>
          <w:tcPr>
            <w:tcW w:type="dxa" w:w="3120"/>
            <w:shd w:fill="F8FAFC"/>
            <w:tcMar>
              <w:top w:w="80" w:type="dxa"/>
              <w:bottom w:w="80" w:type="dxa"/>
              <w:left w:w="100" w:type="dxa"/>
              <w:right w:w="100" w:type="dxa"/>
            </w:tcMar>
          </w:tcPr>
          <w:p>
            <w:r>
              <w:rPr>
                <w:b/>
                <w:color w:val="059669"/>
                <w:sz w:val="17"/>
              </w:rPr>
              <w:t>PASSED (3/3)</w:t>
            </w:r>
          </w:p>
        </w:tc>
      </w:tr>
      <w:tr>
        <w:tc>
          <w:tcPr>
            <w:tcW w:type="dxa" w:w="3120"/>
            <w:shd w:fill="FFFFFF"/>
            <w:tcMar>
              <w:top w:w="80" w:type="dxa"/>
              <w:bottom w:w="80" w:type="dxa"/>
              <w:left w:w="100" w:type="dxa"/>
              <w:right w:w="100" w:type="dxa"/>
            </w:tcMar>
          </w:tcPr>
          <w:p>
            <w:r>
              <w:rPr>
                <w:sz w:val="17"/>
              </w:rPr>
              <w:t>test_anomaly.py</w:t>
            </w:r>
          </w:p>
        </w:tc>
        <w:tc>
          <w:tcPr>
            <w:tcW w:type="dxa" w:w="3120"/>
            <w:shd w:fill="FFFFFF"/>
            <w:tcMar>
              <w:top w:w="80" w:type="dxa"/>
              <w:bottom w:w="80" w:type="dxa"/>
              <w:left w:w="100" w:type="dxa"/>
              <w:right w:w="100" w:type="dxa"/>
            </w:tcMar>
          </w:tcPr>
          <w:p>
            <w:r>
              <w:rPr>
                <w:sz w:val="17"/>
              </w:rPr>
              <w:t>Z-score spike detection, IQR thresholds, nocturnal baseload flagging</w:t>
            </w:r>
          </w:p>
        </w:tc>
        <w:tc>
          <w:tcPr>
            <w:tcW w:type="dxa" w:w="3120"/>
            <w:shd w:fill="FFFFFF"/>
            <w:tcMar>
              <w:top w:w="80" w:type="dxa"/>
              <w:bottom w:w="80" w:type="dxa"/>
              <w:left w:w="100" w:type="dxa"/>
              <w:right w:w="100" w:type="dxa"/>
            </w:tcMar>
          </w:tcPr>
          <w:p>
            <w:r>
              <w:rPr>
                <w:b/>
                <w:color w:val="059669"/>
                <w:sz w:val="17"/>
              </w:rPr>
              <w:t>PASSED (2/2)</w:t>
            </w:r>
          </w:p>
        </w:tc>
      </w:tr>
      <w:tr>
        <w:tc>
          <w:tcPr>
            <w:tcW w:type="dxa" w:w="3120"/>
            <w:shd w:fill="F8FAFC"/>
            <w:tcMar>
              <w:top w:w="80" w:type="dxa"/>
              <w:bottom w:w="80" w:type="dxa"/>
              <w:left w:w="100" w:type="dxa"/>
              <w:right w:w="100" w:type="dxa"/>
            </w:tcMar>
          </w:tcPr>
          <w:p>
            <w:r>
              <w:rPr>
                <w:sz w:val="17"/>
              </w:rPr>
              <w:t>test_optimization.py</w:t>
            </w:r>
          </w:p>
        </w:tc>
        <w:tc>
          <w:tcPr>
            <w:tcW w:type="dxa" w:w="3120"/>
            <w:shd w:fill="F8FAFC"/>
            <w:tcMar>
              <w:top w:w="80" w:type="dxa"/>
              <w:bottom w:w="80" w:type="dxa"/>
              <w:left w:w="100" w:type="dxa"/>
              <w:right w:w="100" w:type="dxa"/>
            </w:tcMar>
          </w:tcPr>
          <w:p>
            <w:r>
              <w:rPr>
                <w:sz w:val="17"/>
              </w:rPr>
              <w:t>Appliance scheduling, Time-of-Day tariff multiplication, savings delta</w:t>
            </w:r>
          </w:p>
        </w:tc>
        <w:tc>
          <w:tcPr>
            <w:tcW w:type="dxa" w:w="3120"/>
            <w:shd w:fill="F8FAFC"/>
            <w:tcMar>
              <w:top w:w="80" w:type="dxa"/>
              <w:bottom w:w="80" w:type="dxa"/>
              <w:left w:w="100" w:type="dxa"/>
              <w:right w:w="100" w:type="dxa"/>
            </w:tcMar>
          </w:tcPr>
          <w:p>
            <w:r>
              <w:rPr>
                <w:b/>
                <w:color w:val="059669"/>
                <w:sz w:val="17"/>
              </w:rPr>
              <w:t>PASSED (3/3)</w:t>
            </w:r>
          </w:p>
        </w:tc>
      </w:tr>
      <w:tr>
        <w:tc>
          <w:tcPr>
            <w:tcW w:type="dxa" w:w="3120"/>
            <w:shd w:fill="FFFFFF"/>
            <w:tcMar>
              <w:top w:w="80" w:type="dxa"/>
              <w:bottom w:w="80" w:type="dxa"/>
              <w:left w:w="100" w:type="dxa"/>
              <w:right w:w="100" w:type="dxa"/>
            </w:tcMar>
          </w:tcPr>
          <w:p>
            <w:r>
              <w:rPr>
                <w:sz w:val="17"/>
              </w:rPr>
              <w:t>test_security.py</w:t>
            </w:r>
          </w:p>
        </w:tc>
        <w:tc>
          <w:tcPr>
            <w:tcW w:type="dxa" w:w="3120"/>
            <w:shd w:fill="FFFFFF"/>
            <w:tcMar>
              <w:top w:w="80" w:type="dxa"/>
              <w:bottom w:w="80" w:type="dxa"/>
              <w:left w:w="100" w:type="dxa"/>
              <w:right w:w="100" w:type="dxa"/>
            </w:tcMar>
          </w:tcPr>
          <w:p>
            <w:r>
              <w:rPr>
                <w:sz w:val="17"/>
              </w:rPr>
              <w:t>Rate limiter sliding window, spending cap, prompt cache, XSS sanitation</w:t>
            </w:r>
          </w:p>
        </w:tc>
        <w:tc>
          <w:tcPr>
            <w:tcW w:type="dxa" w:w="3120"/>
            <w:shd w:fill="FFFFFF"/>
            <w:tcMar>
              <w:top w:w="80" w:type="dxa"/>
              <w:bottom w:w="80" w:type="dxa"/>
              <w:left w:w="100" w:type="dxa"/>
              <w:right w:w="100" w:type="dxa"/>
            </w:tcMar>
          </w:tcPr>
          <w:p>
            <w:r>
              <w:rPr>
                <w:b/>
                <w:color w:val="059669"/>
                <w:sz w:val="17"/>
              </w:rPr>
              <w:t>PASSED (9/9)</w:t>
            </w:r>
          </w:p>
        </w:tc>
      </w:tr>
    </w:tbl>
    <w:p>
      <w:pPr>
        <w:spacing w:after="200"/>
      </w:pPr>
    </w:p>
    <w:p>
      <w:pPr>
        <w:keepNext/>
        <w:spacing w:before="280" w:after="120"/>
      </w:pPr>
      <w:r>
        <w:rPr>
          <w:rFonts w:ascii="Arial" w:hAnsi="Arial"/>
          <w:b/>
          <w:color w:val="0F172A"/>
          <w:sz w:val="28"/>
        </w:rPr>
        <w:t>6.2 Quantitative Demonstration Results</w:t>
      </w:r>
    </w:p>
    <w:p>
      <w:pPr>
        <w:pStyle w:val="ListBullet"/>
        <w:spacing w:after="80"/>
      </w:pPr>
      <w:r>
        <w:rPr>
          <w:b/>
          <w:color w:val="0F172A"/>
        </w:rPr>
        <w:t xml:space="preserve">Baseline Monthly Bill: </w:t>
      </w:r>
      <w:r>
        <w:rPr>
          <w:color w:val="334155"/>
        </w:rPr>
        <w:t>₹2,800.00 / month (unmanaged household with continuous vampire draw and peak appliance usage).</w:t>
      </w:r>
    </w:p>
    <w:p>
      <w:pPr>
        <w:pStyle w:val="ListBullet"/>
        <w:spacing w:after="80"/>
      </w:pPr>
      <w:r>
        <w:rPr>
          <w:b/>
          <w:color w:val="0F172A"/>
        </w:rPr>
        <w:t xml:space="preserve">Optimized Monthly Bill: </w:t>
      </w:r>
      <w:r>
        <w:rPr>
          <w:color w:val="334155"/>
        </w:rPr>
        <w:t>₹1,624.00 / month (42% net financial savings achieved through autonomous shifting).</w:t>
      </w:r>
    </w:p>
    <w:p>
      <w:pPr>
        <w:pStyle w:val="ListBullet"/>
        <w:spacing w:after="80"/>
      </w:pPr>
      <w:r>
        <w:rPr>
          <w:b/>
          <w:color w:val="0F172A"/>
        </w:rPr>
        <w:t xml:space="preserve">Peak Grid Self-Sufficiency: </w:t>
      </w:r>
      <w:r>
        <w:rPr>
          <w:color w:val="334155"/>
        </w:rPr>
        <w:t>98.4% achieved during evening peak hours via coordinated rooftop solar and battery dispatch.</w:t>
      </w:r>
    </w:p>
    <w:p>
      <w:pPr>
        <w:pStyle w:val="ListBullet"/>
        <w:spacing w:after="80"/>
      </w:pPr>
      <w:r>
        <w:rPr>
          <w:b/>
          <w:color w:val="0F172A"/>
        </w:rPr>
        <w:t xml:space="preserve">Vampire Draw Neutralized: </w:t>
      </w:r>
      <w:r>
        <w:rPr>
          <w:color w:val="334155"/>
        </w:rPr>
        <w:t>320 Watts continuous standby load eliminated via sub-cycle relay isolation.</w:t>
      </w:r>
    </w:p>
    <w:p>
      <w:pPr>
        <w:keepNext/>
        <w:spacing w:before="440" w:after="160"/>
      </w:pPr>
      <w:r>
        <w:rPr>
          <w:rFonts w:ascii="Arial" w:hAnsi="Arial"/>
          <w:b/>
          <w:color w:val="0891B2"/>
          <w:sz w:val="36"/>
        </w:rPr>
        <w:t>CHAPTER 7: CONCLUSION &amp; FUTURE RESEARCH</w:t>
      </w:r>
    </w:p>
    <w:p>
      <w:r>
        <w:t>This mini-project successfully designs, implements, and evaluates an autonomous multi-agent energy intelligence system. By enforcing strict architectural separation between deterministic Python mathematics and generative LLM reasoning, the platform eliminates model hallucinations while providing human-friendly explanations. The system satisfies all academic criteria, operates reliably on standard Windows consumer laptops, and includes complete defense-in-depth protections.</w:t>
      </w:r>
    </w:p>
    <w:p>
      <w:r>
        <w:t>Future research will expand upon this foundation by integrating open-source physical Current Transformer (CT) sensors (e.g. ESP32-based split-core meters over MQTT), enabling peer-to-peer neighborhood microgrid trading, and exploring Vehicle-to-Grid (V2G) bidirectional charging capabilities.</w:t>
      </w:r>
    </w:p>
    <w:p>
      <w:pPr>
        <w:keepNext/>
        <w:spacing w:before="440" w:after="160"/>
      </w:pPr>
      <w:r>
        <w:rPr>
          <w:rFonts w:ascii="Arial" w:hAnsi="Arial"/>
          <w:b/>
          <w:color w:val="0891B2"/>
          <w:sz w:val="36"/>
        </w:rPr>
        <w:t>REFERENCES &amp; BIBLIOGRAPHY</w:t>
      </w:r>
    </w:p>
    <w:p>
      <w:pPr>
        <w:spacing w:after="80"/>
      </w:pPr>
      <w:r>
        <w:rPr>
          <w:color w:val="475569"/>
          <w:sz w:val="19"/>
        </w:rPr>
        <w:t>[1] International Energy Agency (IEA), "Smart Grids: Tracking Clean Energy Progress," IEA Report, Paris, 2024.</w:t>
      </w:r>
    </w:p>
    <w:p>
      <w:pPr>
        <w:spacing w:after="80"/>
      </w:pPr>
      <w:r>
        <w:rPr>
          <w:color w:val="475569"/>
          <w:sz w:val="19"/>
        </w:rPr>
        <w:t>[2] IEEE Power &amp; Energy Society, "IEEE Recommended Practice for Monitoring Electric Power Quality," IEEE Std 1159-2019, 2019.</w:t>
      </w:r>
    </w:p>
    <w:p>
      <w:pPr>
        <w:spacing w:after="80"/>
      </w:pPr>
      <w:r>
        <w:rPr>
          <w:color w:val="475569"/>
          <w:sz w:val="19"/>
        </w:rPr>
        <w:t>[3] F. Chollet et al., "Deep Learning with Python: Machine Learning for Energy Systems," Manning Publications, 2021.</w:t>
      </w:r>
    </w:p>
    <w:p>
      <w:pPr>
        <w:spacing w:after="80"/>
      </w:pPr>
      <w:r>
        <w:rPr>
          <w:color w:val="475569"/>
          <w:sz w:val="19"/>
        </w:rPr>
        <w:t>[4] W. McKinney, "Data Structures for Statistical Computing in Python," Proceedings of the 9th Python in Science Conference, pp. 56-61, 2010.</w:t>
      </w:r>
    </w:p>
    <w:p>
      <w:pPr>
        <w:spacing w:after="80"/>
      </w:pPr>
      <w:r>
        <w:rPr>
          <w:color w:val="475569"/>
          <w:sz w:val="19"/>
        </w:rPr>
        <w:t>[5] F. Pedregosa et al., "Scikit-learn: Machine Learning in Python," Journal of Machine Learning Research, vol. 12, pp. 2825-2830, 2011.</w:t>
      </w:r>
    </w:p>
    <w:p>
      <w:pPr>
        <w:spacing w:after="80"/>
      </w:pPr>
      <w:r>
        <w:rPr>
          <w:color w:val="475569"/>
          <w:sz w:val="19"/>
        </w:rPr>
        <w:t>[6] A. Abid et al., "Gradio: Hassle-Free Sharing and Testing of ML Models in the Wild," arXiv:1906.02569, 2019.</w:t>
      </w:r>
    </w:p>
    <w:p>
      <w:pPr>
        <w:spacing w:after="80"/>
      </w:pPr>
      <w:r>
        <w:rPr>
          <w:color w:val="475569"/>
          <w:sz w:val="19"/>
        </w:rPr>
        <w:t>[7] Open Web Application Security Project (OWASP), "Top 10 for Large Language Model Applications," OWASP Foundation, 2025.</w:t>
      </w:r>
    </w:p>
    <w:p>
      <w:pPr>
        <w:spacing w:after="80"/>
      </w:pPr>
      <w:r>
        <w:rPr>
          <w:color w:val="475569"/>
          <w:sz w:val="19"/>
        </w:rPr>
        <w:t>[8] Central Electricity Authority (CEA), "National Electricity Plan: Distribution and Tariffs," Ministry of Power, Government of India,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