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Dataset Selection Justification</w:t>
      </w:r>
    </w:p>
    <w:p>
      <w:pPr>
        <w:spacing w:after="200"/>
      </w:pPr>
      <w:r>
        <w:rPr>
          <w:sz w:val="20"/>
          <w:szCs w:val="20"/>
        </w:rPr>
        <w:t xml:space="preserve">This project uses NSL-KDD and CICIDS2017 as its two benchmark datasets. This selection is deliberate rather than a default choice: the two datasets are complementary in age, feature structure, and attack diversity, which allows the study to directly test cross-dataset robustness — one of the core research gaps identified in the literature review (Thakkar &amp; Lohiya, 2021).</w:t>
      </w:r>
    </w:p>
    <w:p>
      <w:pPr>
        <w:pStyle w:val="Heading2"/>
        <w:spacing w:after="150" w:before="100"/>
      </w:pPr>
      <w:r>
        <w:t xml:space="preserve">Comparison of Public IDS Benchmark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500"/>
        <w:gridCol w:w="3160"/>
        <w:gridCol w:w="2200"/>
      </w:tblGrid>
      <w:tr>
        <w:trPr>
          <w:tblHeader/>
        </w:trPr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9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16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Attack Coverage</w:t>
            </w:r>
          </w:p>
        </w:tc>
        <w:tc>
          <w:tcPr>
            <w:tcW w:type="dxa" w:w="2200"/>
            <w:shd w:fill="1F3864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Limitation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KDD Cup '99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1999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~4.9M records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DoS, Probe, R2L, U2R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Outdated traffic patterns; heavy redundancy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8"/>
                <w:szCs w:val="18"/>
              </w:rPr>
              <w:t xml:space="preserve">NSL-KDD (selected)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148,517 records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DoS, Probe, R2L, U2R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reflects late-1990s traffic structure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UNSW-NB15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~2.5M records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attack types (Fuzzers, DoS, Exploits, etc.)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Partly synthetic traffic; smaller benchmarking base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18"/>
                <w:szCs w:val="18"/>
              </w:rPr>
              <w:t xml:space="preserve">CICIDS2017 (selected)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~2.8M records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attack categories, 80 features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Known label-inconsistency/class-imbalance issues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CSE-CIC-IDS2018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large (100GB+)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Similar to CICIDS2017, larger scale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Impractical compute/time for a single dissertation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Bot-IoT / TON_IoT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2019-2020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Varies</w:t>
            </w:r>
          </w:p>
        </w:tc>
        <w:tc>
          <w:tcPr>
            <w:tcW w:type="dxa" w:w="31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IoT-specific attacks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Domain-specific (IoT), not general enterprise traffic</w:t>
            </w:r>
          </w:p>
        </w:tc>
      </w:tr>
    </w:tbl>
    <w:p>
      <w:pPr>
        <w:pStyle w:val="Heading2"/>
        <w:spacing w:after="150" w:before="250"/>
      </w:pPr>
      <w:r>
        <w:t xml:space="preserve">Rationale for the Selected Pair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Complementary by design: NSL-KDD is a refined, widely-benchmarked classic dataset (Tavallaee et al., 2009); CICIDS2017 is a modern, high-dimensional dataset with contemporary attack traffic (Sharafaldin et al., 2018). Testing across both spans roughly two decades of network traffic evolution.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Comparability with prior work: NSL-KDD remains one of the most cited IDS benchmarks, enabling direct comparison of this project's results against a large body of existing literature.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Practical feasibility: Alternatives such as CSE-CIC-IDS2018 (100GB+) or UNSW-NB15 (synthetic attack-tool traffic) introduce compute or methodological constraints not well suited to a 16-week, Google Colab-based project; UNSW-NB15 and KDD Cup '99 are retained as documented backup datasets in the project risk register.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Directly serves the stated research gap: cross-dataset generalisability is one of this project's three named gaps in current knowledge, making the two-dataset design methodologically necessary rather than incidental.</w:t>
      </w:r>
    </w:p>
    <w:p>
      <w:pPr>
        <w:pStyle w:val="Heading2"/>
        <w:spacing w:after="150" w:before="250"/>
      </w:pPr>
      <w:r>
        <w:t xml:space="preserve">References</w:t>
      </w:r>
    </w:p>
    <w:p>
      <w:pPr>
        <w:spacing w:after="80"/>
        <w:ind w:left="360" w:hanging="360"/>
      </w:pPr>
      <w:r>
        <w:rPr>
          <w:i/>
          <w:iCs/>
          <w:sz w:val="18"/>
          <w:szCs w:val="18"/>
        </w:rPr>
        <w:t xml:space="preserve">Moustafa, N., &amp; Slay, J. (2015). UNSW-NB15: A comprehensive data set for network intrusion detection systems. In Military Communications and Information Systems Conference (MilCIS).</w:t>
      </w:r>
    </w:p>
    <w:p>
      <w:pPr>
        <w:spacing w:after="80"/>
        <w:ind w:left="360" w:hanging="360"/>
      </w:pPr>
      <w:r>
        <w:rPr>
          <w:i/>
          <w:iCs/>
          <w:sz w:val="18"/>
          <w:szCs w:val="18"/>
        </w:rPr>
        <w:t xml:space="preserve">Sharafaldin, I., Lashkari, A. H., &amp; Ghorbani, A. A. (2018). Toward generating a new intrusion detection dataset and intrusion traffic characterization. In Proceedings of the International Conference on Information Systems Security and Privacy (ICISSP), 108–116.</w:t>
      </w:r>
    </w:p>
    <w:p>
      <w:pPr>
        <w:spacing w:after="80"/>
        <w:ind w:left="360" w:hanging="360"/>
      </w:pPr>
      <w:r>
        <w:rPr>
          <w:i/>
          <w:iCs/>
          <w:sz w:val="18"/>
          <w:szCs w:val="18"/>
        </w:rPr>
        <w:t xml:space="preserve">Tavallaee, M., Bagheri, E., Lu, W., &amp; Ghorbani, A. A. (2009). A detailed analysis of the KDD CUP 99 data set. In IEEE Symposium on Computational Intelligence for Security and Defense Applications (CISDA).</w:t>
      </w:r>
    </w:p>
    <w:p>
      <w:pPr>
        <w:spacing w:after="80"/>
        <w:ind w:left="360" w:hanging="360"/>
      </w:pPr>
      <w:r>
        <w:rPr>
          <w:i/>
          <w:iCs/>
          <w:sz w:val="18"/>
          <w:szCs w:val="18"/>
        </w:rPr>
        <w:t xml:space="preserve">Thakkar, A., &amp; Lohiya, R. (2021). A review of the advancement in intrusion detection datasets. Procedia Computer Science, 167, 636–645.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2026-08-14T07:52:20.706Z</dcterms:created>
  <dcterms:modified xsi:type="dcterms:W3CDTF">2026-08-14T07:52:20.722Z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