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480"/>
        <w:rPr>
          <w:rFonts w:eastAsia="微软雅黑" w:cs="Times New Roman"/>
          <w:sz w:val="21"/>
          <w:szCs w:val="21"/>
        </w:rPr>
      </w:pPr>
      <w:bookmarkStart w:id="7" w:name="_GoBack"/>
      <w:bookmarkEnd w:id="7"/>
      <w:bookmarkStart w:id="0" w:name="OLE_LINK2"/>
      <w:r>
        <w:rPr>
          <w:rFonts w:eastAsia="微软雅黑" w:cs="Times New Roman"/>
          <w:sz w:val="21"/>
          <w:szCs w:val="21"/>
        </w:rPr>
        <w:t>Xin Zhang, Ruiping Wu, Qinglian Liu, Lei Zhou*</w:t>
      </w:r>
    </w:p>
    <w:p>
      <w:pPr>
        <w:ind w:right="480"/>
        <w:rPr>
          <w:rFonts w:eastAsia="微软雅黑" w:cs="Times New Roman"/>
          <w:sz w:val="21"/>
          <w:szCs w:val="21"/>
        </w:rPr>
      </w:pPr>
      <w:r>
        <w:rPr>
          <w:rFonts w:eastAsia="微软雅黑" w:cs="Times New Roman"/>
          <w:sz w:val="21"/>
          <w:szCs w:val="21"/>
        </w:rPr>
        <w:t>Institute of Molecular Physiology, Shenzhen Bay Laboratory, Shenzhen, Guangdong Province, China</w:t>
      </w:r>
    </w:p>
    <w:p>
      <w:pPr>
        <w:snapToGrid w:val="0"/>
        <w:spacing w:before="60" w:after="60"/>
        <w:ind w:right="480"/>
        <w:rPr>
          <w:rFonts w:eastAsia="微软雅黑" w:cs="Times New Roman"/>
          <w:sz w:val="21"/>
          <w:szCs w:val="21"/>
        </w:rPr>
      </w:pPr>
      <w:r>
        <w:rPr>
          <w:rFonts w:eastAsia="微软雅黑" w:cs="Times New Roman"/>
          <w:sz w:val="21"/>
          <w:szCs w:val="21"/>
        </w:rPr>
        <w:t>*Correspondence to: Lei Zhou，email: leizhou@szbl.ac.cn; ORCID ID: 0000-0002-3838-1836</w:t>
      </w:r>
    </w:p>
    <w:p>
      <w:pPr>
        <w:pStyle w:val="2"/>
        <w:rPr>
          <w:sz w:val="28"/>
          <w:szCs w:val="28"/>
        </w:rPr>
      </w:pPr>
      <w:r>
        <w:rPr>
          <w:sz w:val="28"/>
          <w:szCs w:val="28"/>
        </w:rPr>
        <w:t>ABSTRACT</w:t>
      </w:r>
    </w:p>
    <w:p>
      <w:pPr>
        <w:ind w:right="480" w:firstLine="420" w:firstLineChars="200"/>
        <w:rPr>
          <w:rFonts w:eastAsia="微软雅黑" w:cs="Times New Roman"/>
          <w:sz w:val="21"/>
          <w:szCs w:val="21"/>
        </w:rPr>
      </w:pPr>
      <w:r>
        <w:rPr>
          <w:rFonts w:eastAsia="微软雅黑" w:cs="Times New Roman"/>
          <w:sz w:val="21"/>
          <w:szCs w:val="21"/>
        </w:rPr>
        <w:t xml:space="preserve">Antibodies that recognize the spike protein of SARS-COV-2, especially the neutralizing antibodies, carry great hope in the treatment and final elimination of COVID-19. Driven by a synchronized global effort, thousands of antibodies against the spike protein have been identified during the past two years. Among them, the corresponding structural information for hundreds of these antibodies became available and thus provided an excellent opportunity for the theoretical investigation to catch up. We chose MM/PBSA, an efficient approach for estimating the binding free energy between the antibodies and the RBD domain of SARS-COV-2 spike proteins. We discovered that adding explicitly-treated water molecules to the interface between RBD and antibody effectively improves the results. These interfacial water molecules, together with surface and internal water molecules, behave drastically from bulk water and exert peculiar impacts on protein dynamics and energy. Our results demonstrate the importance of these structural water molecules and provide an effective treatment for more accurate binding free energy calculations. </w:t>
      </w:r>
    </w:p>
    <w:p>
      <w:pPr>
        <w:ind w:right="480"/>
        <w:rPr>
          <w:rFonts w:cs="Times New Roman"/>
          <w:b/>
          <w:bCs/>
        </w:rPr>
      </w:pPr>
      <w:r>
        <w:rPr>
          <w:rFonts w:cs="Times New Roman"/>
          <w:b/>
          <w:bCs/>
        </w:rPr>
        <w:t>Keywords</w:t>
      </w:r>
    </w:p>
    <w:p>
      <w:pPr>
        <w:ind w:right="480"/>
        <w:rPr>
          <w:rFonts w:cs="Times New Roman"/>
          <w:b/>
          <w:bCs/>
        </w:rPr>
      </w:pPr>
    </w:p>
    <w:p>
      <w:pPr>
        <w:pStyle w:val="2"/>
        <w:rPr>
          <w:sz w:val="28"/>
          <w:szCs w:val="28"/>
        </w:rPr>
      </w:pPr>
      <w:r>
        <w:rPr>
          <w:sz w:val="28"/>
          <w:szCs w:val="28"/>
        </w:rPr>
        <w:t>INTRODUCTION</w:t>
      </w:r>
    </w:p>
    <w:p>
      <w:pPr>
        <w:ind w:right="480"/>
        <w:rPr>
          <w:rFonts w:cs="Times New Roman"/>
          <w:sz w:val="21"/>
          <w:szCs w:val="21"/>
        </w:rPr>
      </w:pPr>
      <w:r>
        <w:rPr>
          <w:rFonts w:cs="Times New Roman"/>
          <w:sz w:val="21"/>
          <w:szCs w:val="21"/>
        </w:rPr>
        <w:tab/>
      </w:r>
      <w:r>
        <w:rPr>
          <w:rFonts w:cs="Times New Roman"/>
          <w:sz w:val="21"/>
          <w:szCs w:val="21"/>
        </w:rPr>
        <w:t xml:space="preserve">The coronavirus disease 2019 (COVID-19) is caused by the SARS-CoV-2 virus and has become a pandemic for </w:t>
      </w:r>
      <w:r>
        <w:rPr>
          <w:rFonts w:eastAsia="宋体" w:cs="Times New Roman"/>
          <w:sz w:val="21"/>
          <w:szCs w:val="21"/>
        </w:rPr>
        <w:t xml:space="preserve">more than </w:t>
      </w:r>
      <w:r>
        <w:rPr>
          <w:rFonts w:cs="Times New Roman"/>
          <w:sz w:val="21"/>
          <w:szCs w:val="21"/>
        </w:rPr>
        <w:t>two years. The SARS-CoV-2 virus belongs to the family of positive-sense single-stranded RNA viruses, which includes seasonal coronavirus, SARS-CoV, and Middle East Respiratory Syndrome (MERS)-CoV. SARS-CoV-2 attacks cells in the respiratory system, mainly through a specific interaction between the spike glycoprotein on the viral surface and the corresponding receptor on cell surface, the angiotensin converting enzyme 2 (ACE2). Therefore, much of the ongoing global research effort on SARS-CoV-2 has been devoted to the understanding of spike in membrane fusion and viral entry and the development of strategies to block the interaction between spike with ACE2.</w:t>
      </w:r>
    </w:p>
    <w:p>
      <w:pPr>
        <w:ind w:right="480"/>
        <w:rPr>
          <w:rFonts w:cs="Times New Roman"/>
          <w:sz w:val="21"/>
          <w:szCs w:val="21"/>
        </w:rPr>
      </w:pPr>
      <w:r>
        <w:rPr>
          <w:rFonts w:cs="Times New Roman"/>
          <w:sz w:val="21"/>
          <w:szCs w:val="21"/>
        </w:rPr>
        <w:tab/>
      </w:r>
      <w:r>
        <w:rPr>
          <w:rFonts w:cs="Times New Roman"/>
          <w:sz w:val="21"/>
          <w:szCs w:val="21"/>
        </w:rPr>
        <w:t xml:space="preserve">The spike glycoprotein of SARS-CoV-2 is composed of three presumably identical protomers, with each containing 1273 amino acids. The full-length S protein includes a bulky extracellular ectodomain, a transmembrane domain (a.a. 1213-1237) and a short cytoplasmic tail. The mature form of S protein is extensively glycosylated, with 22 potential N-glycosites and numerous O-glycosites decorating the ectodomain. A distinctive polybasic protease (furin) cleavage site separates the S protein into S1 (a.a. 1-685 or 667???) and S2 (a.a. 686-1273). In addition, within the S2 domain, the S2’ site can be cleaved by TMPRSS2, a membrane-anchoring serine protease. These two post-translational proteolytic processes play important roles in the life cycle of SARS-CoV-2. In berief, the S1 contributes to the initial contact with ACE2 on host cell surface and S2 is responsible for the following membrane fusion and viral entry. </w:t>
      </w:r>
    </w:p>
    <w:p>
      <w:pPr>
        <w:ind w:right="480"/>
        <w:rPr>
          <w:rFonts w:cs="Times New Roman"/>
          <w:sz w:val="21"/>
          <w:szCs w:val="21"/>
        </w:rPr>
      </w:pPr>
      <w:r>
        <w:rPr>
          <w:rFonts w:cs="Times New Roman"/>
          <w:sz w:val="21"/>
          <w:szCs w:val="21"/>
        </w:rPr>
        <w:tab/>
      </w:r>
      <w:r>
        <w:rPr>
          <w:rFonts w:cs="Times New Roman"/>
          <w:sz w:val="21"/>
          <w:szCs w:val="21"/>
        </w:rPr>
        <w:t>Within the S1 domain, two structural motifs can be identified: the more conserved N-terminal domain (NTD, a.a. 13-305) and the receptor-binding domain (RBD, a.a. 319-541). RBD is in direct contact with ACE2 and therefore is the determining factor during the initial viral recognition of host cells. Driven by a concerted effort by the research community, mechanistic understanding of RBD and the interaction with ACE2 has been advancing rapidly. RBD adopts two dramatic conformations, down (closed) and up (open) state. In the open state, RBD swings upward and through a patch composed of ~25 amino acids interacts with the receptor.</w:t>
      </w:r>
    </w:p>
    <w:p>
      <w:pPr>
        <w:ind w:right="480"/>
        <w:rPr>
          <w:rFonts w:cs="Times New Roman"/>
          <w:sz w:val="21"/>
          <w:szCs w:val="21"/>
        </w:rPr>
      </w:pPr>
      <w:r>
        <w:rPr>
          <w:rFonts w:cs="Times New Roman"/>
          <w:sz w:val="21"/>
          <w:szCs w:val="21"/>
        </w:rPr>
        <w:tab/>
      </w:r>
      <w:r>
        <w:rPr>
          <w:rFonts w:cs="Times New Roman"/>
          <w:sz w:val="21"/>
          <w:szCs w:val="21"/>
        </w:rPr>
        <w:t xml:space="preserve">Antibodies that target the spike protein, especially RBD, can potentially block the interaction between spike and ACE2 and thereby provide an effective treatment for Covid-19. Neutralizing antibodies (nAbs) against SARS-Cov-2 have been identified from diverse sources including convalescent patients recovering from infections of SARS-Cov-2 during the past two years, saved blood cells collected from individuals (S309, more???) infected with SARS-Cov in 2003, naïve human antibody libraries, and genetically humanized mice (VelocImmune) infected with SARS-CoV-2. Hundreds of effective nAbs have been discovered, with many (???) going through clinical trial and several received FDA approval.  </w:t>
      </w:r>
    </w:p>
    <w:p>
      <w:pPr>
        <w:ind w:right="480" w:firstLine="420" w:firstLineChars="200"/>
        <w:rPr>
          <w:rFonts w:eastAsia="宋体" w:cs="Times New Roman"/>
          <w:sz w:val="21"/>
          <w:szCs w:val="21"/>
        </w:rPr>
      </w:pPr>
      <w:r>
        <w:rPr>
          <w:rFonts w:eastAsia="宋体" w:cs="Times New Roman"/>
          <w:sz w:val="21"/>
          <w:szCs w:val="21"/>
        </w:rPr>
        <w:t>The binding affinity between the antibody and the RBD domain is a critical measure of antibody quality. Experimental approaches, including surface plasmon resonance (SPR), biolayer interferometry (BLI), and isothermal titration calorimetry (ITC), have been used to interrogate protein-protein interaction and obtain information on the binding affinity and knetics</w:t>
      </w:r>
      <w:r>
        <w:rPr>
          <w:rFonts w:eastAsia="宋体" w:cs="Times New Roman"/>
          <w:sz w:val="21"/>
          <w:szCs w:val="21"/>
          <w:vertAlign w:val="superscript"/>
        </w:rPr>
        <w:t>1,2</w:t>
      </w:r>
      <w:r>
        <w:rPr>
          <w:rFonts w:eastAsia="宋体" w:cs="Times New Roman"/>
          <w:sz w:val="21"/>
          <w:szCs w:val="21"/>
        </w:rPr>
        <w:t>. On the other hand, computational estimation of the binding free energy has been a major goal of theoretical approaches. For computational methods of binding free energy, a tradeoff exists between the complexity of computation and the accuracy of the result. Methods based on molecular dynamic simulation produce more accurate results than the docking methods and can be separated into pathway-dependent methods, which are rigorous and computational expensive, such as free energy perturbation (FEP)</w:t>
      </w:r>
      <w:r>
        <w:rPr>
          <w:rFonts w:eastAsia="宋体" w:cs="Times New Roman"/>
          <w:sz w:val="21"/>
          <w:szCs w:val="21"/>
          <w:vertAlign w:val="superscript"/>
        </w:rPr>
        <w:t>3</w:t>
      </w:r>
      <w:r>
        <w:rPr>
          <w:rFonts w:eastAsia="宋体" w:cs="Times New Roman"/>
          <w:sz w:val="21"/>
          <w:szCs w:val="21"/>
        </w:rPr>
        <w:t xml:space="preserve"> and thermodynamic integration (TI)</w:t>
      </w:r>
      <w:r>
        <w:rPr>
          <w:rFonts w:eastAsia="宋体" w:cs="Times New Roman"/>
          <w:sz w:val="21"/>
          <w:szCs w:val="21"/>
          <w:vertAlign w:val="superscript"/>
        </w:rPr>
        <w:t>4</w:t>
      </w:r>
      <w:r>
        <w:rPr>
          <w:rFonts w:eastAsia="宋体" w:cs="Times New Roman"/>
          <w:sz w:val="21"/>
          <w:szCs w:val="21"/>
        </w:rPr>
        <w:t>, and pathway-independent methods, such as linear interaction energy (LIE)</w:t>
      </w:r>
      <w:r>
        <w:rPr>
          <w:rFonts w:eastAsia="宋体" w:cs="Times New Roman"/>
          <w:sz w:val="21"/>
          <w:szCs w:val="21"/>
          <w:vertAlign w:val="superscript"/>
        </w:rPr>
        <w:t>5</w:t>
      </w:r>
      <w:r>
        <w:rPr>
          <w:rFonts w:eastAsia="宋体" w:cs="Times New Roman"/>
          <w:sz w:val="21"/>
          <w:szCs w:val="21"/>
        </w:rPr>
        <w:t xml:space="preserve"> and molecular mechanics with Poisson-Boltzmann and surface area solvation (MM/PBSA). </w:t>
      </w:r>
    </w:p>
    <w:p>
      <w:pPr>
        <w:ind w:right="480" w:firstLine="420" w:firstLineChars="200"/>
        <w:rPr>
          <w:rFonts w:eastAsia="宋体" w:cs="Times New Roman"/>
          <w:sz w:val="21"/>
          <w:szCs w:val="21"/>
        </w:rPr>
      </w:pPr>
      <w:r>
        <w:rPr>
          <w:rFonts w:eastAsia="宋体" w:cs="Times New Roman"/>
          <w:sz w:val="21"/>
          <w:szCs w:val="21"/>
        </w:rPr>
        <w:t xml:space="preserve"> </w:t>
      </w:r>
      <w:r>
        <w:rPr>
          <w:rFonts w:eastAsia="宋体" w:cs="Times New Roman"/>
          <w:sz w:val="21"/>
          <w:szCs w:val="21"/>
          <w:highlight w:val="lightGray"/>
        </w:rPr>
        <w:t>is relatively efficient, but not as precise. In contrast, molecular mechanics/Poisson−Boltzmann surface area (MM/PBSA)</w:t>
      </w:r>
      <w:r>
        <w:rPr>
          <w:rFonts w:eastAsia="宋体" w:cs="Times New Roman"/>
          <w:sz w:val="21"/>
          <w:szCs w:val="21"/>
          <w:highlight w:val="lightGray"/>
          <w:vertAlign w:val="superscript"/>
        </w:rPr>
        <w:t>6</w:t>
      </w:r>
      <w:r>
        <w:rPr>
          <w:rFonts w:eastAsia="宋体" w:cs="Times New Roman"/>
          <w:sz w:val="21"/>
          <w:szCs w:val="21"/>
          <w:highlight w:val="lightGray"/>
        </w:rPr>
        <w:t xml:space="preserve"> and molecular mechanics/generalized Born surface area (MM/GBSA)</w:t>
      </w:r>
      <w:r>
        <w:rPr>
          <w:rFonts w:eastAsia="宋体" w:cs="Times New Roman"/>
          <w:sz w:val="21"/>
          <w:szCs w:val="21"/>
          <w:highlight w:val="lightGray"/>
          <w:vertAlign w:val="superscript"/>
        </w:rPr>
        <w:t>7</w:t>
      </w:r>
      <w:r>
        <w:rPr>
          <w:rFonts w:eastAsia="宋体" w:cs="Times New Roman"/>
          <w:sz w:val="21"/>
          <w:szCs w:val="21"/>
          <w:highlight w:val="lightGray"/>
        </w:rPr>
        <w:t xml:space="preserve"> methods take into account efficiency and accuracy, so it is being used more and more now. But there are still some problems with it, especially when it comes to highly charged protein system. Yan-jing Sheng et al. developed a new method based on MM/PBSA by adding an exponential damping factor to the Coulombic interaction energy, which is called screening MM/PBSA</w:t>
      </w:r>
      <w:r>
        <w:rPr>
          <w:rFonts w:eastAsia="宋体" w:cs="Times New Roman"/>
          <w:sz w:val="21"/>
          <w:szCs w:val="21"/>
          <w:highlight w:val="lightGray"/>
          <w:vertAlign w:val="superscript"/>
        </w:rPr>
        <w:t>8</w:t>
      </w:r>
      <w:r>
        <w:rPr>
          <w:rFonts w:eastAsia="宋体" w:cs="Times New Roman"/>
          <w:sz w:val="21"/>
          <w:szCs w:val="21"/>
          <w:highlight w:val="lightGray"/>
        </w:rPr>
        <w:t>. Compared to standard MM/PBSA, screening MM/PBSA has largely improved the Pearson correlation coefficient. Furthermore</w:t>
      </w:r>
      <w:r>
        <w:rPr>
          <w:rFonts w:hint="eastAsia" w:eastAsia="宋体" w:cs="Times New Roman"/>
          <w:sz w:val="21"/>
          <w:szCs w:val="21"/>
          <w:highlight w:val="lightGray"/>
        </w:rPr>
        <w:t xml:space="preserve">, </w:t>
      </w:r>
      <w:r>
        <w:rPr>
          <w:rFonts w:eastAsia="宋体" w:cs="Times New Roman"/>
          <w:sz w:val="21"/>
          <w:szCs w:val="21"/>
          <w:highlight w:val="lightGray"/>
        </w:rPr>
        <w:t>Interfacial water has long been thought to play an important role in complex binding. The binding of receptor and ligand is the result of multiple interactions at the binding interface. Energetically, these interactions include hydrogen bonding, hydrophobicity, van der Waals interactions and ion pairing. DG et al. find that the interfacial water contributes around 25% of the total calculated binding strength, suggesting water plays a significantly important role in the stabilization of the complex</w:t>
      </w:r>
      <w:r>
        <w:rPr>
          <w:rFonts w:hint="eastAsia" w:eastAsia="宋体" w:cs="Times New Roman"/>
          <w:sz w:val="21"/>
          <w:szCs w:val="21"/>
          <w:highlight w:val="lightGray"/>
          <w:vertAlign w:val="superscript"/>
        </w:rPr>
        <w:t>9</w:t>
      </w:r>
      <w:r>
        <w:rPr>
          <w:rFonts w:eastAsia="宋体" w:cs="Times New Roman"/>
          <w:sz w:val="21"/>
          <w:szCs w:val="21"/>
          <w:highlight w:val="lightGray"/>
        </w:rPr>
        <w:t>.</w:t>
      </w:r>
      <w:r>
        <w:rPr>
          <w:rFonts w:hint="eastAsia" w:eastAsia="宋体" w:cs="Times New Roman"/>
          <w:sz w:val="21"/>
          <w:szCs w:val="21"/>
          <w:highlight w:val="lightGray"/>
        </w:rPr>
        <w:t xml:space="preserve"> Structurally, water has an important complementarity for the binding of receptors and ligands. With the development of X-ray, cryo-EM, high-resolution 3D structures of the complexes reveal that water is a constituent of protein receptors and ligands, which improves complementarity by filling the gaps between amino acids</w:t>
      </w:r>
      <w:r>
        <w:rPr>
          <w:rFonts w:hint="eastAsia" w:eastAsia="宋体" w:cs="Times New Roman"/>
          <w:sz w:val="21"/>
          <w:szCs w:val="21"/>
          <w:highlight w:val="lightGray"/>
          <w:vertAlign w:val="superscript"/>
        </w:rPr>
        <w:t>10</w:t>
      </w:r>
      <w:r>
        <w:rPr>
          <w:rFonts w:hint="eastAsia" w:eastAsia="宋体" w:cs="Times New Roman"/>
          <w:sz w:val="21"/>
          <w:szCs w:val="21"/>
          <w:highlight w:val="lightGray"/>
        </w:rPr>
        <w:t xml:space="preserve">. </w:t>
      </w:r>
      <w:r>
        <w:rPr>
          <w:rFonts w:eastAsia="宋体" w:cs="Times New Roman"/>
          <w:sz w:val="21"/>
          <w:szCs w:val="21"/>
          <w:highlight w:val="lightGray"/>
        </w:rPr>
        <w:t>Ahmad et al. revea</w:t>
      </w:r>
      <w:r>
        <w:rPr>
          <w:rFonts w:hint="eastAsia" w:eastAsia="宋体" w:cs="Times New Roman"/>
          <w:sz w:val="21"/>
          <w:szCs w:val="21"/>
          <w:highlight w:val="lightGray"/>
        </w:rPr>
        <w:t>l</w:t>
      </w:r>
      <w:r>
        <w:rPr>
          <w:rFonts w:eastAsia="宋体" w:cs="Times New Roman"/>
          <w:sz w:val="21"/>
          <w:szCs w:val="21"/>
          <w:highlight w:val="lightGray"/>
        </w:rPr>
        <w:t xml:space="preserve"> that water forms an adhesive hydrogen bond network between the interfaces, which stabilizes the complex formation</w:t>
      </w:r>
      <w:r>
        <w:rPr>
          <w:rFonts w:hint="eastAsia" w:eastAsia="宋体" w:cs="Times New Roman"/>
          <w:sz w:val="21"/>
          <w:szCs w:val="21"/>
          <w:highlight w:val="lightGray"/>
        </w:rPr>
        <w:t xml:space="preserve">, by </w:t>
      </w:r>
      <w:r>
        <w:rPr>
          <w:rFonts w:eastAsia="宋体" w:cs="Times New Roman"/>
          <w:sz w:val="21"/>
          <w:szCs w:val="21"/>
          <w:highlight w:val="lightGray"/>
        </w:rPr>
        <w:t>molecular dynamics simulations</w:t>
      </w:r>
      <w:r>
        <w:rPr>
          <w:rFonts w:hint="eastAsia" w:eastAsia="宋体" w:cs="Times New Roman"/>
          <w:sz w:val="21"/>
          <w:szCs w:val="21"/>
          <w:highlight w:val="lightGray"/>
          <w:vertAlign w:val="superscript"/>
        </w:rPr>
        <w:t>11</w:t>
      </w:r>
      <w:r>
        <w:rPr>
          <w:rFonts w:hint="eastAsia" w:eastAsia="宋体" w:cs="Times New Roman"/>
          <w:sz w:val="21"/>
          <w:szCs w:val="21"/>
          <w:highlight w:val="lightGray"/>
        </w:rPr>
        <w:t>.</w:t>
      </w:r>
      <w:r>
        <w:rPr>
          <w:rFonts w:eastAsia="宋体" w:cs="Times New Roman"/>
          <w:sz w:val="21"/>
          <w:szCs w:val="21"/>
          <w:highlight w:val="lightGray"/>
        </w:rPr>
        <w:t xml:space="preserve"> There are also some works that consider water when calculating binding free energy.</w:t>
      </w:r>
      <w:r>
        <w:rPr>
          <w:rFonts w:hint="eastAsia" w:eastAsia="宋体" w:cs="Times New Roman"/>
          <w:sz w:val="21"/>
          <w:szCs w:val="21"/>
          <w:highlight w:val="lightGray"/>
        </w:rPr>
        <w:t xml:space="preserve"> Irene Maffucci et al. improve the correlation by adding explicit ligand hydration shells in four different systems</w:t>
      </w:r>
      <w:r>
        <w:rPr>
          <w:rFonts w:hint="eastAsia" w:eastAsia="宋体" w:cs="Times New Roman"/>
          <w:sz w:val="21"/>
          <w:szCs w:val="21"/>
          <w:highlight w:val="lightGray"/>
          <w:vertAlign w:val="superscript"/>
        </w:rPr>
        <w:t>12</w:t>
      </w:r>
      <w:r>
        <w:rPr>
          <w:rFonts w:hint="eastAsia" w:eastAsia="宋体" w:cs="Times New Roman"/>
          <w:sz w:val="21"/>
          <w:szCs w:val="21"/>
          <w:highlight w:val="lightGray"/>
        </w:rPr>
        <w:t>. Sergio Wong et al. found that when calculating the binding free energy in MMPBSA, the mutant and wild-type could only be distinguished when the explicit water molecule was included</w:t>
      </w:r>
      <w:r>
        <w:rPr>
          <w:rFonts w:hint="eastAsia" w:eastAsia="宋体" w:cs="Times New Roman"/>
          <w:sz w:val="21"/>
          <w:szCs w:val="21"/>
          <w:highlight w:val="lightGray"/>
          <w:vertAlign w:val="superscript"/>
        </w:rPr>
        <w:t>13</w:t>
      </w:r>
      <w:r>
        <w:rPr>
          <w:rFonts w:hint="eastAsia" w:eastAsia="宋体" w:cs="Times New Roman"/>
          <w:sz w:val="21"/>
          <w:szCs w:val="21"/>
          <w:highlight w:val="lightGray"/>
        </w:rPr>
        <w:t>.</w:t>
      </w:r>
    </w:p>
    <w:p>
      <w:pPr>
        <w:ind w:right="480" w:firstLine="420" w:firstLineChars="200"/>
        <w:rPr>
          <w:sz w:val="28"/>
          <w:szCs w:val="28"/>
        </w:rPr>
      </w:pPr>
      <w:r>
        <w:rPr>
          <w:rFonts w:cs="Times New Roman"/>
          <w:sz w:val="21"/>
          <w:szCs w:val="21"/>
        </w:rPr>
        <w:t xml:space="preserve"> Herein we selected more than 20 newly reported RBD-antibody structures from PDB database</w:t>
      </w:r>
      <w:r>
        <w:rPr>
          <w:rFonts w:hint="eastAsia" w:eastAsia="宋体" w:cs="Times New Roman"/>
          <w:sz w:val="21"/>
          <w:szCs w:val="21"/>
        </w:rPr>
        <w:t>,</w:t>
      </w:r>
      <w:r>
        <w:rPr>
          <w:rFonts w:cs="Times New Roman"/>
          <w:sz w:val="21"/>
          <w:szCs w:val="21"/>
        </w:rPr>
        <w:t xml:space="preserve"> all of which are accompanied by experimental measurement of binding affinity. We applied</w:t>
      </w:r>
      <w:r>
        <w:rPr>
          <w:rFonts w:hint="eastAsia" w:eastAsia="宋体" w:cs="Times New Roman"/>
          <w:sz w:val="21"/>
          <w:szCs w:val="21"/>
        </w:rPr>
        <w:t xml:space="preserve"> the MM/PBSA </w:t>
      </w:r>
      <w:r>
        <w:rPr>
          <w:rFonts w:eastAsia="宋体" w:cs="Times New Roman"/>
          <w:sz w:val="21"/>
          <w:szCs w:val="21"/>
        </w:rPr>
        <w:t xml:space="preserve">method to derive the theoretical binding free energy and aligned the results with experimental measurements. We discovered that </w:t>
      </w:r>
      <w:r>
        <w:rPr>
          <w:rFonts w:hint="eastAsia" w:eastAsia="宋体" w:cs="Times New Roman"/>
          <w:sz w:val="21"/>
          <w:szCs w:val="21"/>
        </w:rPr>
        <w:t xml:space="preserve">including </w:t>
      </w:r>
      <w:r>
        <w:rPr>
          <w:rFonts w:cs="Times New Roman"/>
          <w:sz w:val="21"/>
          <w:szCs w:val="21"/>
        </w:rPr>
        <w:t xml:space="preserve">explicitly treated interfacial water between RBD and antibody in MM/PBSA calculation dramatically improved the accuracy of the theoretical results. Application of a modified MM/PBSA method, which adopted an exponential damping factor in the Coulomb electrostatic energy function, further improved the results. With these improvements in methodology, we extended our prediction of binding energy to the RBD of recently emerged </w:t>
      </w:r>
      <w:r>
        <w:rPr>
          <w:rFonts w:hint="eastAsia" w:eastAsia="宋体" w:cs="Times New Roman"/>
          <w:sz w:val="21"/>
          <w:szCs w:val="21"/>
        </w:rPr>
        <w:t>SARS-COV-2</w:t>
      </w:r>
      <w:r>
        <w:rPr>
          <w:rFonts w:eastAsia="宋体" w:cs="Times New Roman"/>
          <w:sz w:val="21"/>
          <w:szCs w:val="21"/>
        </w:rPr>
        <w:t xml:space="preserve"> variants, </w:t>
      </w:r>
      <w:r>
        <w:rPr>
          <w:rFonts w:hint="eastAsia" w:eastAsia="宋体" w:cs="Times New Roman"/>
          <w:sz w:val="21"/>
          <w:szCs w:val="21"/>
        </w:rPr>
        <w:t xml:space="preserve">including Alpha, Beta, Gamma, Delta, </w:t>
      </w:r>
      <w:r>
        <w:rPr>
          <w:rFonts w:eastAsia="宋体" w:cs="Times New Roman"/>
          <w:sz w:val="21"/>
          <w:szCs w:val="21"/>
        </w:rPr>
        <w:t xml:space="preserve">and </w:t>
      </w:r>
      <w:r>
        <w:rPr>
          <w:rFonts w:hint="eastAsia" w:eastAsia="宋体" w:cs="Times New Roman"/>
          <w:sz w:val="21"/>
          <w:szCs w:val="21"/>
        </w:rPr>
        <w:t>Omicron</w:t>
      </w:r>
      <w:r>
        <w:rPr>
          <w:rFonts w:eastAsia="宋体" w:cs="Times New Roman"/>
          <w:sz w:val="21"/>
          <w:szCs w:val="21"/>
        </w:rPr>
        <w:t xml:space="preserve"> variants, and further validated our approach. Finally, </w:t>
      </w:r>
      <w:r>
        <w:rPr>
          <w:rFonts w:hint="eastAsia" w:eastAsia="宋体" w:cs="Times New Roman"/>
          <w:sz w:val="21"/>
          <w:szCs w:val="21"/>
        </w:rPr>
        <w:t xml:space="preserve">from </w:t>
      </w:r>
      <w:r>
        <w:rPr>
          <w:rFonts w:eastAsia="宋体" w:cs="Times New Roman"/>
          <w:sz w:val="21"/>
          <w:szCs w:val="21"/>
        </w:rPr>
        <w:t xml:space="preserve">the perspective of </w:t>
      </w:r>
      <w:r>
        <w:rPr>
          <w:rFonts w:hint="eastAsia" w:eastAsia="宋体" w:cs="Times New Roman"/>
          <w:sz w:val="21"/>
          <w:szCs w:val="21"/>
        </w:rPr>
        <w:t>energ</w:t>
      </w:r>
      <w:r>
        <w:rPr>
          <w:rFonts w:eastAsia="宋体" w:cs="Times New Roman"/>
          <w:sz w:val="21"/>
          <w:szCs w:val="21"/>
        </w:rPr>
        <w:t>y, structure, and dynamics, we investigated the role of interfacial water molecules in the binding between antibodies and the RBD of SAR</w:t>
      </w:r>
      <w:r>
        <w:rPr>
          <w:rFonts w:hint="eastAsia" w:eastAsia="宋体" w:cs="Times New Roman"/>
          <w:sz w:val="21"/>
          <w:szCs w:val="21"/>
        </w:rPr>
        <w:t>-COV-2.</w:t>
      </w:r>
    </w:p>
    <w:p>
      <w:pPr>
        <w:pStyle w:val="2"/>
        <w:rPr>
          <w:sz w:val="28"/>
          <w:szCs w:val="28"/>
        </w:rPr>
      </w:pPr>
      <w:r>
        <w:rPr>
          <w:rFonts w:hint="eastAsia"/>
          <w:sz w:val="28"/>
          <w:szCs w:val="28"/>
        </w:rPr>
        <w:t>MATERIALS AND METHODS</w:t>
      </w:r>
    </w:p>
    <w:p>
      <w:pPr>
        <w:pStyle w:val="3"/>
        <w:numPr>
          <w:ilvl w:val="0"/>
          <w:numId w:val="1"/>
        </w:numPr>
        <w:rPr>
          <w:sz w:val="24"/>
          <w:szCs w:val="24"/>
        </w:rPr>
      </w:pPr>
      <w:r>
        <w:rPr>
          <w:sz w:val="24"/>
          <w:szCs w:val="24"/>
        </w:rPr>
        <w:t>Starting s</w:t>
      </w:r>
      <w:r>
        <w:rPr>
          <w:rFonts w:hint="eastAsia"/>
          <w:sz w:val="24"/>
          <w:szCs w:val="24"/>
        </w:rPr>
        <w:t>tructure</w:t>
      </w:r>
      <w:r>
        <w:rPr>
          <w:sz w:val="24"/>
          <w:szCs w:val="24"/>
        </w:rPr>
        <w:t>s of RBD-antibody complexes</w:t>
      </w:r>
      <w:r>
        <w:rPr>
          <w:rFonts w:hint="eastAsia"/>
          <w:sz w:val="24"/>
          <w:szCs w:val="24"/>
        </w:rPr>
        <w:t>.</w:t>
      </w:r>
    </w:p>
    <w:p>
      <w:pPr>
        <w:snapToGrid w:val="0"/>
        <w:spacing w:before="60" w:after="60"/>
        <w:ind w:right="480" w:firstLine="420"/>
        <w:rPr>
          <w:rFonts w:eastAsia="Helvetica Neue" w:cs="Times New Roman"/>
          <w:color w:val="333333"/>
          <w:sz w:val="21"/>
          <w:szCs w:val="21"/>
        </w:rPr>
      </w:pPr>
      <w:r>
        <w:rPr>
          <w:rFonts w:hint="eastAsia" w:eastAsia="Helvetica Neue" w:cs="Times New Roman"/>
          <w:color w:val="333333"/>
          <w:sz w:val="21"/>
          <w:szCs w:val="21"/>
        </w:rPr>
        <w:t>25</w:t>
      </w:r>
      <w:r>
        <w:rPr>
          <w:rFonts w:eastAsia="Helvetica Neue" w:cs="Times New Roman"/>
          <w:color w:val="333333"/>
          <w:sz w:val="21"/>
          <w:szCs w:val="21"/>
        </w:rPr>
        <w:t xml:space="preserve"> (updated?) RBD-antibody structures were downloaded from the </w:t>
      </w:r>
      <w:r>
        <w:rPr>
          <w:rFonts w:hint="eastAsia" w:eastAsia="Helvetica Neue" w:cs="Times New Roman"/>
          <w:color w:val="333333"/>
          <w:sz w:val="21"/>
          <w:szCs w:val="21"/>
        </w:rPr>
        <w:t>Protein Data Bank (</w:t>
      </w:r>
      <w:r>
        <w:rPr>
          <w:rFonts w:eastAsia="Helvetica Neue" w:cs="Times New Roman"/>
          <w:color w:val="333333"/>
          <w:sz w:val="21"/>
          <w:szCs w:val="21"/>
        </w:rPr>
        <w:t>PDB</w:t>
      </w:r>
      <w:r>
        <w:rPr>
          <w:rFonts w:hint="eastAsia" w:eastAsia="Helvetica Neue" w:cs="Times New Roman"/>
          <w:color w:val="333333"/>
          <w:sz w:val="21"/>
          <w:szCs w:val="21"/>
        </w:rPr>
        <w:t>)</w:t>
      </w:r>
      <w:r>
        <w:rPr>
          <w:rFonts w:eastAsia="Helvetica Neue" w:cs="Times New Roman"/>
          <w:color w:val="333333"/>
          <w:sz w:val="21"/>
          <w:szCs w:val="21"/>
        </w:rPr>
        <w:t>, including 5 complex structures containing RBD from SARS-COV-2</w:t>
      </w:r>
      <w:r>
        <w:rPr>
          <w:rFonts w:hint="eastAsia" w:eastAsia="Helvetica Neue" w:cs="Times New Roman"/>
          <w:color w:val="333333"/>
          <w:sz w:val="21"/>
          <w:szCs w:val="21"/>
        </w:rPr>
        <w:t xml:space="preserve"> </w:t>
      </w:r>
      <w:r>
        <w:rPr>
          <w:rFonts w:eastAsia="Helvetica Neue" w:cs="Times New Roman"/>
          <w:color w:val="333333"/>
          <w:sz w:val="21"/>
          <w:szCs w:val="21"/>
        </w:rPr>
        <w:t>variants. Detailed information for these structures as well as the corresponding experimental binding affinity is shown in Table 1</w:t>
      </w:r>
      <w:r>
        <w:rPr>
          <w:rFonts w:hint="eastAsia" w:eastAsia="Helvetica Neue" w:cs="Times New Roman"/>
          <w:color w:val="333333"/>
          <w:sz w:val="21"/>
          <w:szCs w:val="21"/>
        </w:rPr>
        <w:t>.</w:t>
      </w:r>
    </w:p>
    <w:p>
      <w:pPr>
        <w:snapToGrid w:val="0"/>
        <w:spacing w:before="60" w:after="60"/>
        <w:ind w:right="480"/>
        <w:rPr>
          <w:rFonts w:eastAsia="Helvetica Neue" w:cs="Times New Roman"/>
          <w:b/>
          <w:bCs/>
          <w:color w:val="333333"/>
          <w:sz w:val="21"/>
          <w:szCs w:val="21"/>
        </w:rPr>
      </w:pPr>
      <w:r>
        <w:rPr>
          <w:rFonts w:hint="eastAsia" w:eastAsia="Helvetica Neue" w:cs="Times New Roman"/>
          <w:b/>
          <w:bCs/>
          <w:color w:val="333333"/>
          <w:sz w:val="21"/>
          <w:szCs w:val="21"/>
        </w:rPr>
        <w:t>Table 1. PDB ID of the Data Set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7"/>
        <w:gridCol w:w="2437"/>
        <w:gridCol w:w="5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1377" w:type="dxa"/>
          </w:tcPr>
          <w:p>
            <w:pPr>
              <w:snapToGrid w:val="0"/>
              <w:spacing w:before="60" w:after="60"/>
              <w:ind w:right="480"/>
              <w:rPr>
                <w:rFonts w:eastAsia="Helvetica Neue" w:cs="Times New Roman"/>
                <w:color w:val="333333"/>
                <w:sz w:val="16"/>
                <w:szCs w:val="16"/>
              </w:rPr>
            </w:pPr>
            <w:r>
              <w:rPr>
                <w:rFonts w:hint="eastAsia" w:eastAsia="Helvetica Neue" w:cs="Times New Roman"/>
                <w:color w:val="333333"/>
                <w:sz w:val="16"/>
                <w:szCs w:val="16"/>
              </w:rPr>
              <w:t>Gourp no.</w:t>
            </w:r>
          </w:p>
        </w:tc>
        <w:tc>
          <w:tcPr>
            <w:tcW w:w="2437" w:type="dxa"/>
          </w:tcPr>
          <w:p>
            <w:pPr>
              <w:snapToGrid w:val="0"/>
              <w:spacing w:before="60" w:after="60"/>
              <w:ind w:right="480"/>
              <w:rPr>
                <w:rFonts w:eastAsia="Helvetica Neue" w:cs="Times New Roman"/>
                <w:color w:val="333333"/>
                <w:sz w:val="16"/>
                <w:szCs w:val="16"/>
              </w:rPr>
            </w:pPr>
            <w:r>
              <w:rPr>
                <w:rFonts w:hint="eastAsia" w:eastAsia="Helvetica Neue" w:cs="Times New Roman"/>
                <w:color w:val="333333"/>
                <w:sz w:val="16"/>
                <w:szCs w:val="16"/>
              </w:rPr>
              <w:t>system</w:t>
            </w:r>
          </w:p>
        </w:tc>
        <w:tc>
          <w:tcPr>
            <w:tcW w:w="5474" w:type="dxa"/>
          </w:tcPr>
          <w:p>
            <w:pPr>
              <w:snapToGrid w:val="0"/>
              <w:spacing w:before="60" w:after="60"/>
              <w:ind w:right="480"/>
              <w:rPr>
                <w:rFonts w:eastAsia="Helvetica Neue" w:cs="Times New Roman"/>
                <w:color w:val="333333"/>
                <w:sz w:val="16"/>
                <w:szCs w:val="16"/>
              </w:rPr>
            </w:pPr>
            <w:r>
              <w:rPr>
                <w:rFonts w:hint="eastAsia" w:eastAsia="Helvetica Neue" w:cs="Times New Roman"/>
                <w:color w:val="333333"/>
                <w:sz w:val="16"/>
                <w:szCs w:val="16"/>
              </w:rPr>
              <w:t>PDB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7" w:type="dxa"/>
          </w:tcPr>
          <w:p>
            <w:pPr>
              <w:snapToGrid w:val="0"/>
              <w:spacing w:before="60" w:after="60"/>
              <w:ind w:right="480"/>
              <w:rPr>
                <w:rFonts w:eastAsia="Helvetica Neue" w:cs="Times New Roman"/>
                <w:color w:val="333333"/>
                <w:sz w:val="16"/>
                <w:szCs w:val="16"/>
              </w:rPr>
            </w:pPr>
            <w:r>
              <w:rPr>
                <w:rFonts w:hint="eastAsia" w:eastAsia="Helvetica Neue" w:cs="Times New Roman"/>
                <w:color w:val="333333"/>
                <w:sz w:val="16"/>
                <w:szCs w:val="16"/>
              </w:rPr>
              <w:t>1</w:t>
            </w:r>
          </w:p>
        </w:tc>
        <w:tc>
          <w:tcPr>
            <w:tcW w:w="2437" w:type="dxa"/>
          </w:tcPr>
          <w:p>
            <w:pPr>
              <w:snapToGrid w:val="0"/>
              <w:spacing w:before="60" w:after="60"/>
              <w:ind w:right="480"/>
              <w:rPr>
                <w:rFonts w:eastAsia="Helvetica Neue" w:cs="Times New Roman"/>
                <w:color w:val="333333"/>
                <w:sz w:val="16"/>
                <w:szCs w:val="16"/>
              </w:rPr>
            </w:pPr>
            <w:r>
              <w:rPr>
                <w:rFonts w:hint="eastAsia" w:eastAsia="Helvetica Neue" w:cs="Times New Roman"/>
                <w:color w:val="333333"/>
                <w:sz w:val="16"/>
                <w:szCs w:val="16"/>
              </w:rPr>
              <w:t>SARS-COV-2</w:t>
            </w:r>
            <w:r>
              <w:rPr>
                <w:rFonts w:hint="eastAsia" w:eastAsia="宋体" w:cs="Times New Roman"/>
                <w:color w:val="333333"/>
                <w:sz w:val="16"/>
                <w:szCs w:val="16"/>
                <w:lang w:val="en-US" w:eastAsia="zh-CN"/>
              </w:rPr>
              <w:t xml:space="preserve"> </w:t>
            </w:r>
            <w:r>
              <w:rPr>
                <w:rFonts w:hint="eastAsia" w:eastAsia="Helvetica Neue" w:cs="Times New Roman"/>
                <w:color w:val="333333"/>
                <w:sz w:val="16"/>
                <w:szCs w:val="16"/>
              </w:rPr>
              <w:t xml:space="preserve">RBD-binding antibody </w:t>
            </w:r>
          </w:p>
        </w:tc>
        <w:tc>
          <w:tcPr>
            <w:tcW w:w="5474" w:type="dxa"/>
          </w:tcPr>
          <w:p>
            <w:pPr>
              <w:snapToGrid w:val="0"/>
              <w:spacing w:before="60" w:after="60"/>
              <w:ind w:right="480"/>
              <w:rPr>
                <w:rFonts w:eastAsia="Helvetica Neue" w:cs="Times New Roman"/>
                <w:color w:val="333333"/>
                <w:sz w:val="16"/>
                <w:szCs w:val="16"/>
              </w:rPr>
            </w:pPr>
            <w:r>
              <w:rPr>
                <w:rFonts w:hint="eastAsia" w:eastAsia="Helvetica Neue" w:cs="Times New Roman"/>
                <w:color w:val="333333"/>
                <w:sz w:val="16"/>
                <w:szCs w:val="16"/>
              </w:rPr>
              <w:t>7KFY</w:t>
            </w:r>
            <w:r>
              <w:rPr>
                <w:rFonts w:hint="eastAsia" w:eastAsia="Helvetica Neue" w:cs="Times New Roman"/>
                <w:color w:val="333333"/>
                <w:sz w:val="16"/>
                <w:szCs w:val="16"/>
                <w:vertAlign w:val="superscript"/>
              </w:rPr>
              <w:t>7KFY</w:t>
            </w:r>
            <w:r>
              <w:rPr>
                <w:rFonts w:hint="eastAsia" w:eastAsia="Helvetica Neue" w:cs="Times New Roman"/>
                <w:color w:val="333333"/>
                <w:sz w:val="16"/>
                <w:szCs w:val="16"/>
              </w:rPr>
              <w:t>, 7KFX</w:t>
            </w:r>
            <w:r>
              <w:rPr>
                <w:rFonts w:hint="eastAsia" w:eastAsia="Helvetica Neue" w:cs="Times New Roman"/>
                <w:color w:val="333333"/>
                <w:sz w:val="16"/>
                <w:szCs w:val="16"/>
                <w:vertAlign w:val="superscript"/>
              </w:rPr>
              <w:t>7KFY</w:t>
            </w:r>
            <w:r>
              <w:rPr>
                <w:rFonts w:hint="eastAsia" w:eastAsia="Helvetica Neue" w:cs="Times New Roman"/>
                <w:color w:val="333333"/>
                <w:sz w:val="16"/>
                <w:szCs w:val="16"/>
              </w:rPr>
              <w:t>, 7KFV</w:t>
            </w:r>
            <w:r>
              <w:rPr>
                <w:rFonts w:hint="eastAsia" w:eastAsia="Helvetica Neue" w:cs="Times New Roman"/>
                <w:color w:val="333333"/>
                <w:sz w:val="16"/>
                <w:szCs w:val="16"/>
                <w:vertAlign w:val="superscript"/>
              </w:rPr>
              <w:t>7KFY</w:t>
            </w:r>
            <w:r>
              <w:rPr>
                <w:rFonts w:hint="eastAsia" w:eastAsia="Helvetica Neue" w:cs="Times New Roman"/>
                <w:color w:val="333333"/>
                <w:sz w:val="16"/>
                <w:szCs w:val="16"/>
              </w:rPr>
              <w:t>, 7KFW</w:t>
            </w:r>
            <w:r>
              <w:rPr>
                <w:rFonts w:hint="eastAsia" w:eastAsia="Helvetica Neue" w:cs="Times New Roman"/>
                <w:color w:val="333333"/>
                <w:sz w:val="16"/>
                <w:szCs w:val="16"/>
                <w:vertAlign w:val="superscript"/>
              </w:rPr>
              <w:t>7KFY</w:t>
            </w:r>
            <w:r>
              <w:rPr>
                <w:rFonts w:hint="eastAsia" w:eastAsia="Helvetica Neue" w:cs="Times New Roman"/>
                <w:color w:val="333333"/>
                <w:sz w:val="16"/>
                <w:szCs w:val="16"/>
              </w:rPr>
              <w:t>, 7JVA</w:t>
            </w:r>
            <w:r>
              <w:rPr>
                <w:rFonts w:hint="eastAsia" w:eastAsia="Helvetica Neue" w:cs="Times New Roman"/>
                <w:color w:val="333333"/>
                <w:sz w:val="16"/>
                <w:szCs w:val="16"/>
                <w:vertAlign w:val="superscript"/>
              </w:rPr>
              <w:t>18</w:t>
            </w:r>
            <w:r>
              <w:rPr>
                <w:rFonts w:hint="eastAsia" w:eastAsia="Helvetica Neue" w:cs="Times New Roman"/>
                <w:color w:val="333333"/>
                <w:sz w:val="16"/>
                <w:szCs w:val="16"/>
              </w:rPr>
              <w:t>, 7KGK</w:t>
            </w:r>
            <w:r>
              <w:rPr>
                <w:rFonts w:hint="eastAsia" w:eastAsia="Helvetica Neue" w:cs="Times New Roman"/>
                <w:color w:val="333333"/>
                <w:sz w:val="16"/>
                <w:szCs w:val="16"/>
                <w:vertAlign w:val="superscript"/>
              </w:rPr>
              <w:t>19</w:t>
            </w:r>
            <w:r>
              <w:rPr>
                <w:rFonts w:hint="eastAsia" w:eastAsia="Helvetica Neue" w:cs="Times New Roman"/>
                <w:color w:val="333333"/>
                <w:sz w:val="16"/>
                <w:szCs w:val="16"/>
              </w:rPr>
              <w:t>, 7C8D</w:t>
            </w:r>
            <w:r>
              <w:rPr>
                <w:rFonts w:hint="eastAsia" w:eastAsia="Helvetica Neue" w:cs="Times New Roman"/>
                <w:color w:val="333333"/>
                <w:sz w:val="16"/>
                <w:szCs w:val="16"/>
                <w:vertAlign w:val="superscript"/>
              </w:rPr>
              <w:t>20</w:t>
            </w:r>
            <w:r>
              <w:rPr>
                <w:rFonts w:hint="eastAsia" w:eastAsia="Helvetica Neue" w:cs="Times New Roman"/>
                <w:color w:val="333333"/>
                <w:sz w:val="16"/>
                <w:szCs w:val="16"/>
              </w:rPr>
              <w:t>, 6YZ5</w:t>
            </w:r>
            <w:r>
              <w:rPr>
                <w:rFonts w:hint="eastAsia" w:eastAsia="Helvetica Neue" w:cs="Times New Roman"/>
                <w:color w:val="333333"/>
                <w:sz w:val="16"/>
                <w:szCs w:val="16"/>
                <w:vertAlign w:val="superscript"/>
              </w:rPr>
              <w:t>21</w:t>
            </w:r>
            <w:r>
              <w:rPr>
                <w:rFonts w:hint="eastAsia" w:eastAsia="Helvetica Neue" w:cs="Times New Roman"/>
                <w:color w:val="333333"/>
                <w:sz w:val="16"/>
                <w:szCs w:val="16"/>
              </w:rPr>
              <w:t>, 6ZBP</w:t>
            </w:r>
            <w:r>
              <w:rPr>
                <w:rFonts w:hint="eastAsia" w:eastAsia="Helvetica Neue" w:cs="Times New Roman"/>
                <w:color w:val="333333"/>
                <w:sz w:val="16"/>
                <w:szCs w:val="16"/>
                <w:vertAlign w:val="superscript"/>
              </w:rPr>
              <w:t>22</w:t>
            </w:r>
            <w:r>
              <w:rPr>
                <w:rFonts w:hint="eastAsia" w:eastAsia="Helvetica Neue" w:cs="Times New Roman"/>
                <w:color w:val="333333"/>
                <w:sz w:val="16"/>
                <w:szCs w:val="16"/>
              </w:rPr>
              <w:t>, 7B27</w:t>
            </w:r>
            <w:r>
              <w:rPr>
                <w:rFonts w:hint="eastAsia" w:eastAsia="Helvetica Neue" w:cs="Times New Roman"/>
                <w:color w:val="333333"/>
                <w:sz w:val="16"/>
                <w:szCs w:val="16"/>
                <w:vertAlign w:val="superscript"/>
              </w:rPr>
              <w:t>23</w:t>
            </w:r>
            <w:r>
              <w:rPr>
                <w:rFonts w:hint="eastAsia" w:eastAsia="Helvetica Neue" w:cs="Times New Roman"/>
                <w:color w:val="333333"/>
                <w:sz w:val="16"/>
                <w:szCs w:val="16"/>
              </w:rPr>
              <w:t>, 7BWJ</w:t>
            </w:r>
            <w:r>
              <w:rPr>
                <w:rFonts w:hint="eastAsia" w:eastAsia="Helvetica Neue" w:cs="Times New Roman"/>
                <w:color w:val="333333"/>
                <w:sz w:val="16"/>
                <w:szCs w:val="16"/>
                <w:vertAlign w:val="superscript"/>
              </w:rPr>
              <w:t>24</w:t>
            </w:r>
            <w:r>
              <w:rPr>
                <w:rFonts w:hint="eastAsia" w:eastAsia="Helvetica Neue" w:cs="Times New Roman"/>
                <w:color w:val="333333"/>
                <w:sz w:val="16"/>
                <w:szCs w:val="16"/>
              </w:rPr>
              <w:t>, 7E23</w:t>
            </w:r>
            <w:r>
              <w:rPr>
                <w:rFonts w:hint="eastAsia" w:eastAsia="Helvetica Neue" w:cs="Times New Roman"/>
                <w:color w:val="333333"/>
                <w:sz w:val="16"/>
                <w:szCs w:val="16"/>
                <w:vertAlign w:val="superscript"/>
              </w:rPr>
              <w:t>25</w:t>
            </w:r>
            <w:r>
              <w:rPr>
                <w:rFonts w:hint="eastAsia" w:eastAsia="Helvetica Neue" w:cs="Times New Roman"/>
                <w:color w:val="333333"/>
                <w:sz w:val="16"/>
                <w:szCs w:val="16"/>
              </w:rPr>
              <w:t>, 7JMO</w:t>
            </w:r>
            <w:r>
              <w:rPr>
                <w:rFonts w:hint="eastAsia" w:eastAsia="Helvetica Neue" w:cs="Times New Roman"/>
                <w:color w:val="333333"/>
                <w:sz w:val="16"/>
                <w:szCs w:val="16"/>
                <w:vertAlign w:val="superscript"/>
              </w:rPr>
              <w:t>26</w:t>
            </w:r>
            <w:r>
              <w:rPr>
                <w:rFonts w:hint="eastAsia" w:eastAsia="Helvetica Neue" w:cs="Times New Roman"/>
                <w:color w:val="333333"/>
                <w:sz w:val="16"/>
                <w:szCs w:val="16"/>
              </w:rPr>
              <w:t>, 7K8M</w:t>
            </w:r>
            <w:r>
              <w:rPr>
                <w:rFonts w:hint="eastAsia" w:eastAsia="Helvetica Neue" w:cs="Times New Roman"/>
                <w:color w:val="333333"/>
                <w:sz w:val="16"/>
                <w:szCs w:val="16"/>
                <w:vertAlign w:val="superscript"/>
              </w:rPr>
              <w:t>27</w:t>
            </w:r>
            <w:r>
              <w:rPr>
                <w:rFonts w:hint="eastAsia" w:eastAsia="Helvetica Neue" w:cs="Times New Roman"/>
                <w:color w:val="333333"/>
                <w:sz w:val="16"/>
                <w:szCs w:val="16"/>
              </w:rPr>
              <w:t>, 6W41</w:t>
            </w:r>
            <w:r>
              <w:rPr>
                <w:rFonts w:hint="eastAsia" w:eastAsia="Helvetica Neue" w:cs="Times New Roman"/>
                <w:color w:val="333333"/>
                <w:sz w:val="16"/>
                <w:szCs w:val="16"/>
                <w:vertAlign w:val="superscript"/>
              </w:rPr>
              <w:t>28</w:t>
            </w:r>
            <w:r>
              <w:rPr>
                <w:rFonts w:hint="eastAsia" w:eastAsia="Helvetica Neue" w:cs="Times New Roman"/>
                <w:color w:val="333333"/>
                <w:sz w:val="16"/>
                <w:szCs w:val="16"/>
              </w:rPr>
              <w:t>, 6YM0</w:t>
            </w:r>
            <w:r>
              <w:rPr>
                <w:rFonts w:hint="eastAsia" w:eastAsia="Helvetica Neue" w:cs="Times New Roman"/>
                <w:color w:val="333333"/>
                <w:sz w:val="16"/>
                <w:szCs w:val="16"/>
                <w:vertAlign w:val="superscript"/>
              </w:rPr>
              <w:t>29</w:t>
            </w:r>
            <w:r>
              <w:rPr>
                <w:rFonts w:hint="eastAsia" w:eastAsia="Helvetica Neue" w:cs="Times New Roman"/>
                <w:color w:val="333333"/>
                <w:sz w:val="16"/>
                <w:szCs w:val="16"/>
              </w:rPr>
              <w:t>, 6ZER</w:t>
            </w:r>
            <w:r>
              <w:rPr>
                <w:rFonts w:hint="eastAsia" w:eastAsia="Helvetica Neue" w:cs="Times New Roman"/>
                <w:color w:val="333333"/>
                <w:sz w:val="16"/>
                <w:szCs w:val="16"/>
                <w:vertAlign w:val="superscript"/>
              </w:rPr>
              <w:t>30</w:t>
            </w:r>
            <w:r>
              <w:rPr>
                <w:rFonts w:hint="eastAsia" w:eastAsia="Helvetica Neue" w:cs="Times New Roman"/>
                <w:color w:val="333333"/>
                <w:sz w:val="16"/>
                <w:szCs w:val="16"/>
              </w:rPr>
              <w:t>, 7DEO</w:t>
            </w:r>
            <w:r>
              <w:rPr>
                <w:rFonts w:hint="eastAsia" w:eastAsia="Helvetica Neue" w:cs="Times New Roman"/>
                <w:color w:val="333333"/>
                <w:sz w:val="16"/>
                <w:szCs w:val="16"/>
                <w:vertAlign w:val="superscript"/>
              </w:rPr>
              <w:t>31</w:t>
            </w:r>
            <w:r>
              <w:rPr>
                <w:rFonts w:hint="eastAsia" w:eastAsia="Helvetica Neue" w:cs="Times New Roman"/>
                <w:color w:val="333333"/>
                <w:sz w:val="16"/>
                <w:szCs w:val="16"/>
              </w:rPr>
              <w:t>, 7DPM</w:t>
            </w:r>
            <w:r>
              <w:rPr>
                <w:rFonts w:hint="eastAsia" w:eastAsia="Helvetica Neue" w:cs="Times New Roman"/>
                <w:color w:val="333333"/>
                <w:sz w:val="16"/>
                <w:szCs w:val="16"/>
                <w:vertAlign w:val="superscript"/>
              </w:rPr>
              <w:t>32</w:t>
            </w:r>
            <w:r>
              <w:rPr>
                <w:rFonts w:hint="eastAsia" w:eastAsia="Helvetica Neue" w:cs="Times New Roman"/>
                <w:color w:val="333333"/>
                <w:sz w:val="16"/>
                <w:szCs w:val="16"/>
              </w:rPr>
              <w:t>, 7MZF</w:t>
            </w:r>
            <w:r>
              <w:rPr>
                <w:rFonts w:hint="eastAsia" w:eastAsia="Helvetica Neue" w:cs="Times New Roman"/>
                <w:color w:val="333333"/>
                <w:sz w:val="16"/>
                <w:szCs w:val="16"/>
                <w:vertAlign w:val="superscript"/>
              </w:rPr>
              <w:t>33</w:t>
            </w:r>
            <w:r>
              <w:rPr>
                <w:rFonts w:hint="eastAsia" w:eastAsia="Helvetica Neue" w:cs="Times New Roman"/>
                <w:color w:val="333333"/>
                <w:sz w:val="16"/>
                <w:szCs w:val="16"/>
              </w:rPr>
              <w:t>, 7MZG</w:t>
            </w:r>
            <w:r>
              <w:rPr>
                <w:rFonts w:hint="eastAsia" w:eastAsia="Helvetica Neue" w:cs="Times New Roman"/>
                <w:color w:val="333333"/>
                <w:sz w:val="16"/>
                <w:szCs w:val="16"/>
                <w:vertAlign w:val="superscript"/>
              </w:rPr>
              <w:t>34</w:t>
            </w:r>
            <w:r>
              <w:rPr>
                <w:rFonts w:hint="eastAsia" w:eastAsia="Helvetica Neue" w:cs="Times New Roman"/>
                <w:color w:val="333333"/>
                <w:sz w:val="16"/>
                <w:szCs w:val="16"/>
              </w:rPr>
              <w:t>, 7MZJ</w:t>
            </w:r>
            <w:r>
              <w:rPr>
                <w:rFonts w:hint="eastAsia" w:eastAsia="Helvetica Neue" w:cs="Times New Roman"/>
                <w:color w:val="333333"/>
                <w:sz w:val="16"/>
                <w:szCs w:val="16"/>
                <w:vertAlign w:val="superscript"/>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7" w:type="dxa"/>
          </w:tcPr>
          <w:p>
            <w:pPr>
              <w:snapToGrid w:val="0"/>
              <w:spacing w:before="60" w:after="60"/>
              <w:ind w:right="480"/>
              <w:rPr>
                <w:rFonts w:eastAsia="Helvetica Neue" w:cs="Times New Roman"/>
                <w:color w:val="333333"/>
                <w:sz w:val="16"/>
                <w:szCs w:val="16"/>
              </w:rPr>
            </w:pPr>
            <w:r>
              <w:rPr>
                <w:rFonts w:hint="eastAsia" w:eastAsia="Helvetica Neue" w:cs="Times New Roman"/>
                <w:color w:val="333333"/>
                <w:sz w:val="16"/>
                <w:szCs w:val="16"/>
              </w:rPr>
              <w:t>2</w:t>
            </w:r>
          </w:p>
        </w:tc>
        <w:tc>
          <w:tcPr>
            <w:tcW w:w="2437" w:type="dxa"/>
          </w:tcPr>
          <w:p>
            <w:pPr>
              <w:snapToGrid w:val="0"/>
              <w:spacing w:before="60" w:after="60"/>
              <w:ind w:right="480"/>
              <w:rPr>
                <w:rFonts w:eastAsia="Helvetica Neue" w:cs="Times New Roman"/>
                <w:color w:val="333333"/>
                <w:sz w:val="16"/>
                <w:szCs w:val="16"/>
              </w:rPr>
            </w:pPr>
            <w:r>
              <w:rPr>
                <w:rFonts w:eastAsia="Helvetica Neue" w:cs="Times New Roman"/>
                <w:color w:val="333333"/>
                <w:sz w:val="16"/>
                <w:szCs w:val="16"/>
              </w:rPr>
              <w:t>SARS-COV-2</w:t>
            </w:r>
            <w:r>
              <w:rPr>
                <w:rFonts w:hint="eastAsia" w:eastAsia="Helvetica Neue" w:cs="Times New Roman"/>
                <w:color w:val="333333"/>
                <w:sz w:val="16"/>
                <w:szCs w:val="16"/>
              </w:rPr>
              <w:t xml:space="preserve"> variant </w:t>
            </w:r>
          </w:p>
        </w:tc>
        <w:tc>
          <w:tcPr>
            <w:tcW w:w="5474" w:type="dxa"/>
          </w:tcPr>
          <w:p>
            <w:pPr>
              <w:snapToGrid w:val="0"/>
              <w:spacing w:before="60" w:after="60"/>
              <w:ind w:right="480"/>
              <w:rPr>
                <w:rFonts w:eastAsia="Helvetica Neue" w:cs="Times New Roman"/>
                <w:color w:val="333333"/>
                <w:sz w:val="16"/>
                <w:szCs w:val="16"/>
              </w:rPr>
            </w:pPr>
            <w:r>
              <w:rPr>
                <w:rFonts w:hint="eastAsia" w:eastAsia="Helvetica Neue" w:cs="Times New Roman"/>
                <w:color w:val="333333"/>
                <w:sz w:val="16"/>
                <w:szCs w:val="16"/>
              </w:rPr>
              <w:t>Omicron: 7QNW</w:t>
            </w:r>
            <w:r>
              <w:rPr>
                <w:rFonts w:hint="eastAsia" w:eastAsia="Helvetica Neue" w:cs="Times New Roman"/>
                <w:color w:val="333333"/>
                <w:sz w:val="16"/>
                <w:szCs w:val="16"/>
                <w:vertAlign w:val="superscript"/>
              </w:rPr>
              <w:t>36</w:t>
            </w:r>
            <w:r>
              <w:rPr>
                <w:rFonts w:hint="eastAsia" w:eastAsia="Helvetica Neue" w:cs="Times New Roman"/>
                <w:color w:val="333333"/>
                <w:sz w:val="16"/>
                <w:szCs w:val="16"/>
              </w:rPr>
              <w:t>;  Gamma: 7NXB</w:t>
            </w:r>
            <w:r>
              <w:rPr>
                <w:rFonts w:hint="eastAsia" w:eastAsia="Helvetica Neue" w:cs="Times New Roman"/>
                <w:color w:val="333333"/>
                <w:sz w:val="16"/>
                <w:szCs w:val="16"/>
                <w:vertAlign w:val="superscript"/>
              </w:rPr>
              <w:t>37</w:t>
            </w:r>
            <w:r>
              <w:rPr>
                <w:rFonts w:hint="eastAsia" w:eastAsia="Helvetica Neue" w:cs="Times New Roman"/>
                <w:color w:val="333333"/>
                <w:sz w:val="16"/>
                <w:szCs w:val="16"/>
              </w:rPr>
              <w:t>;  Alpha: 7NEH</w:t>
            </w:r>
            <w:r>
              <w:rPr>
                <w:rFonts w:hint="eastAsia" w:eastAsia="Helvetica Neue" w:cs="Times New Roman"/>
                <w:color w:val="333333"/>
                <w:sz w:val="16"/>
                <w:szCs w:val="16"/>
                <w:vertAlign w:val="superscript"/>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7" w:type="dxa"/>
          </w:tcPr>
          <w:p>
            <w:pPr>
              <w:snapToGrid w:val="0"/>
              <w:spacing w:before="60" w:after="60"/>
              <w:ind w:right="480"/>
              <w:rPr>
                <w:rFonts w:hint="eastAsia" w:eastAsia="宋体" w:cs="Times New Roman"/>
                <w:color w:val="333333"/>
                <w:sz w:val="16"/>
                <w:szCs w:val="16"/>
                <w:lang w:val="en-US" w:eastAsia="zh-CN"/>
              </w:rPr>
            </w:pPr>
            <w:r>
              <w:rPr>
                <w:rFonts w:hint="eastAsia" w:eastAsia="宋体" w:cs="Times New Roman"/>
                <w:color w:val="333333"/>
                <w:sz w:val="16"/>
                <w:szCs w:val="16"/>
                <w:lang w:val="en-US" w:eastAsia="zh-CN"/>
              </w:rPr>
              <w:t>3</w:t>
            </w:r>
          </w:p>
        </w:tc>
        <w:tc>
          <w:tcPr>
            <w:tcW w:w="2437" w:type="dxa"/>
          </w:tcPr>
          <w:p>
            <w:pPr>
              <w:snapToGrid w:val="0"/>
              <w:spacing w:before="60" w:after="60"/>
              <w:ind w:right="480"/>
              <w:rPr>
                <w:rFonts w:eastAsia="Helvetica Neue" w:cs="Times New Roman"/>
                <w:color w:val="333333"/>
                <w:sz w:val="16"/>
                <w:szCs w:val="16"/>
              </w:rPr>
            </w:pPr>
            <w:r>
              <w:rPr>
                <w:rFonts w:hint="eastAsia" w:eastAsia="Helvetica Neue" w:cs="Times New Roman"/>
                <w:color w:val="333333"/>
                <w:sz w:val="16"/>
                <w:szCs w:val="16"/>
              </w:rPr>
              <w:t xml:space="preserve">SARS-COV-2 </w:t>
            </w:r>
            <w:r>
              <w:rPr>
                <w:rFonts w:hint="eastAsia" w:eastAsia="宋体" w:cs="Times New Roman"/>
                <w:color w:val="333333"/>
                <w:sz w:val="16"/>
                <w:szCs w:val="16"/>
                <w:lang w:val="en-US" w:eastAsia="zh-CN"/>
              </w:rPr>
              <w:t>NTD</w:t>
            </w:r>
            <w:r>
              <w:rPr>
                <w:rFonts w:hint="eastAsia" w:eastAsia="Helvetica Neue" w:cs="Times New Roman"/>
                <w:color w:val="333333"/>
                <w:sz w:val="16"/>
                <w:szCs w:val="16"/>
              </w:rPr>
              <w:t xml:space="preserve">-binding antibody </w:t>
            </w:r>
          </w:p>
        </w:tc>
        <w:tc>
          <w:tcPr>
            <w:tcW w:w="5474" w:type="dxa"/>
          </w:tcPr>
          <w:p>
            <w:pPr>
              <w:snapToGrid w:val="0"/>
              <w:spacing w:before="60" w:after="60"/>
              <w:ind w:right="480"/>
              <w:rPr>
                <w:rFonts w:hint="eastAsia" w:eastAsia="Helvetica Neue" w:cs="Times New Roman"/>
                <w:color w:val="333333"/>
                <w:sz w:val="16"/>
                <w:szCs w:val="16"/>
              </w:rPr>
            </w:pPr>
            <w:r>
              <w:rPr>
                <w:rFonts w:hint="eastAsia" w:eastAsia="Helvetica Neue" w:cs="Times New Roman"/>
                <w:color w:val="333333"/>
                <w:sz w:val="16"/>
                <w:szCs w:val="16"/>
              </w:rPr>
              <w:t>7</w:t>
            </w:r>
            <w:r>
              <w:rPr>
                <w:rFonts w:hint="eastAsia" w:eastAsia="宋体" w:cs="Times New Roman"/>
                <w:color w:val="333333"/>
                <w:sz w:val="16"/>
                <w:szCs w:val="16"/>
                <w:lang w:val="en-US" w:eastAsia="zh-CN"/>
              </w:rPr>
              <w:t>LY3</w:t>
            </w:r>
            <w:r>
              <w:rPr>
                <w:rFonts w:hint="eastAsia" w:eastAsia="Helvetica Neue" w:cs="Times New Roman"/>
                <w:color w:val="333333"/>
                <w:sz w:val="16"/>
                <w:szCs w:val="16"/>
              </w:rPr>
              <w:t>, 7</w:t>
            </w:r>
            <w:r>
              <w:rPr>
                <w:rFonts w:hint="eastAsia" w:eastAsia="宋体" w:cs="Times New Roman"/>
                <w:color w:val="333333"/>
                <w:sz w:val="16"/>
                <w:szCs w:val="16"/>
                <w:lang w:val="en-US" w:eastAsia="zh-CN"/>
              </w:rPr>
              <w:t>M8J</w:t>
            </w:r>
            <w:r>
              <w:rPr>
                <w:rFonts w:hint="eastAsia" w:eastAsia="Helvetica Neue" w:cs="Times New Roman"/>
                <w:color w:val="333333"/>
                <w:sz w:val="16"/>
                <w:szCs w:val="16"/>
              </w:rPr>
              <w:t>, 7</w:t>
            </w:r>
            <w:r>
              <w:rPr>
                <w:rFonts w:hint="eastAsia" w:eastAsia="宋体" w:cs="Times New Roman"/>
                <w:color w:val="333333"/>
                <w:sz w:val="16"/>
                <w:szCs w:val="16"/>
                <w:lang w:val="en-US" w:eastAsia="zh-CN"/>
              </w:rPr>
              <w:t>L2C</w:t>
            </w:r>
          </w:p>
        </w:tc>
      </w:tr>
    </w:tbl>
    <w:p>
      <w:pPr>
        <w:ind w:right="480"/>
      </w:pPr>
    </w:p>
    <w:p>
      <w:pPr>
        <w:pStyle w:val="3"/>
        <w:numPr>
          <w:ilvl w:val="0"/>
          <w:numId w:val="1"/>
        </w:numPr>
        <w:rPr>
          <w:rFonts w:cs="Times New Roman"/>
          <w:sz w:val="24"/>
          <w:szCs w:val="24"/>
        </w:rPr>
      </w:pPr>
      <w:r>
        <w:rPr>
          <w:rFonts w:cs="Times New Roman"/>
          <w:sz w:val="24"/>
          <w:szCs w:val="24"/>
        </w:rPr>
        <w:t>M</w:t>
      </w:r>
      <w:r>
        <w:rPr>
          <w:rFonts w:hint="eastAsia" w:cs="Times New Roman"/>
          <w:sz w:val="24"/>
          <w:szCs w:val="24"/>
        </w:rPr>
        <w:t>D</w:t>
      </w:r>
      <w:r>
        <w:rPr>
          <w:rFonts w:cs="Times New Roman"/>
          <w:sz w:val="24"/>
          <w:szCs w:val="24"/>
        </w:rPr>
        <w:t xml:space="preserve"> Simulations</w:t>
      </w:r>
    </w:p>
    <w:p>
      <w:pPr>
        <w:snapToGrid w:val="0"/>
        <w:spacing w:before="60" w:after="60"/>
        <w:ind w:right="480" w:firstLine="420" w:firstLineChars="200"/>
        <w:rPr>
          <w:rFonts w:eastAsia="微软雅黑" w:cs="Times New Roman"/>
          <w:color w:val="333333"/>
          <w:sz w:val="21"/>
          <w:szCs w:val="21"/>
        </w:rPr>
      </w:pPr>
      <w:r>
        <w:rPr>
          <w:rFonts w:eastAsia="微软雅黑" w:cs="Times New Roman"/>
          <w:color w:val="333333"/>
          <w:sz w:val="21"/>
          <w:szCs w:val="21"/>
        </w:rPr>
        <w:t>All the MD simulations were carried out by using the GROMACS 2021.3 package</w:t>
      </w:r>
      <w:r>
        <w:rPr>
          <w:rFonts w:hint="eastAsia" w:cs="Times New Roman" w:eastAsiaTheme="minorEastAsia"/>
          <w:color w:val="333333"/>
          <w:sz w:val="21"/>
          <w:szCs w:val="21"/>
          <w:vertAlign w:val="superscript"/>
        </w:rPr>
        <w:t>40,41</w:t>
      </w:r>
      <w:r>
        <w:rPr>
          <w:rFonts w:eastAsia="微软雅黑" w:cs="Times New Roman"/>
          <w:color w:val="333333"/>
          <w:sz w:val="21"/>
          <w:szCs w:val="21"/>
        </w:rPr>
        <w:t xml:space="preserve"> with Amber ff14sb force field</w:t>
      </w:r>
      <w:r>
        <w:rPr>
          <w:rFonts w:hint="eastAsia" w:eastAsia="微软雅黑" w:cs="Times New Roman"/>
          <w:color w:val="333333"/>
          <w:sz w:val="21"/>
          <w:szCs w:val="21"/>
          <w:vertAlign w:val="superscript"/>
        </w:rPr>
        <w:t>42</w:t>
      </w:r>
      <w:r>
        <w:rPr>
          <w:rFonts w:eastAsia="微软雅黑" w:cs="Times New Roman"/>
          <w:color w:val="333333"/>
          <w:sz w:val="21"/>
          <w:szCs w:val="21"/>
        </w:rPr>
        <w:t xml:space="preserve">. Detailed settings of the MD simulation are provided in the supplementary file. Briefly, missing residues and atoms in the downloaded structures were fixed by BioExcel (package?), followed by energy minimization (EM; steepest descent) steps. Water molecules embedded in the original experimental structure were preserved in the simulation. The EM step minimization is deemed to be converged when the maximum force is smaller than 900 </w:t>
      </w:r>
      <w:bookmarkStart w:id="1" w:name="OLE_LINK5"/>
      <w:r>
        <w:rPr>
          <w:rFonts w:eastAsia="微软雅黑" w:cs="Times New Roman"/>
          <w:color w:val="333333"/>
          <w:sz w:val="21"/>
          <w:szCs w:val="21"/>
        </w:rPr>
        <w:t>kJ/mol/nm</w:t>
      </w:r>
      <w:bookmarkEnd w:id="1"/>
      <w:r>
        <w:rPr>
          <w:rFonts w:eastAsia="微软雅黑" w:cs="Times New Roman"/>
          <w:color w:val="333333"/>
          <w:sz w:val="21"/>
          <w:szCs w:val="21"/>
        </w:rPr>
        <w:t>. TIP3P water was used in the system to fill the simulation box. The minimum distance between the protein molecule and the box was set as 15Å. NaCl at the effective concentration of 150 mM was added to the simulation box. Extra Na+ or Cl- ions were added to neutralize the simulation system. Then three EM steps were carried out to optimize the system. Heavy atoms within protein were position-restrained, with the force constant set as 1000 kJ/mol/nm</w:t>
      </w:r>
      <w:r>
        <w:rPr>
          <w:rFonts w:eastAsia="微软雅黑" w:cs="Times New Roman"/>
          <w:color w:val="333333"/>
          <w:sz w:val="21"/>
          <w:szCs w:val="21"/>
          <w:vertAlign w:val="superscript"/>
        </w:rPr>
        <w:t>2</w:t>
      </w:r>
      <w:r>
        <w:rPr>
          <w:rFonts w:eastAsia="微软雅黑" w:cs="Times New Roman"/>
          <w:color w:val="333333"/>
          <w:sz w:val="21"/>
          <w:szCs w:val="21"/>
        </w:rPr>
        <w:t xml:space="preserve"> and t</w:t>
      </w:r>
      <w:bookmarkStart w:id="2" w:name="OLE_LINK6"/>
      <w:r>
        <w:rPr>
          <w:rFonts w:eastAsia="微软雅黑" w:cs="Times New Roman"/>
          <w:color w:val="333333"/>
          <w:sz w:val="21"/>
          <w:szCs w:val="21"/>
        </w:rPr>
        <w:t>he maximum force set as 500 kJ/mol/nm</w:t>
      </w:r>
      <w:bookmarkEnd w:id="2"/>
      <w:r>
        <w:rPr>
          <w:rFonts w:eastAsia="微软雅黑" w:cs="Times New Roman"/>
          <w:color w:val="333333"/>
          <w:sz w:val="21"/>
          <w:szCs w:val="21"/>
        </w:rPr>
        <w:t xml:space="preserve"> in the 1</w:t>
      </w:r>
      <w:r>
        <w:rPr>
          <w:rFonts w:eastAsia="微软雅黑" w:cs="Times New Roman"/>
          <w:color w:val="333333"/>
          <w:sz w:val="21"/>
          <w:szCs w:val="21"/>
          <w:vertAlign w:val="superscript"/>
        </w:rPr>
        <w:t>st</w:t>
      </w:r>
      <w:r>
        <w:rPr>
          <w:rFonts w:eastAsia="微软雅黑" w:cs="Times New Roman"/>
          <w:color w:val="333333"/>
          <w:sz w:val="21"/>
          <w:szCs w:val="21"/>
        </w:rPr>
        <w:t xml:space="preserve"> EM. Position restraints were turned off in the next two EM steps. The maximum force was reduced to 300 and then 200 </w:t>
      </w:r>
      <w:bookmarkStart w:id="3" w:name="OLE_LINK7"/>
      <w:r>
        <w:rPr>
          <w:rFonts w:eastAsia="微软雅黑" w:cs="Times New Roman"/>
          <w:color w:val="333333"/>
          <w:sz w:val="21"/>
          <w:szCs w:val="21"/>
        </w:rPr>
        <w:t>kJ/mol/nm</w:t>
      </w:r>
      <w:bookmarkEnd w:id="3"/>
      <w:r>
        <w:rPr>
          <w:rFonts w:eastAsia="微软雅黑" w:cs="Times New Roman"/>
          <w:color w:val="333333"/>
          <w:sz w:val="21"/>
          <w:szCs w:val="21"/>
        </w:rPr>
        <w:t xml:space="preserve"> in the second and third EM steps.</w:t>
      </w:r>
    </w:p>
    <w:p>
      <w:pPr>
        <w:snapToGrid w:val="0"/>
        <w:spacing w:before="60" w:after="60"/>
        <w:ind w:right="480" w:firstLine="420" w:firstLineChars="200"/>
        <w:rPr>
          <w:rFonts w:eastAsia="微软雅黑" w:cs="Times New Roman"/>
          <w:color w:val="333333"/>
          <w:sz w:val="21"/>
          <w:szCs w:val="21"/>
        </w:rPr>
      </w:pPr>
      <w:r>
        <w:rPr>
          <w:rFonts w:eastAsia="微软雅黑" w:cs="Times New Roman"/>
          <w:color w:val="333333"/>
          <w:sz w:val="21"/>
          <w:szCs w:val="21"/>
        </w:rPr>
        <w:t>After EM steps, two position-restraint MD steps under the condition of NVT and NPT were used to equilibrate the system.  simulation, the temperature was gradually increased from 0 to 298 by simulated annealing, and NPT continued while both the protein was constrained with a spring constant of 1000kj/mol/nm^2. Finally, to sample more adequate conformational variations, 10ns relaxed NPT simulations were performed.</w:t>
      </w:r>
      <w:r>
        <w:rPr>
          <w:szCs w:val="24"/>
        </w:rPr>
        <w:t xml:space="preserve"> </w:t>
      </w:r>
    </w:p>
    <w:p>
      <w:pPr>
        <w:pStyle w:val="3"/>
        <w:numPr>
          <w:ilvl w:val="0"/>
          <w:numId w:val="1"/>
        </w:numPr>
        <w:rPr>
          <w:sz w:val="24"/>
          <w:szCs w:val="24"/>
        </w:rPr>
      </w:pPr>
      <w:r>
        <w:rPr>
          <w:sz w:val="24"/>
          <w:szCs w:val="24"/>
        </w:rPr>
        <w:t>Identification of i</w:t>
      </w:r>
      <w:r>
        <w:rPr>
          <w:rFonts w:hint="eastAsia"/>
          <w:sz w:val="24"/>
          <w:szCs w:val="24"/>
        </w:rPr>
        <w:t>nterfacial water</w:t>
      </w:r>
      <w:r>
        <w:rPr>
          <w:sz w:val="24"/>
          <w:szCs w:val="24"/>
        </w:rPr>
        <w:t xml:space="preserve"> molecules between RBD and antibody </w:t>
      </w:r>
    </w:p>
    <w:p>
      <w:pPr>
        <w:snapToGrid w:val="0"/>
        <w:spacing w:before="60" w:after="60"/>
        <w:ind w:right="480" w:firstLine="420" w:firstLineChars="200"/>
        <w:rPr>
          <w:rFonts w:eastAsia="Helvetica Neue" w:cs="Times New Roman"/>
          <w:color w:val="333333"/>
          <w:sz w:val="21"/>
          <w:szCs w:val="21"/>
        </w:rPr>
      </w:pPr>
      <w:r>
        <w:rPr>
          <w:rFonts w:eastAsia="Helvetica Neue" w:cs="Times New Roman"/>
          <w:color w:val="333333"/>
          <w:sz w:val="21"/>
          <w:szCs w:val="21"/>
        </w:rPr>
        <w:t>Interfacial water molecules have distinct structural and dynamic properties from those of bulk water and behave more like the water molecules in the hydration layer on the protein surface. Two metrics were used in the identification of surface water:</w:t>
      </w:r>
    </w:p>
    <w:p>
      <w:pPr>
        <w:snapToGrid w:val="0"/>
        <w:spacing w:before="60" w:after="60"/>
        <w:ind w:right="480" w:firstLine="420" w:firstLineChars="200"/>
        <w:rPr>
          <w:rFonts w:eastAsia="Helvetica Neue" w:cs="Times New Roman"/>
          <w:color w:val="333333"/>
          <w:sz w:val="21"/>
          <w:szCs w:val="21"/>
        </w:rPr>
      </w:pPr>
      <w:r>
        <w:rPr>
          <w:rFonts w:eastAsia="Helvetica Neue" w:cs="Times New Roman"/>
          <w:color w:val="333333"/>
          <w:sz w:val="21"/>
          <w:szCs w:val="21"/>
        </w:rPr>
        <w:t xml:space="preserve">1. </w:t>
      </w:r>
      <w:r>
        <w:rPr>
          <w:rFonts w:eastAsia="Helvetica Neue" w:cs="Times New Roman"/>
          <w:b/>
          <w:bCs/>
          <w:color w:val="333333"/>
          <w:sz w:val="21"/>
          <w:szCs w:val="21"/>
        </w:rPr>
        <w:t>RMS</w:t>
      </w:r>
      <w:r>
        <w:rPr>
          <w:rFonts w:hint="eastAsia" w:eastAsia="宋体" w:cs="Times New Roman"/>
          <w:b/>
          <w:bCs/>
          <w:color w:val="333333"/>
          <w:sz w:val="21"/>
          <w:szCs w:val="21"/>
          <w:lang w:val="en-US" w:eastAsia="zh-CN"/>
        </w:rPr>
        <w:t>F</w:t>
      </w:r>
      <w:r>
        <w:rPr>
          <w:rFonts w:eastAsia="Helvetica Neue" w:cs="Times New Roman"/>
          <w:b/>
          <w:bCs/>
          <w:color w:val="333333"/>
          <w:sz w:val="21"/>
          <w:szCs w:val="21"/>
        </w:rPr>
        <w:t>.</w:t>
      </w:r>
      <w:r>
        <w:rPr>
          <w:rFonts w:eastAsia="Helvetica Neue" w:cs="Times New Roman"/>
          <w:color w:val="333333"/>
          <w:sz w:val="21"/>
          <w:szCs w:val="21"/>
        </w:rPr>
        <w:t xml:space="preserve"> The RMS</w:t>
      </w:r>
      <w:r>
        <w:rPr>
          <w:rFonts w:hint="eastAsia" w:eastAsia="宋体" w:cs="Times New Roman"/>
          <w:color w:val="333333"/>
          <w:sz w:val="21"/>
          <w:szCs w:val="21"/>
          <w:lang w:val="en-US" w:eastAsia="zh-CN"/>
        </w:rPr>
        <w:t>F</w:t>
      </w:r>
      <w:r>
        <w:rPr>
          <w:rFonts w:eastAsia="Helvetica Neue" w:cs="Times New Roman"/>
          <w:color w:val="333333"/>
          <w:sz w:val="21"/>
          <w:szCs w:val="21"/>
        </w:rPr>
        <w:t xml:space="preserve"> of interfacial waters should be comparable to that of protein atoms within a short period of simulation time. The exchange of water molecules at the same position should also be considered.</w:t>
      </w:r>
    </w:p>
    <w:p>
      <w:pPr>
        <w:snapToGrid w:val="0"/>
        <w:spacing w:before="60" w:after="60"/>
        <w:ind w:right="480" w:firstLine="420" w:firstLineChars="200"/>
        <w:rPr>
          <w:rFonts w:eastAsia="Helvetica Neue" w:cs="Times New Roman"/>
          <w:color w:val="333333"/>
          <w:sz w:val="21"/>
          <w:szCs w:val="21"/>
        </w:rPr>
      </w:pPr>
      <w:r>
        <w:rPr>
          <w:rFonts w:eastAsia="Helvetica Neue" w:cs="Times New Roman"/>
          <w:color w:val="333333"/>
          <w:sz w:val="21"/>
          <w:szCs w:val="21"/>
        </w:rPr>
        <w:t xml:space="preserve">2. </w:t>
      </w:r>
      <w:r>
        <w:rPr>
          <w:rFonts w:eastAsia="Helvetica Neue" w:cs="Times New Roman"/>
          <w:b/>
          <w:bCs/>
          <w:color w:val="333333"/>
          <w:sz w:val="21"/>
          <w:szCs w:val="21"/>
        </w:rPr>
        <w:t>The shortest distance to protein all atoms.</w:t>
      </w:r>
      <w:r>
        <w:rPr>
          <w:rFonts w:eastAsia="Helvetica Neue" w:cs="Times New Roman"/>
          <w:color w:val="333333"/>
          <w:sz w:val="21"/>
          <w:szCs w:val="21"/>
        </w:rPr>
        <w:t xml:space="preserve"> The longest length of H-bond is ~3.5 angstrom</w:t>
      </w:r>
      <w:r>
        <w:rPr>
          <w:rFonts w:hint="eastAsia" w:eastAsia="宋体" w:cs="Times New Roman"/>
          <w:color w:val="333333"/>
          <w:sz w:val="21"/>
          <w:szCs w:val="21"/>
          <w:vertAlign w:val="superscript"/>
        </w:rPr>
        <w:t>39</w:t>
      </w:r>
      <w:r>
        <w:rPr>
          <w:rFonts w:eastAsia="Helvetica Neue" w:cs="Times New Roman"/>
          <w:color w:val="333333"/>
          <w:sz w:val="21"/>
          <w:szCs w:val="21"/>
        </w:rPr>
        <w:t>. The length of H-O bond inside water molecular is 0.96 angstrom [xxx]. So, interfacial water molecules should be within 3.5 angstrom of the protein atoms. Furthermore, if the shortest distance from a water molecule to the RBD and the shortest distance to the antibody are both less than 3.5, then it is on the binding surface. When considering the difference between these two distances, the water molecule can Recognized as part of RBD or antibody, in subsequent mmpbsa calculations.</w:t>
      </w:r>
    </w:p>
    <w:p>
      <w:pPr>
        <w:snapToGrid w:val="0"/>
        <w:spacing w:before="60" w:after="60"/>
        <w:ind w:right="480" w:firstLine="420" w:firstLineChars="200"/>
        <w:rPr>
          <w:rFonts w:eastAsia="Helvetica Neue" w:cs="Times New Roman"/>
          <w:color w:val="333333"/>
          <w:sz w:val="21"/>
          <w:szCs w:val="21"/>
        </w:rPr>
      </w:pPr>
      <w:r>
        <w:rPr>
          <w:rFonts w:eastAsia="Helvetica Neue" w:cs="Times New Roman"/>
          <w:color w:val="333333"/>
          <w:sz w:val="21"/>
          <w:szCs w:val="21"/>
        </w:rPr>
        <w:t>The sliding window algorithm is introduced to use the above two indicators at the same time. In detail, first, a window with a length of 50ps on the time axis is added to the simulation trajectory. For the trajectory segment covered by the window, water molecules are screened according to the RMS</w:t>
      </w:r>
      <w:r>
        <w:rPr>
          <w:rFonts w:hint="eastAsia" w:eastAsia="宋体" w:cs="Times New Roman"/>
          <w:color w:val="333333"/>
          <w:sz w:val="21"/>
          <w:szCs w:val="21"/>
          <w:lang w:val="en-US" w:eastAsia="zh-CN"/>
        </w:rPr>
        <w:t>F</w:t>
      </w:r>
      <w:r>
        <w:rPr>
          <w:rFonts w:eastAsia="Helvetica Neue" w:cs="Times New Roman"/>
          <w:color w:val="333333"/>
          <w:sz w:val="21"/>
          <w:szCs w:val="21"/>
        </w:rPr>
        <w:t xml:space="preserve"> less than 0.</w:t>
      </w:r>
      <w:r>
        <w:rPr>
          <w:rFonts w:hint="eastAsia" w:eastAsia="宋体" w:cs="Times New Roman"/>
          <w:color w:val="333333"/>
          <w:sz w:val="21"/>
          <w:szCs w:val="21"/>
          <w:lang w:val="en-US" w:eastAsia="zh-CN"/>
        </w:rPr>
        <w:t>3</w:t>
      </w:r>
      <w:r>
        <w:rPr>
          <w:rFonts w:eastAsia="Helvetica Neue" w:cs="Times New Roman"/>
          <w:color w:val="333333"/>
          <w:sz w:val="21"/>
          <w:szCs w:val="21"/>
        </w:rPr>
        <w:t xml:space="preserve"> and the sum of the shortest distance to the RBD and antibody is less than 7 (3.5*2=7). Then, the window moves backward by 50ps, and the above screening process is repeated on the new trajectory segment. Finally, a interfacial water molecule index table that changes dynamically over time is obtained, which will guide the grouping of ligands and receptors for all interfacial water molecules in mmpbsa calculations.</w:t>
      </w:r>
    </w:p>
    <w:p>
      <w:pPr>
        <w:snapToGrid w:val="0"/>
        <w:spacing w:before="60" w:after="60"/>
        <w:ind w:right="480" w:firstLine="420" w:firstLineChars="200"/>
        <w:rPr>
          <w:rFonts w:eastAsia="Helvetica Neue" w:cs="Times New Roman"/>
          <w:color w:val="333333"/>
          <w:sz w:val="21"/>
          <w:szCs w:val="21"/>
        </w:rPr>
      </w:pPr>
      <w:r>
        <w:rPr>
          <w:rFonts w:eastAsia="Helvetica Neue" w:cs="Times New Roman"/>
          <w:color w:val="333333"/>
          <w:sz w:val="21"/>
          <w:szCs w:val="21"/>
        </w:rPr>
        <w:t>Since the hydrated water molecule of binding interface maintains a stable RMS</w:t>
      </w:r>
      <w:r>
        <w:rPr>
          <w:rFonts w:hint="eastAsia" w:eastAsia="宋体" w:cs="Times New Roman"/>
          <w:color w:val="333333"/>
          <w:sz w:val="21"/>
          <w:szCs w:val="21"/>
          <w:lang w:val="en-US" w:eastAsia="zh-CN"/>
        </w:rPr>
        <w:t>F</w:t>
      </w:r>
      <w:r>
        <w:rPr>
          <w:rFonts w:eastAsia="Helvetica Neue" w:cs="Times New Roman"/>
          <w:color w:val="333333"/>
          <w:sz w:val="21"/>
          <w:szCs w:val="21"/>
        </w:rPr>
        <w:t xml:space="preserve"> close to the protein atom before escaping, our method of calculating its RMS</w:t>
      </w:r>
      <w:r>
        <w:rPr>
          <w:rFonts w:hint="eastAsia" w:eastAsia="宋体" w:cs="Times New Roman"/>
          <w:color w:val="333333"/>
          <w:sz w:val="21"/>
          <w:szCs w:val="21"/>
          <w:lang w:val="en-US" w:eastAsia="zh-CN"/>
        </w:rPr>
        <w:t>F</w:t>
      </w:r>
      <w:r>
        <w:rPr>
          <w:rFonts w:eastAsia="Helvetica Neue" w:cs="Times New Roman"/>
          <w:color w:val="333333"/>
          <w:sz w:val="21"/>
          <w:szCs w:val="21"/>
        </w:rPr>
        <w:t xml:space="preserve"> and distance in the short term is efficient. In theory, the shorter the length of the sliding window, the more reliable the screening of interfacial water. The visually friendly process is shown as Fig.1.</w:t>
      </w:r>
    </w:p>
    <w:p>
      <w:pPr>
        <w:snapToGrid w:val="0"/>
        <w:spacing w:before="60" w:after="60"/>
        <w:ind w:right="480"/>
        <w:rPr>
          <w:rFonts w:eastAsia="Helvetica Neue" w:cs="Times New Roman"/>
          <w:color w:val="333333"/>
          <w:szCs w:val="24"/>
        </w:rPr>
      </w:pPr>
      <w:r>
        <w:rPr>
          <w:rFonts w:eastAsia="Helvetica Neue" w:cs="Times New Roman"/>
          <w:color w:val="333333"/>
          <w:szCs w:val="24"/>
        </w:rPr>
        <w:drawing>
          <wp:inline distT="0" distB="0" distL="0" distR="0">
            <wp:extent cx="5760720" cy="2175510"/>
            <wp:effectExtent l="0" t="0" r="0" b="0"/>
            <wp:docPr id="10" name="图片 1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10;&#10;描述已自动生成"/>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175510"/>
                    </a:xfrm>
                    <a:prstGeom prst="rect">
                      <a:avLst/>
                    </a:prstGeom>
                  </pic:spPr>
                </pic:pic>
              </a:graphicData>
            </a:graphic>
          </wp:inline>
        </w:drawing>
      </w:r>
    </w:p>
    <w:p>
      <w:pPr>
        <w:snapToGrid w:val="0"/>
        <w:spacing w:before="60" w:after="60"/>
        <w:ind w:right="480"/>
        <w:jc w:val="center"/>
        <w:rPr>
          <w:rFonts w:cs="Times New Roman"/>
          <w:color w:val="333333"/>
          <w:sz w:val="20"/>
          <w:szCs w:val="20"/>
        </w:rPr>
      </w:pPr>
      <w:r>
        <w:rPr>
          <w:rFonts w:cs="Times New Roman"/>
          <w:color w:val="333333"/>
          <w:sz w:val="20"/>
          <w:szCs w:val="20"/>
        </w:rPr>
        <w:t>Fig.1 The screening process of hydration water molecules</w:t>
      </w:r>
    </w:p>
    <w:p>
      <w:pPr>
        <w:snapToGrid w:val="0"/>
        <w:spacing w:before="60" w:after="60"/>
        <w:ind w:right="480"/>
        <w:rPr>
          <w:rFonts w:cs="Times New Roman" w:eastAsiaTheme="minorEastAsia"/>
          <w:color w:val="333333"/>
          <w:sz w:val="21"/>
          <w:szCs w:val="21"/>
        </w:rPr>
      </w:pPr>
      <w:r>
        <w:rPr>
          <w:rFonts w:cs="Times New Roman" w:eastAsiaTheme="minorEastAsia"/>
          <w:color w:val="333333"/>
          <w:szCs w:val="24"/>
        </w:rPr>
        <w:t xml:space="preserve">  </w:t>
      </w:r>
      <w:r>
        <w:rPr>
          <w:rFonts w:cs="Times New Roman" w:eastAsiaTheme="minorEastAsia"/>
          <w:color w:val="333333"/>
          <w:sz w:val="21"/>
          <w:szCs w:val="21"/>
        </w:rPr>
        <w:t xml:space="preserve">  In the MMPBSA calculation, each sampling frame can be located by a window, corresponding to a grouping index table. We report a python script to search hydration-water and then perform MMPBSA calculation for automated mass production. It has user-friendly interface and needs only topology and trajectory file from </w:t>
      </w:r>
      <w:r>
        <w:rPr>
          <w:rFonts w:cs="Times New Roman" w:eastAsiaTheme="minorEastAsia"/>
          <w:i/>
          <w:iCs/>
          <w:color w:val="333333"/>
          <w:sz w:val="21"/>
          <w:szCs w:val="21"/>
        </w:rPr>
        <w:t>Gromacs</w:t>
      </w:r>
      <w:r>
        <w:rPr>
          <w:rFonts w:hint="eastAsia" w:cs="Times New Roman" w:eastAsiaTheme="minorEastAsia"/>
          <w:i/>
          <w:iCs/>
          <w:color w:val="333333"/>
          <w:sz w:val="21"/>
          <w:szCs w:val="21"/>
          <w:vertAlign w:val="superscript"/>
        </w:rPr>
        <w:t>40,41</w:t>
      </w:r>
      <w:r>
        <w:rPr>
          <w:rFonts w:cs="Times New Roman" w:eastAsiaTheme="minorEastAsia"/>
          <w:color w:val="333333"/>
          <w:sz w:val="21"/>
          <w:szCs w:val="21"/>
        </w:rPr>
        <w:t xml:space="preserve"> and some few parameters, which can be fined in </w:t>
      </w:r>
      <w:r>
        <w:rPr>
          <w:rFonts w:hint="eastAsia" w:cs="Times New Roman" w:eastAsiaTheme="minorEastAsia"/>
          <w:color w:val="333333"/>
          <w:sz w:val="21"/>
          <w:szCs w:val="21"/>
        </w:rPr>
        <w:t>s</w:t>
      </w:r>
      <w:r>
        <w:rPr>
          <w:rFonts w:cs="Times New Roman" w:eastAsiaTheme="minorEastAsia"/>
          <w:color w:val="333333"/>
          <w:sz w:val="21"/>
          <w:szCs w:val="21"/>
        </w:rPr>
        <w:t>upplementary.</w:t>
      </w:r>
    </w:p>
    <w:p>
      <w:pPr>
        <w:snapToGrid w:val="0"/>
        <w:spacing w:before="60" w:after="60"/>
        <w:ind w:right="480" w:firstLine="420" w:firstLineChars="200"/>
        <w:rPr>
          <w:rFonts w:eastAsia="微软雅黑" w:cs="Times New Roman"/>
          <w:color w:val="333333"/>
          <w:sz w:val="21"/>
          <w:szCs w:val="21"/>
        </w:rPr>
      </w:pPr>
    </w:p>
    <w:p>
      <w:pPr>
        <w:pStyle w:val="3"/>
        <w:numPr>
          <w:ilvl w:val="0"/>
          <w:numId w:val="1"/>
        </w:numPr>
        <w:rPr>
          <w:rFonts w:cs="Times New Roman"/>
          <w:sz w:val="24"/>
          <w:szCs w:val="24"/>
        </w:rPr>
      </w:pPr>
      <w:r>
        <w:rPr>
          <w:rFonts w:hint="eastAsia" w:cs="Times New Roman"/>
          <w:sz w:val="24"/>
          <w:szCs w:val="24"/>
        </w:rPr>
        <w:t xml:space="preserve">Screening </w:t>
      </w:r>
      <w:r>
        <w:rPr>
          <w:rFonts w:cs="Times New Roman"/>
          <w:sz w:val="24"/>
          <w:szCs w:val="24"/>
        </w:rPr>
        <w:t>MM</w:t>
      </w:r>
      <w:r>
        <w:rPr>
          <w:rFonts w:hint="eastAsia" w:cs="Times New Roman"/>
          <w:sz w:val="24"/>
          <w:szCs w:val="24"/>
        </w:rPr>
        <w:t>/</w:t>
      </w:r>
      <w:r>
        <w:rPr>
          <w:rFonts w:cs="Times New Roman"/>
          <w:sz w:val="24"/>
          <w:szCs w:val="24"/>
        </w:rPr>
        <w:t>PBSA</w:t>
      </w:r>
    </w:p>
    <w:p>
      <w:pPr>
        <w:snapToGrid w:val="0"/>
        <w:spacing w:before="60" w:after="60"/>
        <w:ind w:right="480" w:firstLine="420" w:firstLineChars="200"/>
        <w:rPr>
          <w:rFonts w:eastAsia="微软雅黑" w:cs="Times New Roman"/>
          <w:color w:val="333333"/>
          <w:sz w:val="21"/>
          <w:szCs w:val="21"/>
        </w:rPr>
      </w:pPr>
      <w:r>
        <w:rPr>
          <w:rFonts w:eastAsia="微软雅黑" w:cs="Times New Roman"/>
          <w:color w:val="333333"/>
          <w:sz w:val="21"/>
          <w:szCs w:val="21"/>
        </w:rPr>
        <w:t>After the MD simulation and selection of interfacial water molecules, the s</w:t>
      </w:r>
      <w:r>
        <w:rPr>
          <w:rFonts w:hint="eastAsia" w:eastAsia="微软雅黑" w:cs="Times New Roman"/>
          <w:color w:val="333333"/>
          <w:sz w:val="21"/>
          <w:szCs w:val="21"/>
        </w:rPr>
        <w:t xml:space="preserve">tandard </w:t>
      </w:r>
      <w:r>
        <w:rPr>
          <w:rFonts w:eastAsia="微软雅黑" w:cs="Times New Roman"/>
          <w:color w:val="333333"/>
          <w:sz w:val="21"/>
          <w:szCs w:val="21"/>
        </w:rPr>
        <w:t xml:space="preserve">procedure of </w:t>
      </w:r>
      <w:r>
        <w:rPr>
          <w:rFonts w:hint="eastAsia" w:eastAsia="微软雅黑" w:cs="Times New Roman"/>
          <w:color w:val="333333"/>
          <w:sz w:val="21"/>
          <w:szCs w:val="21"/>
        </w:rPr>
        <w:t xml:space="preserve">MM/PBSA </w:t>
      </w:r>
      <w:r>
        <w:rPr>
          <w:rFonts w:eastAsia="微软雅黑" w:cs="Times New Roman"/>
          <w:color w:val="333333"/>
          <w:sz w:val="21"/>
          <w:szCs w:val="21"/>
        </w:rPr>
        <w:t>was applied to extract t</w:t>
      </w:r>
      <w:r>
        <w:rPr>
          <w:rFonts w:hint="eastAsia" w:eastAsia="微软雅黑" w:cs="Times New Roman"/>
          <w:color w:val="333333"/>
          <w:sz w:val="21"/>
          <w:szCs w:val="21"/>
        </w:rPr>
        <w:t xml:space="preserve">he binding free energy between </w:t>
      </w:r>
      <w:r>
        <w:rPr>
          <w:rFonts w:eastAsia="微软雅黑" w:cs="Times New Roman"/>
          <w:color w:val="333333"/>
          <w:sz w:val="21"/>
          <w:szCs w:val="21"/>
        </w:rPr>
        <w:t>RBD and antibody (ref?).</w:t>
      </w:r>
    </w:p>
    <w:p>
      <w:pPr>
        <w:snapToGrid w:val="0"/>
        <w:spacing w:before="60" w:after="60"/>
        <w:ind w:left="628" w:leftChars="174" w:right="480" w:hanging="210" w:hangingChars="100"/>
        <w:rPr>
          <w:rFonts w:eastAsia="宋体" w:cs="Times New Roman"/>
          <w:color w:val="333333"/>
          <w:sz w:val="21"/>
          <w:szCs w:val="21"/>
        </w:rPr>
      </w:pPr>
      <w:r>
        <w:rPr>
          <w:rFonts w:hint="eastAsia" w:eastAsia="宋体" w:cs="Times New Roman"/>
          <w:color w:val="333333"/>
          <w:position w:val="-12"/>
          <w:sz w:val="21"/>
          <w:szCs w:val="21"/>
        </w:rPr>
        <w:object>
          <v:shape id="_x0000_i1025" o:spt="75" type="#_x0000_t75" style="height:17.9pt;width:321.7pt;" o:ole="t" filled="f" o:preferrelative="t" stroked="f" coordsize="21600,21600">
            <v:path/>
            <v:fill on="f" focussize="0,0"/>
            <v:stroke on="f" joinstyle="miter"/>
            <v:imagedata r:id="rId14" o:title=""/>
            <o:lock v:ext="edit" aspectratio="t"/>
            <w10:wrap type="none"/>
            <w10:anchorlock/>
          </v:shape>
          <o:OLEObject Type="Embed" ProgID="Equation.KSEE3" ShapeID="_x0000_i1025" DrawAspect="Content" ObjectID="_1468075725" r:id="rId13">
            <o:LockedField>false</o:LockedField>
          </o:OLEObject>
        </w:object>
      </w:r>
    </w:p>
    <w:p>
      <w:pPr>
        <w:snapToGrid w:val="0"/>
        <w:spacing w:before="60" w:after="60"/>
        <w:ind w:right="480"/>
        <w:rPr>
          <w:rFonts w:eastAsia="宋体" w:cs="Times New Roman"/>
          <w:color w:val="333333"/>
          <w:sz w:val="21"/>
          <w:szCs w:val="21"/>
        </w:rPr>
      </w:pPr>
      <w:r>
        <w:rPr>
          <w:rFonts w:eastAsia="宋体" w:cs="Times New Roman"/>
          <w:color w:val="333333"/>
          <w:sz w:val="21"/>
          <w:szCs w:val="21"/>
        </w:rPr>
        <w:t xml:space="preserve">, </w:t>
      </w:r>
      <w:r>
        <w:rPr>
          <w:rFonts w:hint="eastAsia" w:eastAsia="宋体" w:cs="Times New Roman"/>
          <w:color w:val="333333"/>
          <w:sz w:val="21"/>
          <w:szCs w:val="21"/>
        </w:rPr>
        <w:t>where</w:t>
      </w:r>
      <w:r>
        <w:rPr>
          <w:rFonts w:hint="eastAsia" w:eastAsia="微软雅黑" w:cs="Times New Roman"/>
          <w:color w:val="333333"/>
          <w:position w:val="-12"/>
          <w:sz w:val="21"/>
          <w:szCs w:val="21"/>
        </w:rPr>
        <w:object>
          <v:shape id="_x0000_i1026" o:spt="75" type="#_x0000_t75" style="height:17.9pt;width:27.05pt;" o:ole="t" filled="f" o:preferrelative="t" stroked="f" coordsize="21600,21600">
            <v:path/>
            <v:fill on="f" focussize="0,0"/>
            <v:stroke on="f" joinstyle="miter"/>
            <v:imagedata r:id="rId16" o:title=""/>
            <o:lock v:ext="edit" aspectratio="t"/>
            <w10:wrap type="none"/>
            <w10:anchorlock/>
          </v:shape>
          <o:OLEObject Type="Embed" ProgID="Equation.KSEE3" ShapeID="_x0000_i1026" DrawAspect="Content" ObjectID="_1468075726" r:id="rId15">
            <o:LockedField>false</o:LockedField>
          </o:OLEObject>
        </w:object>
      </w:r>
      <w:r>
        <w:rPr>
          <w:rFonts w:hint="eastAsia" w:eastAsia="宋体" w:cs="Times New Roman"/>
          <w:color w:val="333333"/>
          <w:sz w:val="21"/>
          <w:szCs w:val="21"/>
        </w:rPr>
        <w:t>is th</w:t>
      </w:r>
      <w:r>
        <w:rPr>
          <w:rFonts w:eastAsia="宋体" w:cs="Times New Roman"/>
          <w:color w:val="333333"/>
          <w:sz w:val="21"/>
          <w:szCs w:val="21"/>
        </w:rPr>
        <w:t xml:space="preserve">e </w:t>
      </w:r>
      <w:r>
        <w:rPr>
          <w:rFonts w:hint="eastAsia" w:eastAsia="宋体" w:cs="Times New Roman"/>
          <w:color w:val="333333"/>
          <w:sz w:val="21"/>
          <w:szCs w:val="21"/>
        </w:rPr>
        <w:t>electrostatic interaction</w:t>
      </w:r>
      <w:r>
        <w:rPr>
          <w:rFonts w:eastAsia="宋体" w:cs="Times New Roman"/>
          <w:color w:val="333333"/>
          <w:sz w:val="21"/>
          <w:szCs w:val="21"/>
        </w:rPr>
        <w:t xml:space="preserve"> energy</w:t>
      </w:r>
      <w:r>
        <w:rPr>
          <w:rFonts w:hint="eastAsia" w:eastAsia="宋体" w:cs="Times New Roman"/>
          <w:color w:val="333333"/>
          <w:sz w:val="21"/>
          <w:szCs w:val="21"/>
        </w:rPr>
        <w:t xml:space="preserve">, </w:t>
      </w:r>
      <w:r>
        <w:rPr>
          <w:rFonts w:hint="eastAsia" w:eastAsia="微软雅黑" w:cs="Times New Roman"/>
          <w:color w:val="333333"/>
          <w:position w:val="-12"/>
          <w:sz w:val="21"/>
          <w:szCs w:val="21"/>
        </w:rPr>
        <w:object>
          <v:shape id="_x0000_i1027" o:spt="75" type="#_x0000_t75" style="height:17.9pt;width:30.8pt;" o:ole="t" filled="f" o:preferrelative="t" stroked="f" coordsize="21600,21600">
            <v:path/>
            <v:fill on="f" focussize="0,0"/>
            <v:stroke on="f" joinstyle="miter"/>
            <v:imagedata r:id="rId18" o:title=""/>
            <o:lock v:ext="edit" aspectratio="t"/>
            <w10:wrap type="none"/>
            <w10:anchorlock/>
          </v:shape>
          <o:OLEObject Type="Embed" ProgID="Equation.KSEE3" ShapeID="_x0000_i1027" DrawAspect="Content" ObjectID="_1468075727" r:id="rId17">
            <o:LockedField>false</o:LockedField>
          </o:OLEObject>
        </w:object>
      </w:r>
      <w:r>
        <w:rPr>
          <w:rFonts w:hint="eastAsia" w:eastAsia="宋体" w:cs="Times New Roman"/>
          <w:color w:val="333333"/>
          <w:sz w:val="21"/>
          <w:szCs w:val="21"/>
        </w:rPr>
        <w:t>is the van der Waals interaction</w:t>
      </w:r>
      <w:r>
        <w:rPr>
          <w:rFonts w:eastAsia="宋体" w:cs="Times New Roman"/>
          <w:color w:val="333333"/>
          <w:sz w:val="21"/>
          <w:szCs w:val="21"/>
        </w:rPr>
        <w:t xml:space="preserve"> energy</w:t>
      </w:r>
      <w:r>
        <w:rPr>
          <w:rFonts w:hint="eastAsia" w:eastAsia="宋体" w:cs="Times New Roman"/>
          <w:color w:val="333333"/>
          <w:sz w:val="21"/>
          <w:szCs w:val="21"/>
        </w:rPr>
        <w:t xml:space="preserve">, and </w:t>
      </w:r>
      <w:r>
        <w:rPr>
          <w:rFonts w:ascii="Symbol" w:hAnsi="Symbol" w:eastAsia="宋体" w:cs="Times New Roman"/>
          <w:i/>
          <w:iCs/>
          <w:color w:val="333333"/>
          <w:sz w:val="21"/>
          <w:szCs w:val="21"/>
        </w:rPr>
        <w:t>D</w:t>
      </w:r>
      <w:r>
        <w:rPr>
          <w:rFonts w:eastAsia="宋体" w:cs="Times New Roman"/>
          <w:i/>
          <w:iCs/>
          <w:color w:val="333333"/>
          <w:sz w:val="21"/>
          <w:szCs w:val="21"/>
        </w:rPr>
        <w:t>G</w:t>
      </w:r>
      <w:r>
        <w:rPr>
          <w:rFonts w:hint="eastAsia" w:eastAsia="宋体" w:cs="Times New Roman"/>
          <w:i/>
          <w:iCs/>
          <w:color w:val="333333"/>
          <w:sz w:val="21"/>
          <w:szCs w:val="21"/>
          <w:vertAlign w:val="subscript"/>
        </w:rPr>
        <w:t>PB</w:t>
      </w:r>
      <w:r>
        <w:rPr>
          <w:rFonts w:hint="eastAsia" w:eastAsia="宋体" w:cs="Times New Roman"/>
          <w:color w:val="333333"/>
          <w:sz w:val="21"/>
          <w:szCs w:val="21"/>
        </w:rPr>
        <w:t xml:space="preserve"> and </w:t>
      </w:r>
      <w:r>
        <w:rPr>
          <w:rFonts w:ascii="Symbol" w:hAnsi="Symbol" w:eastAsia="宋体" w:cs="Times New Roman"/>
          <w:i/>
          <w:iCs/>
          <w:color w:val="333333"/>
          <w:sz w:val="21"/>
          <w:szCs w:val="21"/>
        </w:rPr>
        <w:t>D</w:t>
      </w:r>
      <w:r>
        <w:rPr>
          <w:rFonts w:eastAsia="宋体" w:cs="Times New Roman"/>
          <w:i/>
          <w:iCs/>
          <w:color w:val="333333"/>
          <w:sz w:val="21"/>
          <w:szCs w:val="21"/>
        </w:rPr>
        <w:t>G</w:t>
      </w:r>
      <w:r>
        <w:rPr>
          <w:rFonts w:hint="eastAsia" w:eastAsia="宋体" w:cs="Times New Roman"/>
          <w:i/>
          <w:iCs/>
          <w:color w:val="333333"/>
          <w:sz w:val="21"/>
          <w:szCs w:val="21"/>
          <w:vertAlign w:val="subscript"/>
        </w:rPr>
        <w:t>SA</w:t>
      </w:r>
      <w:r>
        <w:rPr>
          <w:rFonts w:hint="eastAsia" w:eastAsia="宋体" w:cs="Times New Roman"/>
          <w:color w:val="333333"/>
          <w:sz w:val="21"/>
          <w:szCs w:val="21"/>
        </w:rPr>
        <w:t xml:space="preserve"> are the polar and </w:t>
      </w:r>
      <w:r>
        <w:rPr>
          <w:rFonts w:eastAsia="宋体" w:cs="Times New Roman"/>
          <w:color w:val="333333"/>
          <w:sz w:val="21"/>
          <w:szCs w:val="21"/>
        </w:rPr>
        <w:t>non-</w:t>
      </w:r>
      <w:r>
        <w:rPr>
          <w:rFonts w:hint="eastAsia" w:eastAsia="宋体" w:cs="Times New Roman"/>
          <w:color w:val="333333"/>
          <w:sz w:val="21"/>
          <w:szCs w:val="21"/>
        </w:rPr>
        <w:t xml:space="preserve">polar solvation free energies, respectively. </w:t>
      </w:r>
      <w:r>
        <w:rPr>
          <w:rFonts w:hint="eastAsia" w:eastAsia="微软雅黑" w:cs="Times New Roman"/>
          <w:color w:val="333333"/>
          <w:sz w:val="21"/>
          <w:szCs w:val="21"/>
        </w:rPr>
        <w:t xml:space="preserve">The electrostatic term </w:t>
      </w:r>
      <w:r>
        <w:rPr>
          <w:rFonts w:eastAsia="微软雅黑" w:cs="Times New Roman"/>
          <w:color w:val="333333"/>
          <w:sz w:val="21"/>
          <w:szCs w:val="21"/>
        </w:rPr>
        <w:t xml:space="preserve">describes explicit </w:t>
      </w:r>
      <w:r>
        <w:rPr>
          <w:rFonts w:hint="eastAsia" w:eastAsia="微软雅黑" w:cs="Times New Roman"/>
          <w:color w:val="333333"/>
          <w:sz w:val="21"/>
          <w:szCs w:val="21"/>
        </w:rPr>
        <w:t xml:space="preserve">Coulomb interaction between atoms </w:t>
      </w:r>
      <w:r>
        <w:rPr>
          <w:rFonts w:eastAsia="微软雅黑" w:cs="Times New Roman"/>
          <w:color w:val="333333"/>
          <w:sz w:val="21"/>
          <w:szCs w:val="21"/>
        </w:rPr>
        <w:t>of RBD and antibody:</w:t>
      </w:r>
    </w:p>
    <w:p>
      <w:pPr>
        <w:snapToGrid w:val="0"/>
        <w:spacing w:before="60" w:after="60"/>
        <w:ind w:right="480" w:firstLine="480" w:firstLineChars="200"/>
        <w:rPr>
          <w:rFonts w:eastAsia="微软雅黑" w:cs="Times New Roman"/>
          <w:color w:val="333333"/>
          <w:szCs w:val="24"/>
        </w:rPr>
      </w:pPr>
      <w:r>
        <w:rPr>
          <w:rFonts w:hint="eastAsia" w:eastAsia="微软雅黑" w:cs="Times New Roman"/>
          <w:color w:val="333333"/>
          <w:position w:val="-32"/>
          <w:szCs w:val="24"/>
        </w:rPr>
        <w:object>
          <v:shape id="_x0000_i1028" o:spt="75" type="#_x0000_t75" style="height:36.6pt;width:310.9pt;" o:ole="t" filled="f" o:preferrelative="t" stroked="f" coordsize="21600,21600">
            <v:path/>
            <v:fill on="f" focussize="0,0"/>
            <v:stroke on="f" joinstyle="miter"/>
            <v:imagedata r:id="rId20" o:title=""/>
            <o:lock v:ext="edit" aspectratio="t"/>
            <w10:wrap type="none"/>
            <w10:anchorlock/>
          </v:shape>
          <o:OLEObject Type="Embed" ProgID="Equation.KSEE3" ShapeID="_x0000_i1028" DrawAspect="Content" ObjectID="_1468075728" r:id="rId19">
            <o:LockedField>false</o:LockedField>
          </o:OLEObject>
        </w:object>
      </w:r>
    </w:p>
    <w:p>
      <w:pPr>
        <w:snapToGrid w:val="0"/>
        <w:spacing w:before="60" w:after="60"/>
        <w:ind w:right="480" w:firstLine="420" w:firstLineChars="200"/>
        <w:rPr>
          <w:rFonts w:eastAsia="微软雅黑" w:cs="Times New Roman"/>
          <w:color w:val="333333"/>
          <w:szCs w:val="24"/>
        </w:rPr>
      </w:pPr>
      <w:r>
        <w:rPr>
          <w:rFonts w:eastAsia="Helvetica Neue" w:cs="Times New Roman"/>
          <w:color w:val="333333"/>
          <w:sz w:val="21"/>
          <w:szCs w:val="21"/>
        </w:rPr>
        <w:t xml:space="preserve">, where </w:t>
      </w:r>
      <w:r>
        <w:rPr>
          <w:rFonts w:ascii="Symbol" w:hAnsi="Symbol" w:eastAsia="Helvetica Neue" w:cs="Times New Roman"/>
          <w:color w:val="333333"/>
          <w:sz w:val="21"/>
          <w:szCs w:val="21"/>
        </w:rPr>
        <w:t>e</w:t>
      </w:r>
      <w:r>
        <w:rPr>
          <w:rFonts w:eastAsia="Helvetica Neue" w:cs="Times New Roman"/>
          <w:color w:val="333333"/>
          <w:sz w:val="21"/>
          <w:szCs w:val="21"/>
          <w:vertAlign w:val="subscript"/>
        </w:rPr>
        <w:t>0</w:t>
      </w:r>
      <w:r>
        <w:rPr>
          <w:rFonts w:eastAsia="Helvetica Neue" w:cs="Times New Roman"/>
          <w:color w:val="333333"/>
          <w:sz w:val="21"/>
          <w:szCs w:val="21"/>
        </w:rPr>
        <w:t xml:space="preserve"> is the dielectric constant in vacuum and </w:t>
      </w:r>
      <w:r>
        <w:rPr>
          <w:rFonts w:ascii="Symbol" w:hAnsi="Symbol" w:eastAsia="Helvetica Neue" w:cs="Times New Roman"/>
          <w:color w:val="333333"/>
          <w:sz w:val="21"/>
          <w:szCs w:val="21"/>
        </w:rPr>
        <w:t>e</w:t>
      </w:r>
      <w:r>
        <w:rPr>
          <w:rFonts w:eastAsia="Helvetica Neue" w:cs="Times New Roman"/>
          <w:color w:val="333333"/>
          <w:sz w:val="21"/>
          <w:szCs w:val="21"/>
          <w:vertAlign w:val="subscript"/>
        </w:rPr>
        <w:t>in</w:t>
      </w:r>
      <w:r>
        <w:rPr>
          <w:rFonts w:eastAsia="Helvetica Neue" w:cs="Times New Roman"/>
          <w:color w:val="333333"/>
          <w:sz w:val="21"/>
          <w:szCs w:val="21"/>
        </w:rPr>
        <w:t xml:space="preserve"> is the relative dieletric constant. Here we adopted the method of</w:t>
      </w:r>
      <w:r>
        <w:rPr>
          <w:rFonts w:hint="eastAsia" w:eastAsia="宋体" w:cs="Times New Roman"/>
          <w:color w:val="333333"/>
          <w:sz w:val="21"/>
          <w:szCs w:val="21"/>
        </w:rPr>
        <w:t xml:space="preserve"> screening </w:t>
      </w:r>
      <w:r>
        <w:rPr>
          <w:rFonts w:eastAsia="Helvetica Neue" w:cs="Times New Roman"/>
          <w:color w:val="333333"/>
          <w:sz w:val="21"/>
          <w:szCs w:val="21"/>
        </w:rPr>
        <w:t>MM/PBSA, which performed better for interactions involving charged residues by adding an exponential damping factor to the Columbic term (ref? RBD-Ab are highly charged?),</w:t>
      </w:r>
    </w:p>
    <w:p>
      <w:pPr>
        <w:snapToGrid w:val="0"/>
        <w:spacing w:before="60" w:after="60"/>
        <w:ind w:right="480" w:firstLine="420"/>
        <w:rPr>
          <w:rFonts w:eastAsia="微软雅黑" w:cs="Times New Roman"/>
          <w:color w:val="333333"/>
          <w:szCs w:val="24"/>
        </w:rPr>
      </w:pPr>
      <w:r>
        <w:rPr>
          <w:rFonts w:hint="eastAsia" w:eastAsia="微软雅黑" w:cs="Times New Roman"/>
          <w:color w:val="333333"/>
          <w:position w:val="-32"/>
          <w:szCs w:val="24"/>
        </w:rPr>
        <w:object>
          <v:shape id="_x0000_i1029" o:spt="75" type="#_x0000_t75" style="height:36.6pt;width:308.8pt;" o:ole="t" filled="f" o:preferrelative="t" stroked="f" coordsize="21600,21600">
            <v:path/>
            <v:fill on="f" focussize="0,0"/>
            <v:stroke on="f" joinstyle="miter"/>
            <v:imagedata r:id="rId22" o:title=""/>
            <o:lock v:ext="edit" aspectratio="t"/>
            <w10:wrap type="none"/>
            <w10:anchorlock/>
          </v:shape>
          <o:OLEObject Type="Embed" ProgID="Equation.KSEE3" ShapeID="_x0000_i1029" DrawAspect="Content" ObjectID="_1468075729" r:id="rId21">
            <o:LockedField>false</o:LockedField>
          </o:OLEObject>
        </w:object>
      </w:r>
    </w:p>
    <w:p>
      <w:pPr>
        <w:snapToGrid w:val="0"/>
        <w:spacing w:before="60" w:after="60"/>
        <w:ind w:right="480" w:firstLine="420" w:firstLineChars="200"/>
        <w:rPr>
          <w:rFonts w:eastAsia="Helvetica Neue" w:cs="Times New Roman"/>
          <w:color w:val="333333"/>
          <w:sz w:val="21"/>
          <w:szCs w:val="21"/>
        </w:rPr>
      </w:pPr>
      <w:r>
        <w:rPr>
          <w:rFonts w:eastAsia="Helvetica Neue" w:cs="Times New Roman"/>
          <w:color w:val="333333"/>
          <w:sz w:val="21"/>
          <w:szCs w:val="21"/>
        </w:rPr>
        <w:t>, where λ</w:t>
      </w:r>
      <w:r>
        <w:rPr>
          <w:rFonts w:eastAsia="Helvetica Neue" w:cs="Times New Roman"/>
          <w:color w:val="333333"/>
          <w:sz w:val="21"/>
          <w:szCs w:val="21"/>
          <w:vertAlign w:val="subscript"/>
        </w:rPr>
        <w:t>D</w:t>
      </w:r>
      <w:r>
        <w:rPr>
          <w:rFonts w:eastAsia="Helvetica Neue" w:cs="Times New Roman"/>
          <w:color w:val="333333"/>
          <w:sz w:val="21"/>
          <w:szCs w:val="21"/>
        </w:rPr>
        <w:t xml:space="preserve"> is the screening length and defined by the following equation:</w:t>
      </w:r>
    </w:p>
    <w:p>
      <w:pPr>
        <w:snapToGrid w:val="0"/>
        <w:spacing w:before="60" w:after="60"/>
        <w:ind w:right="480" w:firstLine="420" w:firstLineChars="200"/>
        <w:rPr>
          <w:rFonts w:eastAsia="Helvetica Neue" w:cs="Times New Roman"/>
          <w:color w:val="333333"/>
          <w:sz w:val="21"/>
          <w:szCs w:val="21"/>
        </w:rPr>
      </w:pPr>
      <w:r>
        <w:rPr>
          <w:rFonts w:hint="eastAsia" w:eastAsia="宋体" w:cs="Times New Roman"/>
          <w:color w:val="333333"/>
          <w:position w:val="-18"/>
          <w:sz w:val="21"/>
          <w:szCs w:val="21"/>
        </w:rPr>
        <w:object>
          <v:shape id="_x0000_i1030" o:spt="75" type="#_x0000_t75" style="height:24.55pt;width:134.85pt;" o:ole="t" filled="f" o:preferrelative="t" stroked="f" coordsize="21600,21600">
            <v:path/>
            <v:fill on="f" focussize="0,0"/>
            <v:stroke on="f" joinstyle="miter"/>
            <v:imagedata r:id="rId24" o:title=""/>
            <o:lock v:ext="edit" aspectratio="t"/>
            <w10:wrap type="none"/>
            <w10:anchorlock/>
          </v:shape>
          <o:OLEObject Type="Embed" ProgID="Equation.KSEE3" ShapeID="_x0000_i1030" DrawAspect="Content" ObjectID="_1468075730" r:id="rId23">
            <o:LockedField>false</o:LockedField>
          </o:OLEObject>
        </w:object>
      </w:r>
    </w:p>
    <w:p>
      <w:pPr>
        <w:snapToGrid w:val="0"/>
        <w:spacing w:before="60" w:after="60"/>
        <w:ind w:right="480" w:firstLine="420" w:firstLineChars="200"/>
        <w:rPr>
          <w:rFonts w:eastAsia="Helvetica Neue" w:cs="Times New Roman"/>
          <w:color w:val="333333"/>
          <w:sz w:val="21"/>
          <w:szCs w:val="21"/>
        </w:rPr>
      </w:pPr>
      <w:r>
        <w:rPr>
          <w:rFonts w:eastAsia="Helvetica Neue" w:cs="Times New Roman"/>
          <w:color w:val="333333"/>
          <w:sz w:val="21"/>
          <w:szCs w:val="21"/>
        </w:rPr>
        <w:t>, where e is the electron charge, c</w:t>
      </w:r>
      <w:r>
        <w:rPr>
          <w:rFonts w:eastAsia="Helvetica Neue" w:cs="Times New Roman"/>
          <w:color w:val="333333"/>
          <w:sz w:val="21"/>
          <w:szCs w:val="21"/>
          <w:vertAlign w:val="subscript"/>
        </w:rPr>
        <w:t>i</w:t>
      </w:r>
      <w:r>
        <w:rPr>
          <w:rFonts w:eastAsia="Helvetica Neue" w:cs="Times New Roman"/>
          <w:color w:val="333333"/>
          <w:sz w:val="21"/>
          <w:szCs w:val="21"/>
        </w:rPr>
        <w:t xml:space="preserve"> is the concentration of NaCl, and z </w:t>
      </w:r>
      <w:r>
        <w:rPr>
          <w:rFonts w:hint="eastAsia" w:eastAsia="宋体" w:cs="Times New Roman"/>
          <w:color w:val="333333"/>
          <w:sz w:val="21"/>
          <w:szCs w:val="21"/>
          <w:lang w:val="en-US" w:eastAsia="zh-CN"/>
        </w:rPr>
        <w:t>i</w:t>
      </w:r>
      <w:r>
        <w:rPr>
          <w:rFonts w:eastAsia="Helvetica Neue" w:cs="Times New Roman"/>
          <w:color w:val="333333"/>
          <w:sz w:val="21"/>
          <w:szCs w:val="21"/>
        </w:rPr>
        <w:t>s the charge of an ion (?). Therefore, the screening MM/PBSA takes into account the screening effect produced by salts in the simulation box and reduced the electrostatic energy term compared to standard MM/PBSA.</w:t>
      </w:r>
    </w:p>
    <w:p>
      <w:pPr>
        <w:pStyle w:val="3"/>
        <w:numPr>
          <w:ilvl w:val="0"/>
          <w:numId w:val="1"/>
        </w:numPr>
        <w:rPr>
          <w:rFonts w:hint="eastAsia" w:cs="Times New Roman"/>
          <w:sz w:val="24"/>
          <w:szCs w:val="24"/>
        </w:rPr>
      </w:pPr>
      <w:r>
        <w:rPr>
          <w:rFonts w:hint="eastAsia" w:cs="Times New Roman"/>
          <w:sz w:val="24"/>
          <w:szCs w:val="24"/>
          <w:lang w:val="en-US" w:eastAsia="zh-CN"/>
        </w:rPr>
        <w:t>Error estimates</w:t>
      </w:r>
    </w:p>
    <w:p>
      <w:pPr>
        <w:rPr>
          <w:rFonts w:hint="eastAsia"/>
        </w:rPr>
      </w:pPr>
      <w:r>
        <w:drawing>
          <wp:inline distT="0" distB="0" distL="114300" distR="114300">
            <wp:extent cx="3833495" cy="3061335"/>
            <wp:effectExtent l="0" t="0" r="1905" b="12065"/>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pic:cNvPicPr>
                      <a:picLocks noChangeAspect="1"/>
                    </pic:cNvPicPr>
                  </pic:nvPicPr>
                  <pic:blipFill>
                    <a:blip r:embed="rId25"/>
                    <a:stretch>
                      <a:fillRect/>
                    </a:stretch>
                  </pic:blipFill>
                  <pic:spPr>
                    <a:xfrm>
                      <a:off x="0" y="0"/>
                      <a:ext cx="3833495" cy="3061335"/>
                    </a:xfrm>
                    <a:prstGeom prst="rect">
                      <a:avLst/>
                    </a:prstGeom>
                    <a:noFill/>
                    <a:ln>
                      <a:noFill/>
                    </a:ln>
                  </pic:spPr>
                </pic:pic>
              </a:graphicData>
            </a:graphic>
          </wp:inline>
        </w:drawing>
      </w:r>
    </w:p>
    <w:p>
      <w:pPr>
        <w:snapToGrid w:val="0"/>
        <w:spacing w:before="60" w:after="60"/>
        <w:ind w:right="480" w:firstLine="420" w:firstLineChars="200"/>
        <w:rPr>
          <w:rFonts w:hint="default" w:eastAsia="微软雅黑" w:cs="Times New Roman"/>
          <w:strike/>
          <w:color w:val="333333"/>
          <w:sz w:val="21"/>
          <w:szCs w:val="21"/>
          <w:lang w:val="en-US" w:eastAsia="zh-CN"/>
        </w:rPr>
      </w:pPr>
    </w:p>
    <w:p>
      <w:pPr>
        <w:snapToGrid w:val="0"/>
        <w:spacing w:before="60" w:after="60"/>
        <w:ind w:right="480"/>
        <w:rPr>
          <w:rFonts w:eastAsia="Helvetica Neue" w:cs="Times New Roman"/>
          <w:color w:val="333333"/>
          <w:sz w:val="21"/>
          <w:szCs w:val="21"/>
        </w:rPr>
      </w:pPr>
    </w:p>
    <w:p>
      <w:pPr>
        <w:pStyle w:val="2"/>
        <w:rPr>
          <w:color w:val="333333"/>
          <w:sz w:val="28"/>
          <w:szCs w:val="28"/>
        </w:rPr>
      </w:pPr>
      <w:r>
        <w:rPr>
          <w:sz w:val="28"/>
          <w:szCs w:val="28"/>
        </w:rPr>
        <w:t xml:space="preserve">RESULTS AND DISCUSSION </w:t>
      </w:r>
    </w:p>
    <w:p>
      <w:pPr>
        <w:pStyle w:val="3"/>
        <w:numPr>
          <w:ilvl w:val="0"/>
          <w:numId w:val="2"/>
        </w:numPr>
        <w:rPr>
          <w:rFonts w:cs="Times New Roman"/>
          <w:sz w:val="24"/>
          <w:szCs w:val="24"/>
        </w:rPr>
      </w:pPr>
      <w:r>
        <w:rPr>
          <w:rFonts w:cs="Times New Roman"/>
          <w:sz w:val="24"/>
          <w:szCs w:val="24"/>
        </w:rPr>
        <w:t>Compare with non-waters</w:t>
      </w:r>
    </w:p>
    <w:p>
      <w:pPr>
        <w:ind w:right="480" w:firstLine="420" w:firstLineChars="200"/>
        <w:rPr>
          <w:rFonts w:cs="Times New Roman" w:eastAsiaTheme="minorEastAsia"/>
          <w:sz w:val="21"/>
          <w:szCs w:val="20"/>
        </w:rPr>
      </w:pPr>
      <w:r>
        <w:rPr>
          <w:rFonts w:cs="Times New Roman" w:eastAsiaTheme="minorEastAsia"/>
          <w:sz w:val="21"/>
          <w:szCs w:val="20"/>
        </w:rPr>
        <w:t xml:space="preserve">We started from 21 structures of the WT RBD in complex with different antibodies in our binding free energy calculation. We evaluated the impact on the MM/PBSA results by including interfacial water and compared it to the standard procedure of MM/PBSA (without any interfacial water). </w:t>
      </w:r>
      <w:bookmarkStart w:id="4" w:name="OLE_LINK1"/>
      <w:r>
        <w:rPr>
          <w:rFonts w:cs="Times New Roman" w:eastAsiaTheme="minorEastAsia"/>
          <w:sz w:val="21"/>
          <w:szCs w:val="20"/>
        </w:rPr>
        <w:t xml:space="preserve">The selection of interfacial </w:t>
      </w:r>
      <w:bookmarkEnd w:id="4"/>
      <w:r>
        <w:rPr>
          <w:rFonts w:cs="Times New Roman" w:eastAsiaTheme="minorEastAsia"/>
          <w:sz w:val="21"/>
          <w:szCs w:val="20"/>
        </w:rPr>
        <w:t xml:space="preserve">water molecules and the calculation of MM/PBSA were performed every 200ps and thus a total of 50 frames were used in the final analysis. The cross-plot of experiment binding affinity and computational free energy was fitted by Polynomial Regression algorithm [xxx]. Indeed, including interfacial water resulted in a significant increase in the Person’s constant, from 0.654 (standard) to 0.753 (with interfacial water) (Fig. 2). </w:t>
      </w:r>
      <w:r>
        <w:rPr>
          <w:rFonts w:hint="eastAsia" w:cs="Times New Roman" w:eastAsiaTheme="minorEastAsia"/>
          <w:sz w:val="21"/>
          <w:szCs w:val="20"/>
        </w:rPr>
        <w:t>Theref</w:t>
      </w:r>
      <w:r>
        <w:rPr>
          <w:rFonts w:cs="Times New Roman" w:eastAsiaTheme="minorEastAsia"/>
          <w:sz w:val="21"/>
          <w:szCs w:val="20"/>
        </w:rPr>
        <w:t xml:space="preserve">ore, for the RBD-Ab system, including explicitly treated interfacial water molecules produced better results compared to the standard MM/PBSA. </w:t>
      </w:r>
    </w:p>
    <w:p>
      <w:pPr>
        <w:ind w:right="480"/>
        <w:rPr>
          <w:rFonts w:cs="Times New Roman" w:eastAsiaTheme="minorEastAsia"/>
        </w:rPr>
      </w:pPr>
      <w:r>
        <w:rPr>
          <w:rFonts w:cs="Times New Roman"/>
        </w:rPr>
        <w:object>
          <v:shape id="_x0000_i1031" o:spt="75" type="#_x0000_t75" style="height:206.85pt;width:210.15pt;" o:ole="t" filled="f" o:preferrelative="t" stroked="f" coordsize="21600,21600">
            <v:path/>
            <v:fill on="f" focussize="0,0"/>
            <v:stroke on="f" joinstyle="miter"/>
            <v:imagedata r:id="rId27" cropleft="3032f" croptop="3927f" cropright="3032f" o:title=""/>
            <o:lock v:ext="edit" aspectratio="t"/>
            <w10:wrap type="none"/>
            <w10:anchorlock/>
          </v:shape>
          <o:OLEObject Type="Embed" ProgID="Origin95.Graph" ShapeID="_x0000_i1031" DrawAspect="Content" ObjectID="_1468075731" r:id="rId26">
            <o:LockedField>false</o:LockedField>
          </o:OLEObject>
        </w:object>
      </w:r>
      <w:r>
        <w:rPr>
          <w:rFonts w:cs="Times New Roman"/>
        </w:rPr>
        <w:object>
          <v:shape id="_x0000_i1032" o:spt="75" type="#_x0000_t75" style="height:205.6pt;width:212.25pt;" o:ole="t" filled="f" o:preferrelative="t" stroked="f" coordsize="21600,21600">
            <v:path/>
            <v:fill on="f" focussize="0,0"/>
            <v:stroke on="f" joinstyle="miter"/>
            <v:imagedata r:id="rId29" cropleft="4236f" cropright="8498f" cropbottom="-1310f" o:title=""/>
            <o:lock v:ext="edit" aspectratio="t"/>
            <w10:wrap type="none"/>
            <w10:anchorlock/>
          </v:shape>
          <o:OLEObject Type="Embed" ProgID="Origin95.Graph" ShapeID="_x0000_i1032" DrawAspect="Content" ObjectID="_1468075732" r:id="rId28">
            <o:LockedField>false</o:LockedField>
          </o:OLEObject>
        </w:object>
      </w:r>
    </w:p>
    <w:p>
      <w:pPr>
        <w:ind w:right="480"/>
        <w:jc w:val="center"/>
        <w:rPr>
          <w:rFonts w:eastAsia="微软雅黑" w:cs="Times New Roman"/>
          <w:sz w:val="20"/>
          <w:szCs w:val="18"/>
        </w:rPr>
      </w:pPr>
      <w:r>
        <w:rPr>
          <w:rFonts w:eastAsia="微软雅黑" w:cs="Times New Roman"/>
          <w:sz w:val="20"/>
          <w:szCs w:val="18"/>
        </w:rPr>
        <w:t xml:space="preserve">Fig. 2. Results of binding free energy. The horizontal axis represents affinity with log transformation-based </w:t>
      </w:r>
      <w:r>
        <w:rPr>
          <w:rFonts w:eastAsia="微软雅黑" w:cs="Times New Roman"/>
          <w:i/>
          <w:iCs/>
          <w:sz w:val="20"/>
          <w:szCs w:val="18"/>
        </w:rPr>
        <w:t>e</w:t>
      </w:r>
      <w:r>
        <w:rPr>
          <w:rFonts w:eastAsia="微软雅黑" w:cs="Times New Roman"/>
          <w:sz w:val="20"/>
          <w:szCs w:val="18"/>
        </w:rPr>
        <w:t>, while vertical axis represents binding free energy in kcal/mol.</w:t>
      </w:r>
      <w:r>
        <w:rPr>
          <w:rFonts w:hint="eastAsia" w:eastAsia="微软雅黑" w:cs="Times New Roman"/>
          <w:sz w:val="20"/>
          <w:szCs w:val="18"/>
        </w:rPr>
        <w:t xml:space="preserve"> (a) normal MMPBSA (b) MMPBSA with interfacial waters</w:t>
      </w:r>
    </w:p>
    <w:p>
      <w:pPr>
        <w:pStyle w:val="3"/>
        <w:numPr>
          <w:ilvl w:val="0"/>
          <w:numId w:val="2"/>
        </w:numPr>
        <w:rPr>
          <w:rFonts w:cs="Times New Roman"/>
          <w:sz w:val="24"/>
          <w:szCs w:val="24"/>
        </w:rPr>
      </w:pPr>
      <w:r>
        <w:rPr>
          <w:rFonts w:cs="Times New Roman"/>
          <w:sz w:val="24"/>
          <w:szCs w:val="24"/>
        </w:rPr>
        <w:t xml:space="preserve">Contributions to binding free energy by interfacial water </w:t>
      </w:r>
    </w:p>
    <w:p>
      <w:pPr>
        <w:ind w:right="480"/>
        <w:rPr>
          <w:rFonts w:eastAsia="微软雅黑" w:cs="Times New Roman"/>
          <w:sz w:val="21"/>
          <w:szCs w:val="20"/>
        </w:rPr>
      </w:pPr>
      <w:r>
        <w:rPr>
          <w:rFonts w:eastAsia="微软雅黑" w:cs="Times New Roman"/>
        </w:rPr>
        <w:t xml:space="preserve">   </w:t>
      </w:r>
      <w:r>
        <w:rPr>
          <w:rFonts w:eastAsia="微软雅黑" w:cs="Times New Roman"/>
          <w:sz w:val="21"/>
          <w:szCs w:val="20"/>
        </w:rPr>
        <w:t xml:space="preserve"> To find out </w:t>
      </w:r>
      <w:r>
        <w:rPr>
          <w:rFonts w:hint="eastAsia" w:eastAsia="微软雅黑" w:cs="Times New Roman"/>
          <w:sz w:val="21"/>
          <w:szCs w:val="20"/>
        </w:rPr>
        <w:t xml:space="preserve">what </w:t>
      </w:r>
      <w:r>
        <w:rPr>
          <w:rFonts w:eastAsia="微软雅黑" w:cs="Times New Roman"/>
          <w:sz w:val="21"/>
          <w:szCs w:val="20"/>
        </w:rPr>
        <w:t xml:space="preserve">role interfacial water </w:t>
      </w:r>
      <w:r>
        <w:rPr>
          <w:rFonts w:hint="eastAsia" w:eastAsia="微软雅黑" w:cs="Times New Roman"/>
          <w:sz w:val="21"/>
          <w:szCs w:val="20"/>
        </w:rPr>
        <w:t xml:space="preserve">plays </w:t>
      </w:r>
      <w:r>
        <w:rPr>
          <w:rFonts w:eastAsia="微软雅黑" w:cs="Times New Roman"/>
          <w:sz w:val="21"/>
          <w:szCs w:val="20"/>
        </w:rPr>
        <w:t xml:space="preserve">in the binding of RBD </w:t>
      </w:r>
      <w:r>
        <w:rPr>
          <w:rFonts w:hint="eastAsia" w:eastAsia="微软雅黑" w:cs="Times New Roman"/>
          <w:sz w:val="21"/>
          <w:szCs w:val="20"/>
        </w:rPr>
        <w:t xml:space="preserve">to </w:t>
      </w:r>
      <w:r>
        <w:rPr>
          <w:rFonts w:eastAsia="微软雅黑" w:cs="Times New Roman"/>
          <w:sz w:val="21"/>
          <w:szCs w:val="20"/>
        </w:rPr>
        <w:t>antibodies</w:t>
      </w:r>
      <w:r>
        <w:rPr>
          <w:rFonts w:hint="eastAsia" w:eastAsia="微软雅黑" w:cs="Times New Roman"/>
          <w:sz w:val="21"/>
          <w:szCs w:val="20"/>
        </w:rPr>
        <w:t>,</w:t>
      </w:r>
      <w:r>
        <w:rPr>
          <w:rFonts w:eastAsia="微软雅黑" w:cs="Times New Roman"/>
          <w:sz w:val="21"/>
          <w:szCs w:val="20"/>
        </w:rPr>
        <w:t xml:space="preserve"> </w:t>
      </w:r>
      <w:r>
        <w:rPr>
          <w:rFonts w:hint="eastAsia" w:eastAsia="微软雅黑" w:cs="Times New Roman"/>
          <w:sz w:val="21"/>
          <w:szCs w:val="20"/>
        </w:rPr>
        <w:t>w</w:t>
      </w:r>
      <w:r>
        <w:rPr>
          <w:rFonts w:eastAsia="微软雅黑" w:cs="Times New Roman"/>
          <w:sz w:val="21"/>
          <w:szCs w:val="20"/>
        </w:rPr>
        <w:t>e analyzed the interfacial water both energetically and structurally</w:t>
      </w:r>
      <w:r>
        <w:rPr>
          <w:rFonts w:hint="eastAsia" w:eastAsia="微软雅黑" w:cs="Times New Roman"/>
          <w:sz w:val="21"/>
          <w:szCs w:val="20"/>
        </w:rPr>
        <w:t xml:space="preserve">. According </w:t>
      </w:r>
      <w:r>
        <w:rPr>
          <w:rFonts w:eastAsia="微软雅黑" w:cs="Times New Roman"/>
          <w:sz w:val="21"/>
          <w:szCs w:val="20"/>
        </w:rPr>
        <w:t>the MM energy of waters</w:t>
      </w:r>
      <w:r>
        <w:rPr>
          <w:rFonts w:hint="eastAsia" w:eastAsia="微软雅黑" w:cs="Times New Roman"/>
          <w:sz w:val="21"/>
          <w:szCs w:val="20"/>
        </w:rPr>
        <w:t>,</w:t>
      </w:r>
      <w:r>
        <w:rPr>
          <w:rFonts w:eastAsia="微软雅黑" w:cs="Times New Roman"/>
          <w:sz w:val="21"/>
          <w:szCs w:val="20"/>
        </w:rPr>
        <w:t xml:space="preserve"> Fig. 3(a) shows the change in number of interfacial waters in our calculation of RBD of SARS-CoV-2 Spike glycoprotein in complex with EY6A Fab(PDB ID: 6ZER</w:t>
      </w:r>
      <w:r>
        <w:rPr>
          <w:rFonts w:eastAsia="微软雅黑" w:cs="Times New Roman"/>
          <w:sz w:val="21"/>
          <w:szCs w:val="20"/>
          <w:vertAlign w:val="superscript"/>
        </w:rPr>
        <w:t>6ZER</w:t>
      </w:r>
      <w:r>
        <w:rPr>
          <w:rFonts w:eastAsia="微软雅黑" w:cs="Times New Roman"/>
          <w:sz w:val="21"/>
          <w:szCs w:val="20"/>
        </w:rPr>
        <w:t>). The affinity of 6ZER is ~2nM, and its experimental binding free energy is -12.018 kcal/mol. The result with waters is -16.929 kcal/mol while for non-waters is -9.253</w:t>
      </w:r>
      <w:r>
        <w:rPr>
          <w:rFonts w:hint="eastAsia" w:eastAsia="微软雅黑" w:cs="Times New Roman"/>
          <w:sz w:val="21"/>
          <w:szCs w:val="20"/>
        </w:rPr>
        <w:t xml:space="preserve"> </w:t>
      </w:r>
      <w:r>
        <w:rPr>
          <w:rFonts w:eastAsia="微软雅黑" w:cs="Times New Roman"/>
          <w:sz w:val="21"/>
          <w:szCs w:val="20"/>
        </w:rPr>
        <w:t>kcal/mol, shown as Fig. 3(c-d). After 4ns, the amount of water decreases dramatically to 0</w:t>
      </w:r>
      <w:r>
        <w:rPr>
          <w:rFonts w:hint="eastAsia" w:eastAsia="微软雅黑" w:cs="Times New Roman"/>
          <w:sz w:val="21"/>
          <w:szCs w:val="20"/>
        </w:rPr>
        <w:t xml:space="preserve"> </w:t>
      </w:r>
      <w:r>
        <w:rPr>
          <w:rFonts w:eastAsia="微软雅黑" w:cs="Times New Roman"/>
          <w:sz w:val="21"/>
          <w:szCs w:val="20"/>
        </w:rPr>
        <w:t>(Fig. 3</w:t>
      </w:r>
      <w:r>
        <w:rPr>
          <w:rFonts w:hint="eastAsia" w:eastAsia="微软雅黑" w:cs="Times New Roman"/>
          <w:sz w:val="21"/>
          <w:szCs w:val="20"/>
        </w:rPr>
        <w:t xml:space="preserve">a, </w:t>
      </w:r>
      <w:r>
        <w:rPr>
          <w:rFonts w:eastAsia="微软雅黑" w:cs="Times New Roman"/>
          <w:sz w:val="21"/>
          <w:szCs w:val="20"/>
        </w:rPr>
        <w:t>This phenomenon rarely occurs in our full-data calculations), indicat</w:t>
      </w:r>
      <w:r>
        <w:rPr>
          <w:rFonts w:hint="eastAsia" w:eastAsia="微软雅黑" w:cs="Times New Roman"/>
          <w:sz w:val="21"/>
          <w:szCs w:val="20"/>
        </w:rPr>
        <w:t xml:space="preserve">ing that </w:t>
      </w:r>
      <w:r>
        <w:rPr>
          <w:rFonts w:eastAsia="微软雅黑" w:cs="Times New Roman"/>
          <w:sz w:val="21"/>
          <w:szCs w:val="20"/>
        </w:rPr>
        <w:t>the decreasing of interfacial waters meet</w:t>
      </w:r>
      <w:r>
        <w:rPr>
          <w:rFonts w:hint="eastAsia" w:eastAsia="微软雅黑" w:cs="Times New Roman"/>
          <w:sz w:val="21"/>
          <w:szCs w:val="20"/>
        </w:rPr>
        <w:t>s</w:t>
      </w:r>
      <w:r>
        <w:rPr>
          <w:rFonts w:eastAsia="微软雅黑" w:cs="Times New Roman"/>
          <w:sz w:val="21"/>
          <w:szCs w:val="20"/>
        </w:rPr>
        <w:t xml:space="preserve"> our search criteria. Those frames without interfacial water will not be calculated in our method. As shown in Fig. 3(d), when excluding all interfacial waters, the binding free energy is increasing and far away to the experimental value.</w:t>
      </w:r>
    </w:p>
    <w:p>
      <w:pPr>
        <w:ind w:right="480"/>
        <w:rPr>
          <w:rFonts w:eastAsia="微软雅黑" w:cs="Times New Roman"/>
        </w:rPr>
      </w:pPr>
      <w:r>
        <w:rPr>
          <w:rFonts w:cs="Times New Roman"/>
        </w:rPr>
        <w:object>
          <v:shape id="_x0000_i1033" o:spt="75" type="#_x0000_t75" style="height:151.5pt;width:216.85pt;" o:ole="t" filled="f" o:preferrelative="t" stroked="f" coordsize="21600,21600">
            <v:path/>
            <v:fill on="f" focussize="0,0"/>
            <v:stroke on="f" joinstyle="miter"/>
            <v:imagedata r:id="rId31" o:title=""/>
            <o:lock v:ext="edit" aspectratio="t"/>
            <w10:wrap type="none"/>
            <w10:anchorlock/>
          </v:shape>
          <o:OLEObject Type="Embed" ProgID="Origin95.Graph" ShapeID="_x0000_i1033" DrawAspect="Content" ObjectID="_1468075733" r:id="rId30">
            <o:LockedField>false</o:LockedField>
          </o:OLEObject>
        </w:object>
      </w:r>
    </w:p>
    <w:p>
      <w:pPr>
        <w:pStyle w:val="23"/>
        <w:spacing w:before="60" w:beforeAutospacing="0" w:after="60" w:afterAutospacing="0"/>
        <w:rPr>
          <w:rFonts w:ascii="Times New Roman" w:hAnsi="Times New Roman" w:cs="Times New Roman"/>
        </w:rPr>
      </w:pPr>
      <w:r>
        <w:rPr>
          <w:rFonts w:ascii="Times New Roman" w:hAnsi="Times New Roman" w:cs="Times New Roman"/>
        </w:rPr>
        <w:object>
          <v:shape id="_x0000_i1034" o:spt="75" type="#_x0000_t75" style="height:172.3pt;width:225.15pt;" o:ole="t" filled="f" o:preferrelative="t" stroked="f" coordsize="21600,21600">
            <v:path/>
            <v:fill on="f" focussize="0,0"/>
            <v:stroke on="f" joinstyle="miter"/>
            <v:imagedata r:id="rId33" o:title=""/>
            <o:lock v:ext="edit" aspectratio="t"/>
            <w10:wrap type="none"/>
            <w10:anchorlock/>
          </v:shape>
          <o:OLEObject Type="Embed" ProgID="Origin95.Graph" ShapeID="_x0000_i1034" DrawAspect="Content" ObjectID="_1468075734" r:id="rId32">
            <o:LockedField>false</o:LockedField>
          </o:OLEObject>
        </w:object>
      </w:r>
      <w:r>
        <w:rPr>
          <w:rFonts w:ascii="Times New Roman" w:hAnsi="Times New Roman" w:cs="Times New Roman"/>
        </w:rPr>
        <w:object>
          <v:shape id="_x0000_i1035" o:spt="75" type="#_x0000_t75" style="height:173.95pt;width:226.4pt;" o:ole="t" filled="f" o:preferrelative="t" stroked="f" coordsize="21600,21600">
            <v:path/>
            <v:fill on="f" focussize="0,0"/>
            <v:stroke on="f" joinstyle="miter"/>
            <v:imagedata r:id="rId35" o:title=""/>
            <o:lock v:ext="edit" aspectratio="t"/>
            <w10:wrap type="none"/>
            <w10:anchorlock/>
          </v:shape>
          <o:OLEObject Type="Embed" ProgID="Origin95.Graph" ShapeID="_x0000_i1035" DrawAspect="Content" ObjectID="_1468075735" r:id="rId34">
            <o:LockedField>false</o:LockedField>
          </o:OLEObject>
        </w:object>
      </w:r>
    </w:p>
    <w:p>
      <w:pPr>
        <w:ind w:right="480"/>
        <w:jc w:val="center"/>
        <w:rPr>
          <w:rFonts w:cs="Times New Roman"/>
          <w:sz w:val="20"/>
          <w:szCs w:val="18"/>
        </w:rPr>
      </w:pPr>
      <w:r>
        <w:rPr>
          <w:rFonts w:cs="Times New Roman"/>
          <w:sz w:val="20"/>
          <w:szCs w:val="18"/>
        </w:rPr>
        <w:t>Fig. 3 describe here…(a) Histogram of interfacial water’s change in number. (b) Curve of Interaction Entropy. (c) MMPBSA energy deposition without waters. (d) MMPBSA energy deposition with interfacial waters.</w:t>
      </w:r>
    </w:p>
    <w:p>
      <w:pPr>
        <w:ind w:right="480"/>
        <w:rPr>
          <w:rFonts w:cs="Times New Roman" w:eastAsiaTheme="minorEastAsia"/>
          <w:sz w:val="21"/>
          <w:szCs w:val="20"/>
        </w:rPr>
      </w:pPr>
      <w:r>
        <w:rPr>
          <w:rFonts w:cs="Times New Roman" w:eastAsiaTheme="minorEastAsia"/>
        </w:rPr>
        <w:t xml:space="preserve"> </w:t>
      </w:r>
      <w:r>
        <w:rPr>
          <w:rFonts w:cs="Times New Roman" w:eastAsiaTheme="minorEastAsia"/>
          <w:sz w:val="21"/>
          <w:szCs w:val="20"/>
        </w:rPr>
        <w:t xml:space="preserve">  To go deeper into the interaction of interfacial waters, MM energy calculation in the molecular level has been performed in our method. The results are shown as Fig. 4. The most of interfacial waters have a short life and show a negative energy that indicate a positive effect in the binding process. A few waters played the role of villains. </w:t>
      </w:r>
    </w:p>
    <w:p>
      <w:pPr>
        <w:pStyle w:val="23"/>
        <w:spacing w:before="60" w:beforeAutospacing="0" w:after="60" w:afterAutospacing="0"/>
        <w:rPr>
          <w:rFonts w:ascii="Times New Roman" w:hAnsi="Times New Roman" w:cs="Times New Roman"/>
          <w:sz w:val="21"/>
          <w:szCs w:val="21"/>
        </w:rPr>
      </w:pPr>
      <w:r>
        <w:rPr>
          <w:rFonts w:ascii="Times New Roman" w:hAnsi="Times New Roman" w:cs="Times New Roman"/>
          <w:sz w:val="21"/>
          <w:szCs w:val="21"/>
        </w:rPr>
        <w:t>A</w:t>
      </w:r>
    </w:p>
    <w:p>
      <w:pPr>
        <w:pStyle w:val="23"/>
        <w:spacing w:before="60" w:beforeAutospacing="0" w:after="60" w:afterAutospacing="0"/>
        <w:jc w:val="center"/>
        <w:rPr>
          <w:rFonts w:ascii="Times New Roman" w:hAnsi="Times New Roman" w:cs="Times New Roman"/>
          <w:sz w:val="21"/>
          <w:szCs w:val="21"/>
        </w:rPr>
      </w:pPr>
      <w:r>
        <w:rPr>
          <w:rFonts w:ascii="Times New Roman" w:hAnsi="Times New Roman" w:cs="Times New Roman"/>
          <w:sz w:val="21"/>
          <w:szCs w:val="21"/>
        </w:rPr>
        <w:drawing>
          <wp:inline distT="0" distB="0" distL="0" distR="0">
            <wp:extent cx="4210050" cy="2355850"/>
            <wp:effectExtent l="0" t="0" r="0" b="6350"/>
            <wp:docPr id="5" name="图片 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散点图&#10;&#10;描述已自动生成"/>
                    <pic:cNvPicPr>
                      <a:picLocks noChangeAspect="1"/>
                    </pic:cNvPicPr>
                  </pic:nvPicPr>
                  <pic:blipFill>
                    <a:blip r:embed="rId36"/>
                    <a:srcRect l="2000" t="7667" r="15500"/>
                    <a:stretch>
                      <a:fillRect/>
                    </a:stretch>
                  </pic:blipFill>
                  <pic:spPr>
                    <a:xfrm>
                      <a:off x="0" y="0"/>
                      <a:ext cx="4258163" cy="2382851"/>
                    </a:xfrm>
                    <a:prstGeom prst="rect">
                      <a:avLst/>
                    </a:prstGeom>
                    <a:ln>
                      <a:noFill/>
                    </a:ln>
                  </pic:spPr>
                </pic:pic>
              </a:graphicData>
            </a:graphic>
          </wp:inline>
        </w:drawing>
      </w:r>
    </w:p>
    <w:p>
      <w:pPr>
        <w:pStyle w:val="23"/>
        <w:spacing w:before="60" w:beforeAutospacing="0" w:after="60" w:afterAutospacing="0"/>
        <w:rPr>
          <w:rFonts w:ascii="Times New Roman" w:hAnsi="Times New Roman" w:cs="Times New Roman"/>
          <w:sz w:val="21"/>
          <w:szCs w:val="21"/>
        </w:rPr>
      </w:pPr>
      <w:r>
        <w:rPr>
          <w:rFonts w:ascii="Times New Roman" w:hAnsi="Times New Roman" w:cs="Times New Roman"/>
          <w:sz w:val="21"/>
          <w:szCs w:val="21"/>
        </w:rPr>
        <w:t>b</w:t>
      </w:r>
    </w:p>
    <w:p>
      <w:pPr>
        <w:pStyle w:val="23"/>
        <w:spacing w:before="60" w:beforeAutospacing="0" w:after="60" w:afterAutospacing="0"/>
        <w:jc w:val="center"/>
        <w:rPr>
          <w:rFonts w:ascii="Times New Roman" w:hAnsi="Times New Roman" w:cs="Times New Roman"/>
        </w:rPr>
      </w:pPr>
      <w:r>
        <w:rPr>
          <w:rFonts w:ascii="Times New Roman" w:hAnsi="Times New Roman" w:cs="Times New Roman"/>
        </w:rPr>
        <w:drawing>
          <wp:inline distT="0" distB="0" distL="0" distR="0">
            <wp:extent cx="4787900" cy="2225675"/>
            <wp:effectExtent l="0" t="0" r="0" b="9525"/>
            <wp:docPr id="4" name="图片 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散点图&#10;&#10;描述已自动生成"/>
                    <pic:cNvPicPr>
                      <a:picLocks noChangeAspect="1"/>
                    </pic:cNvPicPr>
                  </pic:nvPicPr>
                  <pic:blipFill>
                    <a:blip r:embed="rId37"/>
                    <a:srcRect l="2244" t="19231" r="15377" b="4158"/>
                    <a:stretch>
                      <a:fillRect/>
                    </a:stretch>
                  </pic:blipFill>
                  <pic:spPr>
                    <a:xfrm>
                      <a:off x="0" y="0"/>
                      <a:ext cx="4898524" cy="2277719"/>
                    </a:xfrm>
                    <a:prstGeom prst="rect">
                      <a:avLst/>
                    </a:prstGeom>
                    <a:ln>
                      <a:noFill/>
                    </a:ln>
                  </pic:spPr>
                </pic:pic>
              </a:graphicData>
            </a:graphic>
          </wp:inline>
        </w:drawing>
      </w:r>
    </w:p>
    <w:p>
      <w:pPr>
        <w:pStyle w:val="23"/>
        <w:spacing w:before="60" w:beforeAutospacing="0" w:after="60" w:afterAutospacing="0"/>
        <w:jc w:val="center"/>
        <w:rPr>
          <w:rFonts w:ascii="Times New Roman" w:hAnsi="Times New Roman" w:cs="Times New Roman"/>
          <w:color w:val="333333"/>
          <w:sz w:val="20"/>
          <w:szCs w:val="20"/>
        </w:rPr>
      </w:pPr>
      <w:r>
        <w:rPr>
          <w:rFonts w:ascii="Times New Roman" w:hAnsi="Times New Roman" w:cs="Times New Roman"/>
          <w:color w:val="333333"/>
          <w:sz w:val="20"/>
          <w:szCs w:val="20"/>
        </w:rPr>
        <w:t>Fig. 4. MM energy deposition of interfacial waters of 6ZER. The reported method excluded all water that didn’t meet criterions of distance and RMSD, so the index of interfacial water is not continuous. Color represents the value of MM energy. The vertical axis represents index of waters, and horizontal axis represents time in ns. Each color block last 200ps(length of window). (a) Water molecules that are assigned as Ligand. (b) Water molecules that are assigned as Receptor.</w:t>
      </w:r>
    </w:p>
    <w:p>
      <w:pPr>
        <w:pStyle w:val="23"/>
        <w:spacing w:before="60" w:beforeAutospacing="0" w:after="60" w:afterAutospacing="0"/>
        <w:rPr>
          <w:rFonts w:ascii="Times New Roman" w:hAnsi="Times New Roman" w:cs="Times New Roman"/>
        </w:rPr>
      </w:pPr>
    </w:p>
    <w:p>
      <w:pPr>
        <w:ind w:right="480" w:firstLine="420" w:firstLineChars="200"/>
        <w:rPr>
          <w:rFonts w:cs="Times New Roman"/>
          <w:sz w:val="21"/>
          <w:szCs w:val="20"/>
        </w:rPr>
      </w:pPr>
      <w:r>
        <w:rPr>
          <w:rFonts w:cs="Times New Roman"/>
          <w:sz w:val="21"/>
          <w:szCs w:val="20"/>
        </w:rPr>
        <w:t>There is a long-life interfacial water in Fig.4 (a), indexed 37084, shows long-term and powerful MM energy. Its MM energy contribution keeps over -1 kcal/mol for a long time. Fig. 5 shows the structural details of water-37084 at 1.65ns. Water-37084 keeps the similar situation during the term of being interfacial water in the simulation trajectory.</w:t>
      </w:r>
    </w:p>
    <w:p>
      <w:pPr>
        <w:pStyle w:val="23"/>
        <w:spacing w:before="60" w:beforeAutospacing="0" w:after="60" w:afterAutospacing="0"/>
        <w:jc w:val="center"/>
        <w:rPr>
          <w:rFonts w:ascii="Times New Roman" w:hAnsi="Times New Roman" w:cs="Times New Roman"/>
        </w:rPr>
      </w:pPr>
      <w:r>
        <w:rPr>
          <w:rFonts w:ascii="Times New Roman" w:hAnsi="Times New Roman" w:cs="Times New Roman"/>
          <w:color w:val="333333"/>
          <w:sz w:val="20"/>
          <w:szCs w:val="20"/>
        </w:rPr>
        <w:drawing>
          <wp:inline distT="0" distB="0" distL="0" distR="0">
            <wp:extent cx="5760720" cy="3237230"/>
            <wp:effectExtent l="0" t="0" r="0" b="1270"/>
            <wp:docPr id="8" name="图片 8" descr="图片包含 游戏机, 桌子, 自行车, 灯光&#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游戏机, 桌子, 自行车, 灯光&#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760720" cy="3237429"/>
                    </a:xfrm>
                    <a:prstGeom prst="rect">
                      <a:avLst/>
                    </a:prstGeom>
                    <a:noFill/>
                    <a:ln>
                      <a:noFill/>
                    </a:ln>
                  </pic:spPr>
                </pic:pic>
              </a:graphicData>
            </a:graphic>
          </wp:inline>
        </w:drawing>
      </w:r>
    </w:p>
    <w:p>
      <w:pPr>
        <w:pStyle w:val="23"/>
        <w:spacing w:before="60" w:beforeAutospacing="0" w:after="60" w:afterAutospacing="0"/>
        <w:jc w:val="center"/>
        <w:rPr>
          <w:rFonts w:ascii="Times New Roman" w:hAnsi="Times New Roman" w:cs="Times New Roman"/>
          <w:color w:val="333333"/>
          <w:sz w:val="20"/>
          <w:szCs w:val="20"/>
        </w:rPr>
      </w:pPr>
      <w:r>
        <w:rPr>
          <w:rFonts w:ascii="Times New Roman" w:hAnsi="Times New Roman" w:cs="Times New Roman"/>
          <w:color w:val="333333"/>
          <w:sz w:val="20"/>
          <w:szCs w:val="20"/>
        </w:rPr>
        <w:t>Fig. 5. Structure details of water L~37084</w:t>
      </w:r>
    </w:p>
    <w:p>
      <w:pPr>
        <w:pStyle w:val="23"/>
        <w:spacing w:before="60" w:beforeAutospacing="0" w:after="60" w:afterAutospacing="0"/>
        <w:rPr>
          <w:rFonts w:ascii="Times New Roman" w:hAnsi="Times New Roman" w:cs="Times New Roman"/>
          <w:color w:val="333333"/>
          <w:sz w:val="22"/>
          <w:szCs w:val="22"/>
        </w:rPr>
      </w:pPr>
    </w:p>
    <w:p>
      <w:pPr>
        <w:ind w:right="480" w:firstLine="420" w:firstLineChars="200"/>
        <w:rPr>
          <w:rFonts w:cs="Times New Roman"/>
          <w:sz w:val="21"/>
          <w:szCs w:val="20"/>
        </w:rPr>
      </w:pPr>
      <w:r>
        <w:rPr>
          <w:rFonts w:cs="Times New Roman"/>
          <w:sz w:val="21"/>
          <w:szCs w:val="20"/>
        </w:rPr>
        <w:t>Water L~37084 located in a cavity which formed by four residues L~SER511 to L~ALA514 from ligand(antibody), and two residues R~LYS46, R~CYS47 from receptor(RBD), and contact with both two side. In details, its Oxygen atom form a stable H-bond with H atom of L~EU513 which long-term exist in the trajectory. Beside this, an un-stable H-bond can be observed sometimes between its Oxygen atom and HB atom of R~LYS46. The two H atoms of water L~37084 form two H-bond with oxygen atom belongs to CA atom of residue R~CYS47 and oxygen atom in the sidechain of residue L~SER511. Occasionally, water L~37084 rotate was rotated, causing the position exchanging of its two H atoms.</w:t>
      </w:r>
    </w:p>
    <w:p>
      <w:pPr>
        <w:ind w:right="480" w:firstLine="420" w:firstLineChars="200"/>
        <w:rPr>
          <w:rFonts w:eastAsia="宋体" w:cs="Times New Roman"/>
          <w:sz w:val="21"/>
          <w:szCs w:val="20"/>
        </w:rPr>
      </w:pPr>
      <w:r>
        <w:rPr>
          <w:rFonts w:eastAsia="宋体" w:cs="Times New Roman"/>
          <w:sz w:val="21"/>
          <w:szCs w:val="20"/>
        </w:rPr>
        <w:t>MD simulation trajectory shows that Water L~37084 is bound for a long time, which confirms the energy decomposition result in Fig. 4. We start from energy analyzing, and end with the structure, described the glue-like role of interfacial water in antibody binding. Trajectory file of the simulation of 6ZER system are available in the supplementary.</w:t>
      </w:r>
    </w:p>
    <w:p>
      <w:pPr>
        <w:pStyle w:val="3"/>
        <w:numPr>
          <w:ilvl w:val="0"/>
          <w:numId w:val="2"/>
        </w:numPr>
        <w:bidi w:val="0"/>
      </w:pPr>
      <w:r>
        <w:t>H-bond network</w:t>
      </w:r>
    </w:p>
    <w:p>
      <w:pPr>
        <w:ind w:right="480" w:firstLine="420" w:firstLineChars="200"/>
        <w:rPr>
          <w:rFonts w:eastAsia="宋体" w:cs="Times New Roman"/>
          <w:sz w:val="21"/>
          <w:szCs w:val="20"/>
        </w:rPr>
      </w:pPr>
      <w:r>
        <w:rPr>
          <w:rFonts w:eastAsia="宋体" w:cs="Times New Roman"/>
          <w:sz w:val="21"/>
          <w:szCs w:val="20"/>
        </w:rPr>
        <w:t xml:space="preserve">There are several special water molecules that shows positive MM energy in Fig. 4, especially </w:t>
      </w:r>
      <w:bookmarkStart w:id="5" w:name="OLE_LINK8"/>
      <w:r>
        <w:rPr>
          <w:rFonts w:eastAsia="宋体" w:cs="Times New Roman"/>
          <w:sz w:val="21"/>
          <w:szCs w:val="20"/>
        </w:rPr>
        <w:t>Water R~25787</w:t>
      </w:r>
      <w:bookmarkEnd w:id="5"/>
      <w:r>
        <w:rPr>
          <w:rFonts w:eastAsia="宋体" w:cs="Times New Roman"/>
          <w:sz w:val="21"/>
          <w:szCs w:val="20"/>
        </w:rPr>
        <w:t>. It manifests as positive energy for a long time, but according to the analysis, this does not mean that Water R~25787 has a negative effect on the binding process.</w:t>
      </w:r>
    </w:p>
    <w:p>
      <w:pPr>
        <w:ind w:right="480" w:firstLine="420" w:firstLineChars="200"/>
        <w:rPr>
          <w:rFonts w:eastAsia="宋体" w:cs="Times New Roman"/>
          <w:sz w:val="21"/>
          <w:szCs w:val="20"/>
        </w:rPr>
      </w:pPr>
      <w:bookmarkStart w:id="6" w:name="OLE_LINK4"/>
      <w:r>
        <w:rPr>
          <w:rFonts w:eastAsia="宋体" w:cs="Times New Roman"/>
          <w:sz w:val="21"/>
          <w:szCs w:val="20"/>
        </w:rPr>
        <w:t xml:space="preserve">In fact, </w:t>
      </w:r>
      <w:bookmarkEnd w:id="6"/>
      <w:r>
        <w:rPr>
          <w:rFonts w:eastAsia="宋体" w:cs="Times New Roman"/>
          <w:sz w:val="21"/>
          <w:szCs w:val="20"/>
        </w:rPr>
        <w:t>Water R~25787 didn’t interact directly with Ligand (Shown in Fig. 6) but maintains a H-bond network that connect with Ligand remotely. Clearly, Water R~25787 cannot be considered alone, it must be considered as part of the hydrogen bonding network before its contribution to binding can be further calculated. But currently we cannot do this (e.g., xxxx1 and xxxx2 are not treated as interfacial water according to our method), so Water R~25787 behaves as a positive MM energy in the calculation. In future research, we will focus on addressing this problem.</w:t>
      </w:r>
    </w:p>
    <w:p>
      <w:pPr>
        <w:ind w:right="480" w:firstLine="420" w:firstLineChars="200"/>
        <w:rPr>
          <w:rFonts w:eastAsia="宋体" w:cs="Times New Roman"/>
          <w:sz w:val="21"/>
          <w:szCs w:val="20"/>
        </w:rPr>
      </w:pPr>
    </w:p>
    <w:p>
      <w:pPr>
        <w:ind w:right="480"/>
        <w:rPr>
          <w:rFonts w:eastAsia="宋体" w:cs="Times New Roman"/>
          <w:sz w:val="21"/>
          <w:szCs w:val="20"/>
        </w:rPr>
      </w:pPr>
      <w:r>
        <w:rPr>
          <w:rFonts w:cs="Times New Roman"/>
          <w:color w:val="333333"/>
          <w:sz w:val="20"/>
          <w:szCs w:val="20"/>
        </w:rPr>
        <w:drawing>
          <wp:inline distT="0" distB="0" distL="0" distR="0">
            <wp:extent cx="3352800" cy="3238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9" cstate="print">
                      <a:extLst>
                        <a:ext uri="{28A0092B-C50C-407E-A947-70E740481C1C}">
                          <a14:useLocalDpi xmlns:a14="http://schemas.microsoft.com/office/drawing/2010/main" val="0"/>
                        </a:ext>
                      </a:extLst>
                    </a:blip>
                    <a:srcRect l="41818"/>
                    <a:stretch>
                      <a:fillRect/>
                    </a:stretch>
                  </pic:blipFill>
                  <pic:spPr>
                    <a:xfrm>
                      <a:off x="0" y="0"/>
                      <a:ext cx="3352800" cy="3238500"/>
                    </a:xfrm>
                    <a:prstGeom prst="rect">
                      <a:avLst/>
                    </a:prstGeom>
                    <a:noFill/>
                    <a:ln>
                      <a:noFill/>
                    </a:ln>
                  </pic:spPr>
                </pic:pic>
              </a:graphicData>
            </a:graphic>
          </wp:inline>
        </w:drawing>
      </w:r>
    </w:p>
    <w:p>
      <w:pPr>
        <w:pStyle w:val="23"/>
        <w:spacing w:before="60" w:beforeAutospacing="0" w:after="60" w:afterAutospacing="0"/>
        <w:rPr>
          <w:rFonts w:ascii="Times New Roman" w:hAnsi="Times New Roman" w:cs="Times New Roman"/>
        </w:rPr>
      </w:pPr>
    </w:p>
    <w:p>
      <w:pPr>
        <w:bidi w:val="0"/>
        <w:rPr>
          <w:b/>
          <w:bCs/>
        </w:rPr>
      </w:pPr>
    </w:p>
    <w:p>
      <w:pPr>
        <w:pStyle w:val="3"/>
        <w:numPr>
          <w:ilvl w:val="0"/>
          <w:numId w:val="2"/>
        </w:numPr>
        <w:bidi w:val="0"/>
        <w:rPr>
          <w:rFonts w:hint="default"/>
          <w:lang w:val="en-US" w:eastAsia="zh-CN"/>
        </w:rPr>
      </w:pPr>
      <w:r>
        <w:rPr>
          <w:rFonts w:hint="default"/>
          <w:lang w:val="en-US" w:eastAsia="zh-CN"/>
        </w:rPr>
        <w:t>Analysis of the error</w:t>
      </w:r>
    </w:p>
    <w:p>
      <w:pPr>
        <w:rPr>
          <w:rFonts w:hint="default"/>
          <w:lang w:val="en-US" w:eastAsia="zh-CN"/>
        </w:rPr>
      </w:pPr>
    </w:p>
    <w:p>
      <w:pPr>
        <w:rPr>
          <w:rFonts w:hint="default"/>
          <w:lang w:val="en-US" w:eastAsia="zh-CN"/>
        </w:rPr>
      </w:pPr>
    </w:p>
    <w:p>
      <w:pPr>
        <w:rPr>
          <w:rFonts w:hint="default"/>
          <w:lang w:val="en-US" w:eastAsia="zh-CN"/>
        </w:rPr>
      </w:pPr>
    </w:p>
    <w:p>
      <w:pPr>
        <w:bidi w:val="0"/>
        <w:rPr>
          <w:b/>
          <w:bCs/>
        </w:rPr>
      </w:pPr>
      <w:r>
        <w:rPr>
          <w:b/>
          <w:bCs/>
        </w:rPr>
        <w:t>Displacement of hydration waters</w:t>
      </w:r>
    </w:p>
    <w:p>
      <w:pPr>
        <w:ind w:right="480"/>
        <w:rPr>
          <w:rFonts w:cs="Times New Roman" w:eastAsiaTheme="minorEastAsia"/>
          <w:sz w:val="21"/>
          <w:szCs w:val="20"/>
        </w:rPr>
      </w:pPr>
      <w:r>
        <w:rPr>
          <w:rFonts w:cs="Times New Roman" w:eastAsiaTheme="minorEastAsia"/>
          <w:sz w:val="21"/>
          <w:szCs w:val="20"/>
        </w:rPr>
        <w:t>The phenomenon of displacement between interfacial waters…</w:t>
      </w:r>
    </w:p>
    <w:p>
      <w:pPr>
        <w:pStyle w:val="23"/>
        <w:spacing w:before="60" w:beforeAutospacing="0" w:after="60" w:afterAutospacing="0"/>
        <w:rPr>
          <w:rFonts w:ascii="Times New Roman" w:hAnsi="Times New Roman" w:cs="Times New Roman"/>
          <w:strike/>
        </w:rPr>
      </w:pPr>
    </w:p>
    <w:p>
      <w:pPr>
        <w:bidi w:val="0"/>
        <w:rPr>
          <w:b/>
          <w:bCs/>
        </w:rPr>
      </w:pPr>
      <w:r>
        <w:rPr>
          <w:b/>
          <w:bCs/>
        </w:rPr>
        <w:t>Favorable mutations mediated by water</w:t>
      </w:r>
    </w:p>
    <w:p>
      <w:pPr>
        <w:pStyle w:val="23"/>
        <w:spacing w:before="60" w:beforeAutospacing="0" w:after="60" w:afterAutospacing="0"/>
        <w:rPr>
          <w:rFonts w:ascii="Times New Roman" w:hAnsi="Times New Roman" w:cs="Times New Roman"/>
          <w:sz w:val="21"/>
          <w:szCs w:val="21"/>
        </w:rPr>
      </w:pPr>
      <w:r>
        <w:rPr>
          <w:rFonts w:ascii="Times New Roman" w:hAnsi="Times New Roman" w:cs="Times New Roman"/>
          <w:sz w:val="21"/>
          <w:szCs w:val="21"/>
        </w:rPr>
        <w:t xml:space="preserve">In the analysis of 7KFV, we find a long-term interfacial water but without powerful MM energy. </w:t>
      </w:r>
    </w:p>
    <w:p>
      <w:pPr>
        <w:pStyle w:val="23"/>
        <w:spacing w:before="60" w:beforeAutospacing="0" w:after="60" w:afterAutospacing="0"/>
        <w:rPr>
          <w:rFonts w:ascii="Times New Roman" w:hAnsi="Times New Roman" w:cs="Times New Roman"/>
          <w:sz w:val="21"/>
          <w:szCs w:val="21"/>
        </w:rPr>
      </w:pPr>
    </w:p>
    <w:p>
      <w:pPr>
        <w:pStyle w:val="23"/>
        <w:spacing w:before="60" w:beforeAutospacing="0" w:after="60" w:afterAutospacing="0"/>
        <w:rPr>
          <w:rFonts w:ascii="Times New Roman" w:hAnsi="Times New Roman" w:cs="Times New Roman"/>
          <w:sz w:val="21"/>
          <w:szCs w:val="21"/>
        </w:rPr>
      </w:pPr>
      <w:r>
        <w:rPr>
          <w:rFonts w:ascii="Times New Roman" w:hAnsi="Times New Roman" w:cs="Times New Roman"/>
          <w:color w:val="333333"/>
          <w:sz w:val="21"/>
          <w:szCs w:val="21"/>
        </w:rPr>
        <w:t>...</w:t>
      </w:r>
    </w:p>
    <w:p>
      <w:pPr>
        <w:pStyle w:val="23"/>
        <w:spacing w:before="60" w:beforeAutospacing="0" w:after="60" w:afterAutospacing="0"/>
        <w:rPr>
          <w:rFonts w:ascii="Times New Roman" w:hAnsi="Times New Roman" w:cs="Times New Roman"/>
        </w:rPr>
      </w:pPr>
    </w:p>
    <w:p>
      <w:pPr>
        <w:pStyle w:val="2"/>
        <w:rPr>
          <w:sz w:val="28"/>
          <w:szCs w:val="21"/>
        </w:rPr>
      </w:pPr>
      <w:r>
        <w:rPr>
          <w:sz w:val="28"/>
          <w:szCs w:val="21"/>
        </w:rPr>
        <w:t>CONCLUSIONS</w:t>
      </w:r>
    </w:p>
    <w:p>
      <w:pPr>
        <w:pStyle w:val="23"/>
        <w:spacing w:before="60" w:beforeAutospacing="0" w:after="60" w:afterAutospacing="0"/>
        <w:rPr>
          <w:rFonts w:ascii="Times New Roman" w:hAnsi="Times New Roman" w:cs="Times New Roman"/>
        </w:rPr>
      </w:pPr>
    </w:p>
    <w:p>
      <w:pPr>
        <w:pStyle w:val="2"/>
        <w:rPr>
          <w:sz w:val="28"/>
          <w:szCs w:val="21"/>
        </w:rPr>
      </w:pPr>
      <w:r>
        <w:rPr>
          <w:sz w:val="28"/>
          <w:szCs w:val="21"/>
        </w:rPr>
        <w:t xml:space="preserve">ASSOCIATED CONTENT </w:t>
      </w:r>
    </w:p>
    <w:p>
      <w:pPr>
        <w:pStyle w:val="3"/>
        <w:rPr>
          <w:rFonts w:cs="Times New Roman"/>
          <w:sz w:val="24"/>
          <w:szCs w:val="24"/>
        </w:rPr>
      </w:pPr>
      <w:r>
        <w:rPr>
          <w:rFonts w:cs="Times New Roman"/>
          <w:sz w:val="24"/>
          <w:szCs w:val="24"/>
        </w:rPr>
        <w:t>Supplemental Information</w:t>
      </w:r>
    </w:p>
    <w:p>
      <w:pPr>
        <w:pStyle w:val="23"/>
        <w:spacing w:before="60" w:beforeAutospacing="0" w:after="60" w:afterAutospacing="0"/>
        <w:rPr>
          <w:rFonts w:ascii="Times New Roman" w:hAnsi="Times New Roman" w:cs="Times New Roman"/>
          <w:sz w:val="21"/>
          <w:szCs w:val="21"/>
        </w:rPr>
      </w:pPr>
      <w:r>
        <w:rPr>
          <w:rFonts w:ascii="Times New Roman" w:hAnsi="Times New Roman" w:cs="Times New Roman"/>
          <w:color w:val="333333"/>
          <w:sz w:val="21"/>
          <w:szCs w:val="21"/>
        </w:rPr>
        <w:t>table 1 results of 10ns relaxed VS 2ns with restrained</w:t>
      </w:r>
    </w:p>
    <w:p>
      <w:pPr>
        <w:pStyle w:val="23"/>
        <w:spacing w:before="60" w:beforeAutospacing="0" w:after="60" w:afterAutospacing="0"/>
        <w:rPr>
          <w:rFonts w:ascii="Times New Roman" w:hAnsi="Times New Roman" w:cs="Times New Roman"/>
          <w:sz w:val="21"/>
          <w:szCs w:val="21"/>
        </w:rPr>
      </w:pPr>
      <w:r>
        <w:rPr>
          <w:rFonts w:ascii="Times New Roman" w:hAnsi="Times New Roman" w:cs="Times New Roman"/>
          <w:color w:val="333333"/>
          <w:sz w:val="21"/>
          <w:szCs w:val="21"/>
        </w:rPr>
        <w:t>table 2 results of sampling inerval in 10ns</w:t>
      </w:r>
    </w:p>
    <w:p>
      <w:pPr>
        <w:pStyle w:val="23"/>
        <w:spacing w:before="60" w:beforeAutospacing="0" w:after="60" w:afterAutospacing="0"/>
        <w:rPr>
          <w:rFonts w:ascii="Times New Roman" w:hAnsi="Times New Roman" w:cs="Times New Roman"/>
          <w:sz w:val="21"/>
          <w:szCs w:val="21"/>
        </w:rPr>
      </w:pPr>
      <w:r>
        <w:rPr>
          <w:rFonts w:ascii="Times New Roman" w:hAnsi="Times New Roman" w:cs="Times New Roman"/>
          <w:color w:val="333333"/>
          <w:sz w:val="21"/>
          <w:szCs w:val="21"/>
        </w:rPr>
        <w:t>table 5 energy decompostion of residues and waters</w:t>
      </w:r>
    </w:p>
    <w:p>
      <w:pPr>
        <w:pStyle w:val="23"/>
        <w:spacing w:before="60" w:beforeAutospacing="0" w:after="60" w:afterAutospacing="0"/>
        <w:rPr>
          <w:rFonts w:ascii="Times New Roman" w:hAnsi="Times New Roman" w:cs="Times New Roman"/>
          <w:sz w:val="21"/>
          <w:szCs w:val="21"/>
        </w:rPr>
      </w:pPr>
      <w:r>
        <w:rPr>
          <w:rFonts w:ascii="Times New Roman" w:hAnsi="Times New Roman" w:cs="Times New Roman"/>
          <w:color w:val="333333"/>
          <w:sz w:val="21"/>
          <w:szCs w:val="21"/>
        </w:rPr>
        <w:t>table 6 results of hyhoh VS relaxed</w:t>
      </w:r>
    </w:p>
    <w:p>
      <w:pPr>
        <w:pStyle w:val="23"/>
        <w:spacing w:before="60" w:beforeAutospacing="0" w:after="60" w:afterAutospacing="0"/>
        <w:rPr>
          <w:rFonts w:ascii="Times New Roman" w:hAnsi="Times New Roman" w:cs="Times New Roman"/>
          <w:sz w:val="21"/>
          <w:szCs w:val="21"/>
        </w:rPr>
      </w:pPr>
    </w:p>
    <w:tbl>
      <w:tblPr>
        <w:tblStyle w:val="13"/>
        <w:tblW w:w="8325" w:type="dxa"/>
        <w:tblInd w:w="0" w:type="dxa"/>
        <w:tblLayout w:type="autofit"/>
        <w:tblCellMar>
          <w:top w:w="15" w:type="dxa"/>
          <w:left w:w="15" w:type="dxa"/>
          <w:bottom w:w="15" w:type="dxa"/>
          <w:right w:w="15" w:type="dxa"/>
        </w:tblCellMar>
      </w:tblPr>
      <w:tblGrid>
        <w:gridCol w:w="1455"/>
        <w:gridCol w:w="1080"/>
        <w:gridCol w:w="1095"/>
        <w:gridCol w:w="1080"/>
        <w:gridCol w:w="1155"/>
        <w:gridCol w:w="1080"/>
        <w:gridCol w:w="1380"/>
      </w:tblGrid>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2"/>
                <w:szCs w:val="22"/>
              </w:rPr>
              <w:t>pdb</w:t>
            </w:r>
          </w:p>
        </w:tc>
        <w:tc>
          <w:tcPr>
            <w:tcW w:w="1080" w:type="dxa"/>
            <w:tcBorders>
              <w:top w:val="single" w:color="A3A3A3" w:sz="6" w:space="0"/>
              <w:left w:val="single" w:color="A3A3A3" w:sz="6" w:space="0"/>
              <w:bottom w:val="single" w:color="A3A3A3" w:sz="6" w:space="0"/>
              <w:right w:val="single" w:color="A3A3A3" w:sz="6" w:space="0"/>
            </w:tcBorders>
            <w:shd w:val="clear" w:color="auto" w:fill="00B050"/>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2"/>
                <w:szCs w:val="22"/>
              </w:rPr>
              <w:t>10ns</w:t>
            </w:r>
          </w:p>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2"/>
                <w:szCs w:val="22"/>
              </w:rPr>
              <w:t>-TdS IE</w:t>
            </w:r>
          </w:p>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c>
          <w:tcPr>
            <w:tcW w:w="1095" w:type="dxa"/>
            <w:tcBorders>
              <w:top w:val="single" w:color="A3A3A3" w:sz="6" w:space="0"/>
              <w:left w:val="single" w:color="A3A3A3" w:sz="6" w:space="0"/>
              <w:bottom w:val="single" w:color="A3A3A3" w:sz="6" w:space="0"/>
              <w:right w:val="single" w:color="A3A3A3" w:sz="6" w:space="0"/>
            </w:tcBorders>
            <w:shd w:val="clear" w:color="auto" w:fill="00B050"/>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2"/>
                <w:szCs w:val="22"/>
              </w:rPr>
              <w:t>10ns</w:t>
            </w:r>
          </w:p>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2"/>
                <w:szCs w:val="22"/>
              </w:rPr>
              <w:t>mmpbsa</w:t>
            </w:r>
          </w:p>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c>
          <w:tcPr>
            <w:tcW w:w="1080" w:type="dxa"/>
            <w:tcBorders>
              <w:top w:val="single" w:color="A3A3A3" w:sz="6" w:space="0"/>
              <w:left w:val="single" w:color="A3A3A3" w:sz="6" w:space="0"/>
              <w:bottom w:val="single" w:color="A3A3A3" w:sz="6" w:space="0"/>
              <w:right w:val="single" w:color="A3A3A3" w:sz="6" w:space="0"/>
            </w:tcBorders>
            <w:shd w:val="clear" w:color="auto" w:fill="00B050"/>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2"/>
                <w:szCs w:val="22"/>
              </w:rPr>
              <w:t>10ns</w:t>
            </w:r>
          </w:p>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2"/>
                <w:szCs w:val="22"/>
              </w:rPr>
              <w:t>dG</w:t>
            </w:r>
          </w:p>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c>
          <w:tcPr>
            <w:tcW w:w="1155" w:type="dxa"/>
            <w:tcBorders>
              <w:top w:val="single" w:color="A3A3A3" w:sz="6" w:space="0"/>
              <w:left w:val="single" w:color="A3A3A3" w:sz="6" w:space="0"/>
              <w:bottom w:val="single" w:color="A3A3A3" w:sz="6" w:space="0"/>
              <w:right w:val="single" w:color="A3A3A3" w:sz="6" w:space="0"/>
            </w:tcBorders>
            <w:shd w:val="clear" w:color="auto" w:fill="00B050"/>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eastAsia="Microsoft YaHei UI" w:cs="Times New Roman"/>
                <w:color w:val="000000"/>
              </w:rPr>
              <w:t>hyhoh</w:t>
            </w:r>
          </w:p>
          <w:p>
            <w:pPr>
              <w:pStyle w:val="23"/>
              <w:spacing w:before="0" w:beforeAutospacing="0" w:after="0" w:afterAutospacing="0"/>
              <w:rPr>
                <w:rFonts w:ascii="Times New Roman" w:hAnsi="Times New Roman" w:cs="Times New Roman"/>
              </w:rPr>
            </w:pPr>
          </w:p>
          <w:p>
            <w:pPr>
              <w:pStyle w:val="23"/>
              <w:spacing w:before="0" w:beforeAutospacing="0" w:after="0" w:afterAutospacing="0"/>
              <w:rPr>
                <w:rFonts w:ascii="Times New Roman" w:hAnsi="Times New Roman" w:cs="Times New Roman"/>
              </w:rPr>
            </w:pPr>
            <w:r>
              <w:rPr>
                <w:rFonts w:ascii="Times New Roman" w:hAnsi="Times New Roman" w:eastAsia="Microsoft YaHei UI" w:cs="Times New Roman"/>
                <w:color w:val="000000"/>
              </w:rPr>
              <w:t xml:space="preserve">mmpbsa </w:t>
            </w:r>
          </w:p>
        </w:tc>
        <w:tc>
          <w:tcPr>
            <w:tcW w:w="1080" w:type="dxa"/>
            <w:tcBorders>
              <w:top w:val="single" w:color="A3A3A3" w:sz="6" w:space="0"/>
              <w:left w:val="single" w:color="A3A3A3" w:sz="6" w:space="0"/>
              <w:bottom w:val="single" w:color="A3A3A3" w:sz="6" w:space="0"/>
              <w:right w:val="single" w:color="A3A3A3" w:sz="6" w:space="0"/>
            </w:tcBorders>
            <w:shd w:val="clear" w:color="auto" w:fill="00B050"/>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eastAsia="Microsoft YaHei UI" w:cs="Times New Roman"/>
                <w:color w:val="000000"/>
              </w:rPr>
              <w:t>hyhoh</w:t>
            </w:r>
          </w:p>
          <w:p>
            <w:pPr>
              <w:pStyle w:val="23"/>
              <w:spacing w:before="0" w:beforeAutospacing="0" w:after="0" w:afterAutospacing="0"/>
              <w:rPr>
                <w:rFonts w:ascii="Times New Roman" w:hAnsi="Times New Roman" w:cs="Times New Roman"/>
              </w:rPr>
            </w:pPr>
          </w:p>
          <w:p>
            <w:pPr>
              <w:pStyle w:val="23"/>
              <w:spacing w:before="0" w:beforeAutospacing="0" w:after="0" w:afterAutospacing="0"/>
              <w:rPr>
                <w:rFonts w:ascii="Times New Roman" w:hAnsi="Times New Roman" w:cs="Times New Roman"/>
              </w:rPr>
            </w:pPr>
            <w:r>
              <w:rPr>
                <w:rFonts w:ascii="Times New Roman" w:hAnsi="Times New Roman" w:eastAsia="Microsoft YaHei UI" w:cs="Times New Roman"/>
                <w:color w:val="000000"/>
              </w:rPr>
              <w:t>dG</w:t>
            </w:r>
          </w:p>
        </w:tc>
        <w:tc>
          <w:tcPr>
            <w:tcW w:w="1380" w:type="dxa"/>
            <w:tcBorders>
              <w:top w:val="single" w:color="A3A3A3" w:sz="6" w:space="0"/>
              <w:left w:val="single" w:color="A3A3A3" w:sz="6" w:space="0"/>
              <w:bottom w:val="single" w:color="A3A3A3" w:sz="6" w:space="0"/>
              <w:right w:val="single" w:color="A3A3A3" w:sz="6" w:space="0"/>
            </w:tcBorders>
            <w:shd w:val="clear" w:color="auto" w:fill="B2A1C7"/>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2"/>
                <w:szCs w:val="22"/>
              </w:rPr>
              <w:t xml:space="preserve">Affinity </w:t>
            </w:r>
          </w:p>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2"/>
                <w:szCs w:val="22"/>
              </w:rPr>
              <w:t>(nM)</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7KFY</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17.067</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-20.298</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-3.231</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-14.430</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FA0000"/>
                <w:sz w:val="22"/>
                <w:szCs w:val="22"/>
              </w:rPr>
              <w:t>+2.637</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55.7</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7KFX(-5)</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13.720</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-13.927</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-0.207</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-16.047</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-2.327</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14.1</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7KFV</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17.109</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-23.288</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-6.179</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-31.217</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-14.108</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4.2</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7KFW</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23.608</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-23.036</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FF0000"/>
                <w:sz w:val="22"/>
                <w:szCs w:val="22"/>
              </w:rPr>
              <w:t>+0.571</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FF0000"/>
                <w:sz w:val="22"/>
                <w:szCs w:val="22"/>
              </w:rPr>
              <w:t>-20.990</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FF0000"/>
                <w:sz w:val="22"/>
                <w:szCs w:val="22"/>
              </w:rPr>
              <w:t>+2.618</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76.3</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7JVA(20)</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14.620</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-19.417</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-4.797</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-21.846</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-7.226</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7.5</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7KGK (19hy)</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20.942</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-23.632</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-2.690</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-29.402</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-8.460</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100+-20</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xml:space="preserve">7C8D </w:t>
            </w:r>
            <w:r>
              <w:rPr>
                <w:rFonts w:ascii="Times New Roman" w:hAnsi="Times New Roman" w:cs="Times New Roman"/>
                <w:b/>
                <w:bCs/>
                <w:color w:val="000000"/>
                <w:sz w:val="20"/>
                <w:szCs w:val="20"/>
              </w:rPr>
              <w:t>(25)</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12.620</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-23.544</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-10.923</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-22.773</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-10.153</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6.4</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7L5B</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12.189</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-31.634</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-19.445</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 </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 </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0.0275</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6YZ5</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12.155</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-20.594</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-8.440</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-20.684</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-8.529</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39</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6ZBP</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18.978</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-32.453</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-13.476</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-32.607</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-13.629</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12</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7B27 (25)</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30.196</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-38.431</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-8.235</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-37.027</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-6.831</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8.23</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7BWJ</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21.958</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-35.684</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-13.726</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-33.394</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-11.436</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5.14</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7F7F7F"/>
                <w:sz w:val="20"/>
                <w:szCs w:val="20"/>
              </w:rPr>
              <w:t>7CH4</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26.317</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-36.727</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0"/>
                <w:szCs w:val="20"/>
              </w:rPr>
              <w:t>-10.411</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0"/>
                <w:szCs w:val="20"/>
              </w:rPr>
              <w:t> </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0"/>
                <w:szCs w:val="20"/>
              </w:rPr>
              <w:t> </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0.18</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7F7F7F"/>
                <w:sz w:val="20"/>
                <w:szCs w:val="20"/>
              </w:rPr>
              <w:t>7CH5</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22.180</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-24.033</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0"/>
                <w:szCs w:val="20"/>
              </w:rPr>
              <w:t>-1.853</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0"/>
                <w:szCs w:val="20"/>
              </w:rPr>
              <w:t> </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0"/>
                <w:szCs w:val="20"/>
              </w:rPr>
              <w:t> </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0.78</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7E23/</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22.477</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-42.071</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-19.594</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-39.431</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-16.954</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0.698</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7JMO</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14.571</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-15.533</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+3.812</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-18.831</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-4.260</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39.6</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7K8M</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25.794</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-28.566</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-3.218</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-30.963</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-5.169</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27</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A5A5A5"/>
                <w:sz w:val="20"/>
                <w:szCs w:val="20"/>
              </w:rPr>
              <w:t xml:space="preserve">7DEU </w:t>
            </w:r>
            <w:r>
              <w:rPr>
                <w:rFonts w:ascii="Times New Roman" w:hAnsi="Times New Roman" w:cs="Times New Roman"/>
                <w:color w:val="A5A5A5"/>
                <w:sz w:val="22"/>
                <w:szCs w:val="22"/>
              </w:rPr>
              <w:t>(-7)</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A5A5A5"/>
                <w:sz w:val="22"/>
                <w:szCs w:val="22"/>
              </w:rPr>
              <w:t>9.433</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A5A5A5"/>
                <w:sz w:val="22"/>
                <w:szCs w:val="22"/>
              </w:rPr>
              <w:t>-28.693</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A5A5A5"/>
                <w:sz w:val="20"/>
                <w:szCs w:val="20"/>
              </w:rPr>
              <w:t>-17.934</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A5A5A5"/>
                <w:sz w:val="20"/>
                <w:szCs w:val="20"/>
              </w:rPr>
              <w:t>-28.178</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A5A5A5"/>
                <w:sz w:val="20"/>
                <w:szCs w:val="20"/>
              </w:rPr>
              <w:t>-18.745</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A5A5A5"/>
                <w:sz w:val="22"/>
                <w:szCs w:val="22"/>
              </w:rPr>
              <w:t>&lt;0.001</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A5A5A5"/>
                <w:sz w:val="20"/>
                <w:szCs w:val="20"/>
              </w:rPr>
              <w:t>7CM4(-11)</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A5A5A5"/>
                <w:sz w:val="22"/>
                <w:szCs w:val="22"/>
              </w:rPr>
              <w:t>22.848</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A5A5A5"/>
                <w:sz w:val="22"/>
                <w:szCs w:val="22"/>
              </w:rPr>
              <w:t>-23.911</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A5A5A5"/>
                <w:sz w:val="22"/>
                <w:szCs w:val="22"/>
              </w:rPr>
              <w:t>-1.063</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A5A5A5"/>
                <w:sz w:val="22"/>
                <w:szCs w:val="22"/>
              </w:rPr>
              <w:t>-28.493</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A5A5A5"/>
                <w:sz w:val="22"/>
                <w:szCs w:val="22"/>
              </w:rPr>
              <w:t>-5.645</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A5A5A5"/>
                <w:sz w:val="22"/>
                <w:szCs w:val="22"/>
              </w:rPr>
              <w:t>0.027</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6W41 (20hy)</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23.442</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-32.204</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-8.762</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-24.372</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-0.930</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115</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6YM0</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25.108</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-35.738</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-10.630</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-41.567</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-16.459</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19</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6ZER (20)</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21.890</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-31.143</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-9.253</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-38.819</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-16.929</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7C01</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16.026</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-27.311</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-11.285</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-28.191</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-12.165</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2.49 ± 1.65</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7DEO</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14.116</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-35.027</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-20.911</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-27.878</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-13.762</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2.33</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7DPM (18)</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21.289</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-32.487</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-11.198</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-38.152</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-16.863</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5.48</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7MZF</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 </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 </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 </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5.69+-0.14</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7MZG</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 </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 </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 </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1.10+-0.16</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7MZJ</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 </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 </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 </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0.5+-0.06</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F4B183"/>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Pearson</w:t>
            </w:r>
          </w:p>
        </w:tc>
        <w:tc>
          <w:tcPr>
            <w:tcW w:w="1080" w:type="dxa"/>
            <w:tcBorders>
              <w:top w:val="single" w:color="A3A3A3" w:sz="6" w:space="0"/>
              <w:left w:val="single" w:color="A3A3A3" w:sz="6" w:space="0"/>
              <w:bottom w:val="single" w:color="A3A3A3" w:sz="6" w:space="0"/>
              <w:right w:val="single" w:color="A3A3A3" w:sz="6" w:space="0"/>
            </w:tcBorders>
            <w:shd w:val="clear" w:color="auto" w:fill="F4B183"/>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c>
          <w:tcPr>
            <w:tcW w:w="1095" w:type="dxa"/>
            <w:tcBorders>
              <w:top w:val="single" w:color="A3A3A3" w:sz="6" w:space="0"/>
              <w:left w:val="single" w:color="A3A3A3" w:sz="6" w:space="0"/>
              <w:bottom w:val="single" w:color="A3A3A3" w:sz="6" w:space="0"/>
              <w:right w:val="single" w:color="A3A3A3" w:sz="6" w:space="0"/>
            </w:tcBorders>
            <w:shd w:val="clear" w:color="auto" w:fill="F4B183"/>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c>
          <w:tcPr>
            <w:tcW w:w="1080" w:type="dxa"/>
            <w:tcBorders>
              <w:top w:val="single" w:color="A3A3A3" w:sz="6" w:space="0"/>
              <w:left w:val="single" w:color="A3A3A3" w:sz="6" w:space="0"/>
              <w:bottom w:val="single" w:color="A3A3A3" w:sz="6" w:space="0"/>
              <w:right w:val="single" w:color="A3A3A3" w:sz="6" w:space="0"/>
            </w:tcBorders>
            <w:shd w:val="clear" w:color="auto" w:fill="F4B183"/>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0.687</w:t>
            </w:r>
          </w:p>
        </w:tc>
        <w:tc>
          <w:tcPr>
            <w:tcW w:w="1155" w:type="dxa"/>
            <w:tcBorders>
              <w:top w:val="single" w:color="A3A3A3" w:sz="6" w:space="0"/>
              <w:left w:val="single" w:color="A3A3A3" w:sz="6" w:space="0"/>
              <w:bottom w:val="single" w:color="A3A3A3" w:sz="6" w:space="0"/>
              <w:right w:val="single" w:color="A3A3A3" w:sz="6" w:space="0"/>
            </w:tcBorders>
            <w:shd w:val="clear" w:color="auto" w:fill="F4B183"/>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c>
          <w:tcPr>
            <w:tcW w:w="1080" w:type="dxa"/>
            <w:tcBorders>
              <w:top w:val="single" w:color="A3A3A3" w:sz="6" w:space="0"/>
              <w:left w:val="single" w:color="A3A3A3" w:sz="6" w:space="0"/>
              <w:bottom w:val="single" w:color="A3A3A3" w:sz="6" w:space="0"/>
              <w:right w:val="single" w:color="A3A3A3" w:sz="6" w:space="0"/>
            </w:tcBorders>
            <w:shd w:val="clear" w:color="auto" w:fill="F4B183"/>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0.760</w:t>
            </w:r>
          </w:p>
        </w:tc>
        <w:tc>
          <w:tcPr>
            <w:tcW w:w="1380" w:type="dxa"/>
            <w:tcBorders>
              <w:top w:val="single" w:color="A3A3A3" w:sz="6" w:space="0"/>
              <w:left w:val="single" w:color="A3A3A3" w:sz="6" w:space="0"/>
              <w:bottom w:val="single" w:color="A3A3A3" w:sz="6" w:space="0"/>
              <w:right w:val="single" w:color="A3A3A3" w:sz="6" w:space="0"/>
            </w:tcBorders>
            <w:shd w:val="clear" w:color="auto" w:fill="F4B183"/>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r>
    </w:tbl>
    <w:p>
      <w:pPr>
        <w:pStyle w:val="23"/>
        <w:spacing w:before="60" w:beforeAutospacing="0" w:after="60" w:afterAutospacing="0"/>
        <w:rPr>
          <w:rFonts w:ascii="Times New Roman" w:hAnsi="Times New Roman" w:cs="Times New Roman"/>
        </w:rPr>
      </w:pPr>
    </w:p>
    <w:p>
      <w:pPr>
        <w:pStyle w:val="23"/>
        <w:spacing w:before="60" w:beforeAutospacing="0" w:after="60" w:afterAutospacing="0"/>
        <w:rPr>
          <w:rFonts w:ascii="Times New Roman" w:hAnsi="Times New Roman" w:cs="Times New Roman"/>
        </w:rPr>
      </w:pPr>
    </w:p>
    <w:p>
      <w:pPr>
        <w:pStyle w:val="23"/>
        <w:spacing w:before="60" w:beforeAutospacing="0" w:after="60" w:afterAutospacing="0"/>
        <w:rPr>
          <w:rFonts w:ascii="Times New Roman" w:hAnsi="Times New Roman" w:cs="Times New Roman"/>
          <w:sz w:val="21"/>
          <w:szCs w:val="21"/>
        </w:rPr>
      </w:pPr>
      <w:r>
        <w:rPr>
          <w:rFonts w:ascii="Times New Roman" w:hAnsi="Times New Roman" w:cs="Times New Roman"/>
          <w:color w:val="333333"/>
          <w:sz w:val="21"/>
          <w:szCs w:val="21"/>
        </w:rPr>
        <w:t>MD protocol</w:t>
      </w:r>
    </w:p>
    <w:p>
      <w:pPr>
        <w:pStyle w:val="23"/>
        <w:spacing w:before="60" w:beforeAutospacing="0" w:after="60" w:afterAutospacing="0"/>
        <w:rPr>
          <w:rFonts w:ascii="Times New Roman" w:hAnsi="Times New Roman" w:cs="Times New Roman"/>
          <w:sz w:val="21"/>
          <w:szCs w:val="21"/>
        </w:rPr>
      </w:pPr>
      <w:r>
        <w:rPr>
          <w:rFonts w:ascii="Times New Roman" w:hAnsi="Times New Roman" w:cs="Times New Roman"/>
          <w:color w:val="333333"/>
          <w:sz w:val="21"/>
          <w:szCs w:val="21"/>
        </w:rPr>
        <w:t>MMPBSA.sh</w:t>
      </w:r>
    </w:p>
    <w:p>
      <w:pPr>
        <w:pStyle w:val="23"/>
        <w:spacing w:before="60" w:beforeAutospacing="0" w:after="60" w:afterAutospacing="0"/>
        <w:rPr>
          <w:rFonts w:ascii="Times New Roman" w:hAnsi="Times New Roman" w:cs="Times New Roman"/>
          <w:sz w:val="21"/>
          <w:szCs w:val="21"/>
        </w:rPr>
      </w:pPr>
      <w:r>
        <w:rPr>
          <w:rFonts w:ascii="Times New Roman" w:hAnsi="Times New Roman" w:cs="Times New Roman"/>
          <w:color w:val="333333"/>
          <w:sz w:val="21"/>
          <w:szCs w:val="21"/>
        </w:rPr>
        <w:t>RMSDMostFreq.py</w:t>
      </w:r>
    </w:p>
    <w:p>
      <w:pPr>
        <w:pStyle w:val="23"/>
        <w:spacing w:before="60" w:beforeAutospacing="0" w:after="60" w:afterAutospacing="0"/>
        <w:ind w:right="480"/>
        <w:rPr>
          <w:rFonts w:ascii="Times New Roman" w:hAnsi="Times New Roman" w:cs="Times New Roman"/>
          <w:sz w:val="21"/>
          <w:szCs w:val="21"/>
        </w:rPr>
      </w:pPr>
      <w:r>
        <w:rPr>
          <w:rFonts w:ascii="Times New Roman" w:hAnsi="Times New Roman" w:cs="Times New Roman"/>
          <w:color w:val="333333"/>
          <w:sz w:val="21"/>
          <w:szCs w:val="21"/>
        </w:rPr>
        <w:t>hyhoh.py</w:t>
      </w:r>
    </w:p>
    <w:bookmarkEnd w:id="0"/>
    <w:p>
      <w:pPr>
        <w:snapToGrid w:val="0"/>
        <w:spacing w:before="60" w:after="60"/>
        <w:ind w:right="480"/>
        <w:rPr>
          <w:rFonts w:eastAsia="微软雅黑" w:cs="Times New Roman"/>
          <w:color w:val="333333"/>
          <w:szCs w:val="24"/>
        </w:rPr>
      </w:pPr>
    </w:p>
    <w:p>
      <w:pPr>
        <w:snapToGrid w:val="0"/>
        <w:spacing w:before="60" w:after="60"/>
        <w:ind w:right="480"/>
        <w:rPr>
          <w:rFonts w:eastAsia="微软雅黑" w:cs="Times New Roman"/>
          <w:color w:val="333333"/>
          <w:szCs w:val="24"/>
        </w:rPr>
      </w:pPr>
    </w:p>
    <w:p>
      <w:pPr>
        <w:pStyle w:val="2"/>
        <w:rPr>
          <w:sz w:val="28"/>
          <w:szCs w:val="21"/>
        </w:rPr>
      </w:pPr>
      <w:r>
        <w:rPr>
          <w:sz w:val="28"/>
          <w:szCs w:val="21"/>
        </w:rPr>
        <w:t>AUTHOR INFORMATION</w:t>
      </w:r>
    </w:p>
    <w:p>
      <w:pPr>
        <w:snapToGrid w:val="0"/>
        <w:spacing w:before="60" w:after="60"/>
        <w:ind w:right="480"/>
        <w:rPr>
          <w:rFonts w:eastAsia="微软雅黑" w:cs="Times New Roman"/>
          <w:color w:val="333333"/>
          <w:szCs w:val="24"/>
        </w:rPr>
      </w:pPr>
    </w:p>
    <w:p>
      <w:pPr>
        <w:pStyle w:val="2"/>
        <w:rPr>
          <w:sz w:val="28"/>
          <w:szCs w:val="21"/>
        </w:rPr>
      </w:pPr>
      <w:r>
        <w:rPr>
          <w:sz w:val="28"/>
          <w:szCs w:val="21"/>
        </w:rPr>
        <w:t>ACKNOWLEDGMENTS</w:t>
      </w:r>
    </w:p>
    <w:p>
      <w:pPr>
        <w:ind w:right="480"/>
        <w:rPr>
          <w:rFonts w:cs="Times New Roman"/>
        </w:rPr>
      </w:pPr>
    </w:p>
    <w:p>
      <w:pPr>
        <w:pStyle w:val="2"/>
        <w:rPr>
          <w:sz w:val="28"/>
          <w:szCs w:val="21"/>
        </w:rPr>
      </w:pPr>
      <w:r>
        <w:rPr>
          <w:sz w:val="28"/>
          <w:szCs w:val="21"/>
        </w:rPr>
        <w:t>REFERENCES</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 xml:space="preserve">Jelesarov, I.; Bosshard, H. R. Isothermal Titration Calorimetry and Differential Scanning Calorimetry as Complementary Tools to Investigate the Energetics of Biomolecular Recognition. J. Mol. Recognit. 1999, 12, 3−18. </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Fernández-Dueñas, V.; Llorente, J.; Gandía, J.; Borroto-Escuela, D. O.; Agnati, L. F.; Tasca, C. I.; Fuxe, K.; Ciruela, F. Fluorescence Resonance Energy Transfer-Based Technologies in the Study of Protein−Protein Interactions at the Cell Surface. Methods 2012, 57, 467−472.</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Zwanzig, R. W. High-Temperature Equation of State by a Perturbation Method. I. Nonpolar Gases. J. Chem. Phys. 1954, 22, 1420−1426.</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Kollman, P. Free energy calculations: applications to chemical and biochemical phenomena. Chem. Rev. 1993, 93, 2395−2417.</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Hansson, T.; Marelius, J.; Åqvist, J. Ligand binding affinity prediction by linear interaction energy methods. J. Comput.-Aided Mol. Des. 1998, 12, 27−35.</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Srinivasan, J.; Cheatham, T. E.; Cieplak, P.; Kollman, P. A.; Case, D. A. Continuum Solvent Studies of the Stability of DNA, RNA, and Phosphoramidate−DNA Helices. J. Am. Chem. Soc. 1998, 120, 9401−9409.</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Kollman, P. A.; Massova, I.; Reyes, C.; Kuhn, B.; Huo, S.; Chong, L.; Lee, M.; Lee, T.; Duan, Y.; Wang, W.; Donini, O.; Cieplak, P.; Srinivasan, J.; Case, D. A.; Cheatham, T. E.. Calculating Structures and Free Energies of Complex Molecules: Combining Molecular Mechanics and Continuum Models. Acc. Chem. Res. 2000, 33, 889−897.</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Yan-jing Sheng, Yue-wen Yin, Yu-qiang Ma, and Hong-ming Ding Journal of Chemical Information and Modeling 2021 61 (5), 2454-2462</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Covell DG, Wallqvist A. Analysis of protein-protein interactions and the effects of amino acid mutations on their energetics. The importance of water molecules in the binding epitope. J Mol Biol. 1997 Jun 6;269(2):281-97. doi: 10.1006/jmbi.1997.1028. PMID: 9191071.</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Mariuzza RA, Poljak RJ. The basics of binding: mechanisms of antigen recognition and mimicry by antibodies. Curr Opin Immunol. 1993 Feb;5(1):50-5. doi: 10.1016/0952-7915(93)90080-c. PMID: 8452674.</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Ahmad M, Gu W, Geyer T, Helms V. Adhesive water networks facilitate binding of protein interfaces. Nat Commun. 2011;2:261.</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Maffucci I, Contini A. Explicit Ligand Hydration Shells Improve the Correlation between MM-PB/GBSA Binding Energies and Experimental Activities. J Chem Theory Comput. 2013;9(6):2706-17.</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Covell DG WA. MM-PBSA Captures Key Role of Intercalating Water Molecules at a Protein−Protein Interface. J Mol Biol. 1997 Jun 6.</w:t>
      </w:r>
    </w:p>
    <w:p>
      <w:p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-------------------14-38 都是 pdb 文件的参考文献---------------------------</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7KFY: Clark SA, Clark LE, Pan J, Coscia A, McKay LGA, Shankar S, Johnson RI, Griffiths A, Abraham J. Molecular basis for a germline-biased neutralizing antibody response to SARS-CoV-2. bioRxiv [Preprint]. 2020 Nov 13:2020.11.13.381533. doi: 10.1101/2020.11.13.381533. Update in: Cell. 2021 May 13;184(10):2605-2617.e18. PMID: 33200128; PMCID: PMC7668731.</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Jeffrey, George A.; An introduction to hydrogen bonding, Oxford University Press, 1997.</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Abraham, M. J.; Murtola, T.; Schulz, R.; Pall, S.; Smith, J. C.;Hess, B.; Lindahl, E. GROMACS: High Performance Molecular Simulations Through Multi-Level Parallelism from Laptops to Supercomputers. SoftwareX 2015, 1, 19−25.</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Berendsen, H. J. C.; van der Spoel, D.; van Drunen, R. GROMACS: A Message-Passing Parallel Molecular Dynamics Implementation. Comput. Phys. Commun. 1995, 91, 43−56.</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Maier, J. A.; Martinez, C.; Kasavajhala, K.; Wickstrom, L.; Hauser, K. E.; Simmerling, C. ff14sb: Improving the Accuracy of Protein Side Chain and Backbone Parameters from ff99sb. J. Chem. Theory Comput. 2015, 11, 3696−3713.</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MODELLER: generation and refinement of homology-based protein structure models. In Methods in Enzymology, C.W. Carter and R.M. Sweet, eds. Academic Press, San Diego, 374, 463-493, 2003.</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Duan, L.; Liu, X.; Zhang, J. Z. H. Interaction Entropy: A New Paradigm for Highly Efficient and Reliable Computation of Protein−Ligand Binding Free Energy. J. Am. Chem. Soc. 2016, 138, 5722−5728.</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Sun, Z.; Yan, Y. N.; Yang, M.; Zhang, J. Z. H. Interaction Entropy for Protein-Protein Binding. J. Chem. Phys. 2017, 146, 124124.</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gmxtool: scripts/programs/utilities/tools for GROMACS.https://jerkwin.github.io/gmxtool (accessed 2022-02-15).</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Sheng YJ, Yin YW, Ma YQ, Ding HM. Improving the Performance of MM/PBSA in Protein-Protein Interactions via the Screening Electrostatic Energy. J Chem Inf Model. 2021;61(5):2454-62.</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Srinivasan, J.; Cheatham, T. E.; Cieplak, P.; Kollman, P. A.; Case, D. A. Continuum Solvent Studies of the Stability of DNA, RNA, and Phosphoramidate−DNA Helices. J. Am. Chem. Soc. 1998, 120, 9401−9409.</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Kollman, P. A.; Massova, I.; Reyes, C.; Kuhn, B.; Huo, S.; Chong, L.; Lee, M.; Lee, T.; Duan, Y.; Wang, W.; Donini, O.; Cieplak, P.; Srinivasan, J.; Case, D. A.; Cheatham, T. E.. Calculating Structures and Free Energies of Complex Molecules: Combining Molecular Mechanics and Continuum Models. Acc. Chem. Res. 2000, 33, 889−897.</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p>
    <w:p>
      <w:pPr>
        <w:snapToGrid w:val="0"/>
        <w:spacing w:before="60" w:after="60"/>
        <w:ind w:right="480"/>
        <w:rPr>
          <w:rFonts w:eastAsia="微软雅黑" w:cs="Times New Roman"/>
          <w:color w:val="333333"/>
          <w:sz w:val="21"/>
          <w:szCs w:val="21"/>
        </w:rPr>
      </w:pPr>
    </w:p>
    <w:p>
      <w:pPr>
        <w:snapToGrid w:val="0"/>
        <w:spacing w:before="60" w:after="60"/>
        <w:ind w:right="480"/>
        <w:rPr>
          <w:rFonts w:eastAsia="微软雅黑" w:cs="Times New Roman"/>
          <w:color w:val="333333"/>
          <w:szCs w:val="24"/>
        </w:rPr>
      </w:pPr>
    </w:p>
    <w:sectPr>
      <w:headerReference r:id="rId7" w:type="first"/>
      <w:footerReference r:id="rId10" w:type="first"/>
      <w:headerReference r:id="rId5" w:type="default"/>
      <w:footerReference r:id="rId8" w:type="default"/>
      <w:headerReference r:id="rId6" w:type="even"/>
      <w:footerReference r:id="rId9" w:type="even"/>
      <w:pgSz w:w="11906" w:h="16838"/>
      <w:pgMar w:top="1361" w:right="1417" w:bottom="1361" w:left="1417"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right="480"/>
      </w:pPr>
      <w:r>
        <w:separator/>
      </w:r>
    </w:p>
  </w:endnote>
  <w:endnote w:type="continuationSeparator" w:id="1">
    <w:p>
      <w:pPr>
        <w:spacing w:line="240" w:lineRule="auto"/>
        <w:ind w:right="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Helvetica Neue">
    <w:altName w:val="Arial"/>
    <w:panose1 w:val="00000000000000000000"/>
    <w:charset w:val="00"/>
    <w:family w:val="auto"/>
    <w:pitch w:val="default"/>
    <w:sig w:usb0="00000000" w:usb1="00000000" w:usb2="00000010" w:usb3="00000000" w:csb0="00000001" w:csb1="00000000"/>
  </w:font>
  <w:font w:name="Microsoft YaHei UI">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right="480"/>
      </w:pPr>
      <w:r>
        <w:separator/>
      </w:r>
    </w:p>
  </w:footnote>
  <w:footnote w:type="continuationSeparator" w:id="1">
    <w:p>
      <w:pPr>
        <w:spacing w:line="360" w:lineRule="auto"/>
        <w:ind w:right="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9BC32E"/>
    <w:multiLevelType w:val="singleLevel"/>
    <w:tmpl w:val="9F9BC32E"/>
    <w:lvl w:ilvl="0" w:tentative="0">
      <w:start w:val="1"/>
      <w:numFmt w:val="decimal"/>
      <w:suff w:val="space"/>
      <w:lvlText w:val="%1."/>
      <w:lvlJc w:val="left"/>
    </w:lvl>
  </w:abstractNum>
  <w:abstractNum w:abstractNumId="1">
    <w:nsid w:val="148DDE15"/>
    <w:multiLevelType w:val="singleLevel"/>
    <w:tmpl w:val="148DDE15"/>
    <w:lvl w:ilvl="0" w:tentative="0">
      <w:start w:val="1"/>
      <w:numFmt w:val="decimal"/>
      <w:lvlText w:val="(%1)"/>
      <w:lvlJc w:val="left"/>
      <w:pPr>
        <w:ind w:left="425" w:hanging="425"/>
      </w:pPr>
      <w:rPr>
        <w:rFonts w:hint="default"/>
      </w:rPr>
    </w:lvl>
  </w:abstractNum>
  <w:abstractNum w:abstractNumId="2">
    <w:nsid w:val="526DAA6C"/>
    <w:multiLevelType w:val="singleLevel"/>
    <w:tmpl w:val="526DAA6C"/>
    <w:lvl w:ilvl="0" w:tentative="0">
      <w:start w:val="1"/>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E3Nzk0NzdlMTA4ZTkwZDNmZWUxZjhiNmIyMmQ2MjQifQ=="/>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172A27"/>
    <w:rsid w:val="000002D7"/>
    <w:rsid w:val="000022D1"/>
    <w:rsid w:val="000029A5"/>
    <w:rsid w:val="00010A3C"/>
    <w:rsid w:val="00013BC2"/>
    <w:rsid w:val="00014532"/>
    <w:rsid w:val="000148EE"/>
    <w:rsid w:val="00014E7F"/>
    <w:rsid w:val="0001540F"/>
    <w:rsid w:val="0001571B"/>
    <w:rsid w:val="000162A6"/>
    <w:rsid w:val="0001632F"/>
    <w:rsid w:val="00020064"/>
    <w:rsid w:val="00021D32"/>
    <w:rsid w:val="00030D6E"/>
    <w:rsid w:val="00031277"/>
    <w:rsid w:val="00031FC4"/>
    <w:rsid w:val="00037D41"/>
    <w:rsid w:val="00040329"/>
    <w:rsid w:val="00040DB0"/>
    <w:rsid w:val="00045552"/>
    <w:rsid w:val="00046BAD"/>
    <w:rsid w:val="00052266"/>
    <w:rsid w:val="00055BCC"/>
    <w:rsid w:val="00060521"/>
    <w:rsid w:val="000614AE"/>
    <w:rsid w:val="00062DD1"/>
    <w:rsid w:val="00066BEA"/>
    <w:rsid w:val="00066DAC"/>
    <w:rsid w:val="00067452"/>
    <w:rsid w:val="00067A72"/>
    <w:rsid w:val="00070189"/>
    <w:rsid w:val="00070666"/>
    <w:rsid w:val="000735FD"/>
    <w:rsid w:val="000739D1"/>
    <w:rsid w:val="00074B85"/>
    <w:rsid w:val="000758F3"/>
    <w:rsid w:val="00075CCB"/>
    <w:rsid w:val="00076DE5"/>
    <w:rsid w:val="00083D60"/>
    <w:rsid w:val="000871B9"/>
    <w:rsid w:val="00090B7C"/>
    <w:rsid w:val="0009416F"/>
    <w:rsid w:val="0009578D"/>
    <w:rsid w:val="000A008F"/>
    <w:rsid w:val="000A00F6"/>
    <w:rsid w:val="000A1ED3"/>
    <w:rsid w:val="000A41DC"/>
    <w:rsid w:val="000B03C3"/>
    <w:rsid w:val="000B17A6"/>
    <w:rsid w:val="000B2915"/>
    <w:rsid w:val="000B4137"/>
    <w:rsid w:val="000B49FF"/>
    <w:rsid w:val="000B50A8"/>
    <w:rsid w:val="000C1F3C"/>
    <w:rsid w:val="000C2967"/>
    <w:rsid w:val="000C51B7"/>
    <w:rsid w:val="000C548E"/>
    <w:rsid w:val="000D0600"/>
    <w:rsid w:val="000D25D6"/>
    <w:rsid w:val="000D3DFA"/>
    <w:rsid w:val="000E080F"/>
    <w:rsid w:val="000E13AE"/>
    <w:rsid w:val="000E6E85"/>
    <w:rsid w:val="000F11A9"/>
    <w:rsid w:val="000F2142"/>
    <w:rsid w:val="000F2A95"/>
    <w:rsid w:val="000F2D65"/>
    <w:rsid w:val="001026ED"/>
    <w:rsid w:val="00102BFB"/>
    <w:rsid w:val="00102C88"/>
    <w:rsid w:val="00105346"/>
    <w:rsid w:val="001068C2"/>
    <w:rsid w:val="00106EB6"/>
    <w:rsid w:val="00107183"/>
    <w:rsid w:val="001144B0"/>
    <w:rsid w:val="001173FB"/>
    <w:rsid w:val="001174C8"/>
    <w:rsid w:val="00120E06"/>
    <w:rsid w:val="00122D10"/>
    <w:rsid w:val="00124D84"/>
    <w:rsid w:val="00131253"/>
    <w:rsid w:val="00131578"/>
    <w:rsid w:val="00134C72"/>
    <w:rsid w:val="00134E16"/>
    <w:rsid w:val="001355DD"/>
    <w:rsid w:val="00136527"/>
    <w:rsid w:val="00137B31"/>
    <w:rsid w:val="00137E84"/>
    <w:rsid w:val="00140068"/>
    <w:rsid w:val="001415D1"/>
    <w:rsid w:val="00142EE0"/>
    <w:rsid w:val="00143746"/>
    <w:rsid w:val="00146DAB"/>
    <w:rsid w:val="00150BFF"/>
    <w:rsid w:val="00150EAD"/>
    <w:rsid w:val="00151231"/>
    <w:rsid w:val="001553CB"/>
    <w:rsid w:val="001605FC"/>
    <w:rsid w:val="001674AC"/>
    <w:rsid w:val="001722AF"/>
    <w:rsid w:val="00172A27"/>
    <w:rsid w:val="00175401"/>
    <w:rsid w:val="00182072"/>
    <w:rsid w:val="00192986"/>
    <w:rsid w:val="001950D9"/>
    <w:rsid w:val="00195A9D"/>
    <w:rsid w:val="00197118"/>
    <w:rsid w:val="001A013B"/>
    <w:rsid w:val="001A58E0"/>
    <w:rsid w:val="001A7400"/>
    <w:rsid w:val="001A7D80"/>
    <w:rsid w:val="001C1FC8"/>
    <w:rsid w:val="001C4B7E"/>
    <w:rsid w:val="001C5D20"/>
    <w:rsid w:val="001C6507"/>
    <w:rsid w:val="001C6C6D"/>
    <w:rsid w:val="001C79B0"/>
    <w:rsid w:val="001D0607"/>
    <w:rsid w:val="001D2B53"/>
    <w:rsid w:val="001D4957"/>
    <w:rsid w:val="001D4B39"/>
    <w:rsid w:val="001D5B8A"/>
    <w:rsid w:val="001E2015"/>
    <w:rsid w:val="001E428A"/>
    <w:rsid w:val="001F0E55"/>
    <w:rsid w:val="002032ED"/>
    <w:rsid w:val="00207842"/>
    <w:rsid w:val="0021013D"/>
    <w:rsid w:val="00211C0B"/>
    <w:rsid w:val="00212064"/>
    <w:rsid w:val="0021329C"/>
    <w:rsid w:val="00213BDF"/>
    <w:rsid w:val="00215148"/>
    <w:rsid w:val="00216EB9"/>
    <w:rsid w:val="00224183"/>
    <w:rsid w:val="00225328"/>
    <w:rsid w:val="00230DA1"/>
    <w:rsid w:val="002312A4"/>
    <w:rsid w:val="0023131D"/>
    <w:rsid w:val="002313C3"/>
    <w:rsid w:val="00231717"/>
    <w:rsid w:val="00232202"/>
    <w:rsid w:val="002327E3"/>
    <w:rsid w:val="002360B7"/>
    <w:rsid w:val="00250B2E"/>
    <w:rsid w:val="00261C60"/>
    <w:rsid w:val="00261FB1"/>
    <w:rsid w:val="00262E66"/>
    <w:rsid w:val="00263A10"/>
    <w:rsid w:val="00265B79"/>
    <w:rsid w:val="00265E3B"/>
    <w:rsid w:val="00270C12"/>
    <w:rsid w:val="00272BDB"/>
    <w:rsid w:val="00272FE9"/>
    <w:rsid w:val="00274DBE"/>
    <w:rsid w:val="0027674B"/>
    <w:rsid w:val="00280E75"/>
    <w:rsid w:val="00283AFF"/>
    <w:rsid w:val="00286A07"/>
    <w:rsid w:val="002A2DA4"/>
    <w:rsid w:val="002A321E"/>
    <w:rsid w:val="002A533A"/>
    <w:rsid w:val="002A7920"/>
    <w:rsid w:val="002B02A6"/>
    <w:rsid w:val="002B07E9"/>
    <w:rsid w:val="002B6F0B"/>
    <w:rsid w:val="002C1955"/>
    <w:rsid w:val="002C43E2"/>
    <w:rsid w:val="002C49EB"/>
    <w:rsid w:val="002C55C8"/>
    <w:rsid w:val="002D3D0A"/>
    <w:rsid w:val="002D4B9B"/>
    <w:rsid w:val="002D7645"/>
    <w:rsid w:val="002E038F"/>
    <w:rsid w:val="002E284C"/>
    <w:rsid w:val="002E2ED7"/>
    <w:rsid w:val="002E32D3"/>
    <w:rsid w:val="002E3B43"/>
    <w:rsid w:val="002E5697"/>
    <w:rsid w:val="002E64B0"/>
    <w:rsid w:val="002E69C0"/>
    <w:rsid w:val="002E7063"/>
    <w:rsid w:val="002F3E38"/>
    <w:rsid w:val="002F4579"/>
    <w:rsid w:val="002F7DC8"/>
    <w:rsid w:val="00304E04"/>
    <w:rsid w:val="0030503C"/>
    <w:rsid w:val="00306E48"/>
    <w:rsid w:val="0030750E"/>
    <w:rsid w:val="00311801"/>
    <w:rsid w:val="00311FBC"/>
    <w:rsid w:val="00313AC5"/>
    <w:rsid w:val="00313DE0"/>
    <w:rsid w:val="00313E00"/>
    <w:rsid w:val="00314D5E"/>
    <w:rsid w:val="00314F7B"/>
    <w:rsid w:val="0031722D"/>
    <w:rsid w:val="00317FD2"/>
    <w:rsid w:val="00322A9D"/>
    <w:rsid w:val="00324BA9"/>
    <w:rsid w:val="00325CDD"/>
    <w:rsid w:val="003269FE"/>
    <w:rsid w:val="00327494"/>
    <w:rsid w:val="003300D5"/>
    <w:rsid w:val="00336BAB"/>
    <w:rsid w:val="0034223E"/>
    <w:rsid w:val="00342738"/>
    <w:rsid w:val="00342D9D"/>
    <w:rsid w:val="00350253"/>
    <w:rsid w:val="00356798"/>
    <w:rsid w:val="0035730E"/>
    <w:rsid w:val="00360155"/>
    <w:rsid w:val="00360506"/>
    <w:rsid w:val="003612D1"/>
    <w:rsid w:val="003630B0"/>
    <w:rsid w:val="003663FC"/>
    <w:rsid w:val="00366969"/>
    <w:rsid w:val="00366C3A"/>
    <w:rsid w:val="00372820"/>
    <w:rsid w:val="00373A17"/>
    <w:rsid w:val="00373BB8"/>
    <w:rsid w:val="003760D9"/>
    <w:rsid w:val="00377129"/>
    <w:rsid w:val="00384B37"/>
    <w:rsid w:val="0038655E"/>
    <w:rsid w:val="003910FD"/>
    <w:rsid w:val="00393230"/>
    <w:rsid w:val="0039365C"/>
    <w:rsid w:val="003A1B20"/>
    <w:rsid w:val="003A53A6"/>
    <w:rsid w:val="003A6F34"/>
    <w:rsid w:val="003B05BA"/>
    <w:rsid w:val="003B0B69"/>
    <w:rsid w:val="003B286A"/>
    <w:rsid w:val="003B372C"/>
    <w:rsid w:val="003B583D"/>
    <w:rsid w:val="003C2026"/>
    <w:rsid w:val="003C4C6A"/>
    <w:rsid w:val="003C60FE"/>
    <w:rsid w:val="003D1A66"/>
    <w:rsid w:val="003D6091"/>
    <w:rsid w:val="003D6854"/>
    <w:rsid w:val="003D77DC"/>
    <w:rsid w:val="003E2FEB"/>
    <w:rsid w:val="003E72A6"/>
    <w:rsid w:val="003F1F97"/>
    <w:rsid w:val="003F2DF0"/>
    <w:rsid w:val="003F57D5"/>
    <w:rsid w:val="003F5E22"/>
    <w:rsid w:val="003F6F4C"/>
    <w:rsid w:val="00401CB1"/>
    <w:rsid w:val="00411D41"/>
    <w:rsid w:val="0041252E"/>
    <w:rsid w:val="00414172"/>
    <w:rsid w:val="00414A40"/>
    <w:rsid w:val="00414B0C"/>
    <w:rsid w:val="00415098"/>
    <w:rsid w:val="00415518"/>
    <w:rsid w:val="00417C68"/>
    <w:rsid w:val="00420264"/>
    <w:rsid w:val="0042217F"/>
    <w:rsid w:val="00423380"/>
    <w:rsid w:val="00423E1F"/>
    <w:rsid w:val="00426D88"/>
    <w:rsid w:val="0043378F"/>
    <w:rsid w:val="0043412D"/>
    <w:rsid w:val="00436703"/>
    <w:rsid w:val="00446441"/>
    <w:rsid w:val="0045070D"/>
    <w:rsid w:val="004519F2"/>
    <w:rsid w:val="00452A8F"/>
    <w:rsid w:val="00455E2B"/>
    <w:rsid w:val="00460057"/>
    <w:rsid w:val="004625B3"/>
    <w:rsid w:val="00462626"/>
    <w:rsid w:val="00463793"/>
    <w:rsid w:val="00463FF0"/>
    <w:rsid w:val="00464984"/>
    <w:rsid w:val="004669C8"/>
    <w:rsid w:val="004712D1"/>
    <w:rsid w:val="0047163B"/>
    <w:rsid w:val="00471BD5"/>
    <w:rsid w:val="00471C1F"/>
    <w:rsid w:val="00472CF8"/>
    <w:rsid w:val="00474A2D"/>
    <w:rsid w:val="004769A9"/>
    <w:rsid w:val="00480CFF"/>
    <w:rsid w:val="004848A4"/>
    <w:rsid w:val="00485D32"/>
    <w:rsid w:val="00493AFA"/>
    <w:rsid w:val="00496F59"/>
    <w:rsid w:val="004A2635"/>
    <w:rsid w:val="004A3E69"/>
    <w:rsid w:val="004A4C47"/>
    <w:rsid w:val="004A6EFE"/>
    <w:rsid w:val="004A724C"/>
    <w:rsid w:val="004A7A5D"/>
    <w:rsid w:val="004B365B"/>
    <w:rsid w:val="004B42D6"/>
    <w:rsid w:val="004B52B6"/>
    <w:rsid w:val="004C2E1D"/>
    <w:rsid w:val="004C483A"/>
    <w:rsid w:val="004C64B9"/>
    <w:rsid w:val="004C7ABB"/>
    <w:rsid w:val="004D37DD"/>
    <w:rsid w:val="004D4726"/>
    <w:rsid w:val="004D5656"/>
    <w:rsid w:val="004E096B"/>
    <w:rsid w:val="004E4609"/>
    <w:rsid w:val="004E5D70"/>
    <w:rsid w:val="004E7589"/>
    <w:rsid w:val="004F1297"/>
    <w:rsid w:val="00503DD2"/>
    <w:rsid w:val="00510036"/>
    <w:rsid w:val="0051070C"/>
    <w:rsid w:val="00511E70"/>
    <w:rsid w:val="0052090F"/>
    <w:rsid w:val="00523831"/>
    <w:rsid w:val="00533AED"/>
    <w:rsid w:val="0053680A"/>
    <w:rsid w:val="00541129"/>
    <w:rsid w:val="0054378A"/>
    <w:rsid w:val="00546A3B"/>
    <w:rsid w:val="0054784D"/>
    <w:rsid w:val="00551B01"/>
    <w:rsid w:val="0055281B"/>
    <w:rsid w:val="00556415"/>
    <w:rsid w:val="005601A5"/>
    <w:rsid w:val="00567FB0"/>
    <w:rsid w:val="00586F6D"/>
    <w:rsid w:val="00590A79"/>
    <w:rsid w:val="00590B7C"/>
    <w:rsid w:val="00591676"/>
    <w:rsid w:val="0059300B"/>
    <w:rsid w:val="0059531B"/>
    <w:rsid w:val="00596CEB"/>
    <w:rsid w:val="005A22B1"/>
    <w:rsid w:val="005A367B"/>
    <w:rsid w:val="005B08E3"/>
    <w:rsid w:val="005B42D3"/>
    <w:rsid w:val="005B4D29"/>
    <w:rsid w:val="005B7FCA"/>
    <w:rsid w:val="005C05B5"/>
    <w:rsid w:val="005C26EE"/>
    <w:rsid w:val="005C42D4"/>
    <w:rsid w:val="005C5312"/>
    <w:rsid w:val="005C54E9"/>
    <w:rsid w:val="005D1C04"/>
    <w:rsid w:val="005D3635"/>
    <w:rsid w:val="005D6A8B"/>
    <w:rsid w:val="005E14BC"/>
    <w:rsid w:val="005E5FFB"/>
    <w:rsid w:val="005F3E28"/>
    <w:rsid w:val="005F4551"/>
    <w:rsid w:val="00602952"/>
    <w:rsid w:val="00604421"/>
    <w:rsid w:val="006056E2"/>
    <w:rsid w:val="00606FFD"/>
    <w:rsid w:val="006070B8"/>
    <w:rsid w:val="00607BDD"/>
    <w:rsid w:val="006113AB"/>
    <w:rsid w:val="006119CE"/>
    <w:rsid w:val="00616505"/>
    <w:rsid w:val="006166AF"/>
    <w:rsid w:val="00617844"/>
    <w:rsid w:val="0062213C"/>
    <w:rsid w:val="006242D9"/>
    <w:rsid w:val="00624979"/>
    <w:rsid w:val="00631815"/>
    <w:rsid w:val="00633F40"/>
    <w:rsid w:val="0063458A"/>
    <w:rsid w:val="00634B40"/>
    <w:rsid w:val="00635F80"/>
    <w:rsid w:val="0063652F"/>
    <w:rsid w:val="0063794C"/>
    <w:rsid w:val="00644A9A"/>
    <w:rsid w:val="00645ED3"/>
    <w:rsid w:val="00646388"/>
    <w:rsid w:val="00647DE1"/>
    <w:rsid w:val="00650CFF"/>
    <w:rsid w:val="0065315F"/>
    <w:rsid w:val="00653A1B"/>
    <w:rsid w:val="006549AD"/>
    <w:rsid w:val="00655945"/>
    <w:rsid w:val="00661794"/>
    <w:rsid w:val="00662003"/>
    <w:rsid w:val="0066381F"/>
    <w:rsid w:val="00667678"/>
    <w:rsid w:val="00672CAD"/>
    <w:rsid w:val="006771DC"/>
    <w:rsid w:val="006826DA"/>
    <w:rsid w:val="00684BE7"/>
    <w:rsid w:val="00684D9C"/>
    <w:rsid w:val="00684E9C"/>
    <w:rsid w:val="0068533C"/>
    <w:rsid w:val="00687D8D"/>
    <w:rsid w:val="0069106D"/>
    <w:rsid w:val="00693C12"/>
    <w:rsid w:val="0069793E"/>
    <w:rsid w:val="006A1C69"/>
    <w:rsid w:val="006A2EE5"/>
    <w:rsid w:val="006A5FE3"/>
    <w:rsid w:val="006A6746"/>
    <w:rsid w:val="006B0771"/>
    <w:rsid w:val="006B1D8D"/>
    <w:rsid w:val="006B1F6D"/>
    <w:rsid w:val="006B26D1"/>
    <w:rsid w:val="006B4424"/>
    <w:rsid w:val="006B52CF"/>
    <w:rsid w:val="006B6C90"/>
    <w:rsid w:val="006C0600"/>
    <w:rsid w:val="006C2ADB"/>
    <w:rsid w:val="006C51E6"/>
    <w:rsid w:val="006D1084"/>
    <w:rsid w:val="006D5721"/>
    <w:rsid w:val="006D7E44"/>
    <w:rsid w:val="006E02AA"/>
    <w:rsid w:val="006E2533"/>
    <w:rsid w:val="006E6255"/>
    <w:rsid w:val="006E7B52"/>
    <w:rsid w:val="00701CFD"/>
    <w:rsid w:val="00701F68"/>
    <w:rsid w:val="00702071"/>
    <w:rsid w:val="0070352C"/>
    <w:rsid w:val="00705349"/>
    <w:rsid w:val="00711591"/>
    <w:rsid w:val="00717061"/>
    <w:rsid w:val="0071768C"/>
    <w:rsid w:val="00722452"/>
    <w:rsid w:val="0072271B"/>
    <w:rsid w:val="00724209"/>
    <w:rsid w:val="00730566"/>
    <w:rsid w:val="00730AD5"/>
    <w:rsid w:val="00731DBF"/>
    <w:rsid w:val="0073250F"/>
    <w:rsid w:val="00732AA4"/>
    <w:rsid w:val="00735246"/>
    <w:rsid w:val="00742C1A"/>
    <w:rsid w:val="00744175"/>
    <w:rsid w:val="007465D4"/>
    <w:rsid w:val="007506C9"/>
    <w:rsid w:val="0075265A"/>
    <w:rsid w:val="00754C19"/>
    <w:rsid w:val="007550A6"/>
    <w:rsid w:val="00757B33"/>
    <w:rsid w:val="00761608"/>
    <w:rsid w:val="00762007"/>
    <w:rsid w:val="00763FC0"/>
    <w:rsid w:val="00764861"/>
    <w:rsid w:val="0076523F"/>
    <w:rsid w:val="00765C04"/>
    <w:rsid w:val="007671D8"/>
    <w:rsid w:val="00767A6C"/>
    <w:rsid w:val="00767C47"/>
    <w:rsid w:val="007810D3"/>
    <w:rsid w:val="007837AB"/>
    <w:rsid w:val="0078396A"/>
    <w:rsid w:val="00783D3A"/>
    <w:rsid w:val="0078630E"/>
    <w:rsid w:val="00790BBF"/>
    <w:rsid w:val="00791DF9"/>
    <w:rsid w:val="00791ED8"/>
    <w:rsid w:val="007931E5"/>
    <w:rsid w:val="00793C77"/>
    <w:rsid w:val="0079585B"/>
    <w:rsid w:val="00796255"/>
    <w:rsid w:val="007A120C"/>
    <w:rsid w:val="007A1A6A"/>
    <w:rsid w:val="007A4506"/>
    <w:rsid w:val="007A6CC6"/>
    <w:rsid w:val="007A7708"/>
    <w:rsid w:val="007C1B03"/>
    <w:rsid w:val="007C7CEF"/>
    <w:rsid w:val="007D11AE"/>
    <w:rsid w:val="007D2407"/>
    <w:rsid w:val="007D487C"/>
    <w:rsid w:val="007D6624"/>
    <w:rsid w:val="007D7118"/>
    <w:rsid w:val="007E01B5"/>
    <w:rsid w:val="007E0536"/>
    <w:rsid w:val="007E30EC"/>
    <w:rsid w:val="007E56C2"/>
    <w:rsid w:val="007E59D2"/>
    <w:rsid w:val="007F40FB"/>
    <w:rsid w:val="007F41F8"/>
    <w:rsid w:val="007F7E0D"/>
    <w:rsid w:val="008029BC"/>
    <w:rsid w:val="00802AC8"/>
    <w:rsid w:val="00804151"/>
    <w:rsid w:val="008104F4"/>
    <w:rsid w:val="00811799"/>
    <w:rsid w:val="008124F0"/>
    <w:rsid w:val="008129D7"/>
    <w:rsid w:val="00812F59"/>
    <w:rsid w:val="00813BDB"/>
    <w:rsid w:val="00813C69"/>
    <w:rsid w:val="00814845"/>
    <w:rsid w:val="00815793"/>
    <w:rsid w:val="00816272"/>
    <w:rsid w:val="00816E5A"/>
    <w:rsid w:val="008218DB"/>
    <w:rsid w:val="00823E82"/>
    <w:rsid w:val="00824CB2"/>
    <w:rsid w:val="00826E9C"/>
    <w:rsid w:val="00831641"/>
    <w:rsid w:val="00831948"/>
    <w:rsid w:val="00836E63"/>
    <w:rsid w:val="00845F98"/>
    <w:rsid w:val="00853A5F"/>
    <w:rsid w:val="00854F56"/>
    <w:rsid w:val="0085739C"/>
    <w:rsid w:val="00860BA9"/>
    <w:rsid w:val="0086117A"/>
    <w:rsid w:val="00861435"/>
    <w:rsid w:val="00861C1D"/>
    <w:rsid w:val="00861DBB"/>
    <w:rsid w:val="00863763"/>
    <w:rsid w:val="00864C93"/>
    <w:rsid w:val="00873BC7"/>
    <w:rsid w:val="0087542D"/>
    <w:rsid w:val="008754AC"/>
    <w:rsid w:val="008823D0"/>
    <w:rsid w:val="008932A8"/>
    <w:rsid w:val="00894280"/>
    <w:rsid w:val="00894CD8"/>
    <w:rsid w:val="00896A45"/>
    <w:rsid w:val="00897EEC"/>
    <w:rsid w:val="008A479C"/>
    <w:rsid w:val="008A5543"/>
    <w:rsid w:val="008A7005"/>
    <w:rsid w:val="008B0A3D"/>
    <w:rsid w:val="008B17FB"/>
    <w:rsid w:val="008C254D"/>
    <w:rsid w:val="008C3C67"/>
    <w:rsid w:val="008C3F7E"/>
    <w:rsid w:val="008C54BB"/>
    <w:rsid w:val="008C67ED"/>
    <w:rsid w:val="008E1C6F"/>
    <w:rsid w:val="008E36DB"/>
    <w:rsid w:val="008E437A"/>
    <w:rsid w:val="008F0161"/>
    <w:rsid w:val="008F3CD4"/>
    <w:rsid w:val="008F49FC"/>
    <w:rsid w:val="008F4F5F"/>
    <w:rsid w:val="009005FA"/>
    <w:rsid w:val="0090210A"/>
    <w:rsid w:val="00903545"/>
    <w:rsid w:val="00904223"/>
    <w:rsid w:val="009077CC"/>
    <w:rsid w:val="00910324"/>
    <w:rsid w:val="00911962"/>
    <w:rsid w:val="0091278C"/>
    <w:rsid w:val="00916843"/>
    <w:rsid w:val="00916CB0"/>
    <w:rsid w:val="0091727B"/>
    <w:rsid w:val="00920A11"/>
    <w:rsid w:val="00920BCD"/>
    <w:rsid w:val="00921E7B"/>
    <w:rsid w:val="00924375"/>
    <w:rsid w:val="00924788"/>
    <w:rsid w:val="00926664"/>
    <w:rsid w:val="00926B69"/>
    <w:rsid w:val="00927898"/>
    <w:rsid w:val="00930840"/>
    <w:rsid w:val="00931210"/>
    <w:rsid w:val="00932E1C"/>
    <w:rsid w:val="009358EE"/>
    <w:rsid w:val="00935CAB"/>
    <w:rsid w:val="009367E9"/>
    <w:rsid w:val="0093714C"/>
    <w:rsid w:val="00940787"/>
    <w:rsid w:val="009408C8"/>
    <w:rsid w:val="00941F0A"/>
    <w:rsid w:val="00945A0A"/>
    <w:rsid w:val="00946E94"/>
    <w:rsid w:val="00952397"/>
    <w:rsid w:val="00954DF5"/>
    <w:rsid w:val="00954E4B"/>
    <w:rsid w:val="00955FA2"/>
    <w:rsid w:val="0096277E"/>
    <w:rsid w:val="00963FAF"/>
    <w:rsid w:val="00964F01"/>
    <w:rsid w:val="00975AF4"/>
    <w:rsid w:val="009770A9"/>
    <w:rsid w:val="0098285D"/>
    <w:rsid w:val="009866C3"/>
    <w:rsid w:val="0098670E"/>
    <w:rsid w:val="00987718"/>
    <w:rsid w:val="00987CCA"/>
    <w:rsid w:val="009905AF"/>
    <w:rsid w:val="00991B64"/>
    <w:rsid w:val="00992130"/>
    <w:rsid w:val="0099399A"/>
    <w:rsid w:val="00995C9D"/>
    <w:rsid w:val="00996235"/>
    <w:rsid w:val="009962E8"/>
    <w:rsid w:val="00997C35"/>
    <w:rsid w:val="009A429B"/>
    <w:rsid w:val="009A5086"/>
    <w:rsid w:val="009A71ED"/>
    <w:rsid w:val="009A7E1E"/>
    <w:rsid w:val="009B226F"/>
    <w:rsid w:val="009B620A"/>
    <w:rsid w:val="009B66AD"/>
    <w:rsid w:val="009C036F"/>
    <w:rsid w:val="009C4868"/>
    <w:rsid w:val="009D19DF"/>
    <w:rsid w:val="009D221A"/>
    <w:rsid w:val="009D468A"/>
    <w:rsid w:val="009E3ED7"/>
    <w:rsid w:val="009E3FDC"/>
    <w:rsid w:val="009E78E6"/>
    <w:rsid w:val="009F2D63"/>
    <w:rsid w:val="009F4501"/>
    <w:rsid w:val="009F56C9"/>
    <w:rsid w:val="009F57CC"/>
    <w:rsid w:val="009F623A"/>
    <w:rsid w:val="00A02BF8"/>
    <w:rsid w:val="00A15CB4"/>
    <w:rsid w:val="00A17B22"/>
    <w:rsid w:val="00A210FE"/>
    <w:rsid w:val="00A25AAC"/>
    <w:rsid w:val="00A2629C"/>
    <w:rsid w:val="00A2730B"/>
    <w:rsid w:val="00A27C8D"/>
    <w:rsid w:val="00A3014C"/>
    <w:rsid w:val="00A30A60"/>
    <w:rsid w:val="00A338E1"/>
    <w:rsid w:val="00A355D8"/>
    <w:rsid w:val="00A42C9E"/>
    <w:rsid w:val="00A549E5"/>
    <w:rsid w:val="00A600DF"/>
    <w:rsid w:val="00A60633"/>
    <w:rsid w:val="00A61372"/>
    <w:rsid w:val="00A64E27"/>
    <w:rsid w:val="00A65B2A"/>
    <w:rsid w:val="00A7132E"/>
    <w:rsid w:val="00A71D1D"/>
    <w:rsid w:val="00A76A44"/>
    <w:rsid w:val="00A81075"/>
    <w:rsid w:val="00A86094"/>
    <w:rsid w:val="00A9073A"/>
    <w:rsid w:val="00A94555"/>
    <w:rsid w:val="00A97A11"/>
    <w:rsid w:val="00AA07A9"/>
    <w:rsid w:val="00AA0A65"/>
    <w:rsid w:val="00AA1673"/>
    <w:rsid w:val="00AA1B81"/>
    <w:rsid w:val="00AA32C8"/>
    <w:rsid w:val="00AA5DD0"/>
    <w:rsid w:val="00AA7167"/>
    <w:rsid w:val="00AA79C4"/>
    <w:rsid w:val="00AB1CFC"/>
    <w:rsid w:val="00AB2236"/>
    <w:rsid w:val="00AB4FE6"/>
    <w:rsid w:val="00AC59D5"/>
    <w:rsid w:val="00AC5C32"/>
    <w:rsid w:val="00AD095E"/>
    <w:rsid w:val="00AD2850"/>
    <w:rsid w:val="00AD30D2"/>
    <w:rsid w:val="00AD3490"/>
    <w:rsid w:val="00AE404C"/>
    <w:rsid w:val="00AE5220"/>
    <w:rsid w:val="00AE584C"/>
    <w:rsid w:val="00AF2B01"/>
    <w:rsid w:val="00AF3017"/>
    <w:rsid w:val="00B0150C"/>
    <w:rsid w:val="00B035C7"/>
    <w:rsid w:val="00B051AD"/>
    <w:rsid w:val="00B06BA1"/>
    <w:rsid w:val="00B07EB7"/>
    <w:rsid w:val="00B12647"/>
    <w:rsid w:val="00B12E99"/>
    <w:rsid w:val="00B13CA5"/>
    <w:rsid w:val="00B15928"/>
    <w:rsid w:val="00B1623F"/>
    <w:rsid w:val="00B16860"/>
    <w:rsid w:val="00B20A5A"/>
    <w:rsid w:val="00B24AEB"/>
    <w:rsid w:val="00B27474"/>
    <w:rsid w:val="00B37284"/>
    <w:rsid w:val="00B37AE8"/>
    <w:rsid w:val="00B409BE"/>
    <w:rsid w:val="00B43D44"/>
    <w:rsid w:val="00B44AE7"/>
    <w:rsid w:val="00B47686"/>
    <w:rsid w:val="00B476AF"/>
    <w:rsid w:val="00B5110F"/>
    <w:rsid w:val="00B51C3E"/>
    <w:rsid w:val="00B527C6"/>
    <w:rsid w:val="00B54180"/>
    <w:rsid w:val="00B5495D"/>
    <w:rsid w:val="00B5535D"/>
    <w:rsid w:val="00B577C7"/>
    <w:rsid w:val="00B579EA"/>
    <w:rsid w:val="00B60CA7"/>
    <w:rsid w:val="00B655EC"/>
    <w:rsid w:val="00B702F1"/>
    <w:rsid w:val="00B82602"/>
    <w:rsid w:val="00B8390B"/>
    <w:rsid w:val="00B84581"/>
    <w:rsid w:val="00B86A35"/>
    <w:rsid w:val="00B95407"/>
    <w:rsid w:val="00BA0C1A"/>
    <w:rsid w:val="00BA1083"/>
    <w:rsid w:val="00BA2FE0"/>
    <w:rsid w:val="00BA37AF"/>
    <w:rsid w:val="00BA43E8"/>
    <w:rsid w:val="00BB78E9"/>
    <w:rsid w:val="00BC3678"/>
    <w:rsid w:val="00BC5A67"/>
    <w:rsid w:val="00BC6AF2"/>
    <w:rsid w:val="00BD3940"/>
    <w:rsid w:val="00BD4980"/>
    <w:rsid w:val="00BD6C28"/>
    <w:rsid w:val="00BE15E3"/>
    <w:rsid w:val="00BE3858"/>
    <w:rsid w:val="00BE39D7"/>
    <w:rsid w:val="00BF07D8"/>
    <w:rsid w:val="00BF39C8"/>
    <w:rsid w:val="00BF7BCF"/>
    <w:rsid w:val="00C00F46"/>
    <w:rsid w:val="00C035F5"/>
    <w:rsid w:val="00C061CB"/>
    <w:rsid w:val="00C07F71"/>
    <w:rsid w:val="00C10D5D"/>
    <w:rsid w:val="00C14EDA"/>
    <w:rsid w:val="00C21D43"/>
    <w:rsid w:val="00C23D0A"/>
    <w:rsid w:val="00C23E20"/>
    <w:rsid w:val="00C240A4"/>
    <w:rsid w:val="00C3133F"/>
    <w:rsid w:val="00C32815"/>
    <w:rsid w:val="00C404AF"/>
    <w:rsid w:val="00C4195E"/>
    <w:rsid w:val="00C42139"/>
    <w:rsid w:val="00C45B1C"/>
    <w:rsid w:val="00C47296"/>
    <w:rsid w:val="00C52338"/>
    <w:rsid w:val="00C604EC"/>
    <w:rsid w:val="00C621A8"/>
    <w:rsid w:val="00C64DC4"/>
    <w:rsid w:val="00C672BA"/>
    <w:rsid w:val="00C7040B"/>
    <w:rsid w:val="00C72C0B"/>
    <w:rsid w:val="00C73848"/>
    <w:rsid w:val="00C7441B"/>
    <w:rsid w:val="00C74E7A"/>
    <w:rsid w:val="00C76CB1"/>
    <w:rsid w:val="00C80EF3"/>
    <w:rsid w:val="00C810D3"/>
    <w:rsid w:val="00C8118C"/>
    <w:rsid w:val="00C8418E"/>
    <w:rsid w:val="00C856A7"/>
    <w:rsid w:val="00C911C6"/>
    <w:rsid w:val="00C95AB8"/>
    <w:rsid w:val="00C95B3B"/>
    <w:rsid w:val="00C961C3"/>
    <w:rsid w:val="00CA0B1E"/>
    <w:rsid w:val="00CA1CC7"/>
    <w:rsid w:val="00CA365D"/>
    <w:rsid w:val="00CA3D30"/>
    <w:rsid w:val="00CA431A"/>
    <w:rsid w:val="00CA44A0"/>
    <w:rsid w:val="00CA526A"/>
    <w:rsid w:val="00CB0963"/>
    <w:rsid w:val="00CB6647"/>
    <w:rsid w:val="00CC0436"/>
    <w:rsid w:val="00CC7701"/>
    <w:rsid w:val="00CD4225"/>
    <w:rsid w:val="00CD6756"/>
    <w:rsid w:val="00CE181E"/>
    <w:rsid w:val="00CE5456"/>
    <w:rsid w:val="00CE65C5"/>
    <w:rsid w:val="00CE78FF"/>
    <w:rsid w:val="00CF2AFF"/>
    <w:rsid w:val="00CF5900"/>
    <w:rsid w:val="00CF698C"/>
    <w:rsid w:val="00D000C2"/>
    <w:rsid w:val="00D01681"/>
    <w:rsid w:val="00D01C4A"/>
    <w:rsid w:val="00D01C80"/>
    <w:rsid w:val="00D02C4E"/>
    <w:rsid w:val="00D03AF2"/>
    <w:rsid w:val="00D0678B"/>
    <w:rsid w:val="00D06BDC"/>
    <w:rsid w:val="00D078B1"/>
    <w:rsid w:val="00D101D1"/>
    <w:rsid w:val="00D13549"/>
    <w:rsid w:val="00D13B36"/>
    <w:rsid w:val="00D16065"/>
    <w:rsid w:val="00D17647"/>
    <w:rsid w:val="00D24A38"/>
    <w:rsid w:val="00D3171A"/>
    <w:rsid w:val="00D323EC"/>
    <w:rsid w:val="00D35E8E"/>
    <w:rsid w:val="00D402A9"/>
    <w:rsid w:val="00D5072C"/>
    <w:rsid w:val="00D53647"/>
    <w:rsid w:val="00D552C3"/>
    <w:rsid w:val="00D563CA"/>
    <w:rsid w:val="00D5688F"/>
    <w:rsid w:val="00D605AA"/>
    <w:rsid w:val="00D629E6"/>
    <w:rsid w:val="00D73A8D"/>
    <w:rsid w:val="00D7433D"/>
    <w:rsid w:val="00D77FA7"/>
    <w:rsid w:val="00D8041E"/>
    <w:rsid w:val="00D8096C"/>
    <w:rsid w:val="00D80986"/>
    <w:rsid w:val="00D83945"/>
    <w:rsid w:val="00D8550F"/>
    <w:rsid w:val="00D86F7F"/>
    <w:rsid w:val="00D877CE"/>
    <w:rsid w:val="00D93C2D"/>
    <w:rsid w:val="00D94D4D"/>
    <w:rsid w:val="00DA25F8"/>
    <w:rsid w:val="00DA2E8F"/>
    <w:rsid w:val="00DA5F57"/>
    <w:rsid w:val="00DA6CC8"/>
    <w:rsid w:val="00DB34F6"/>
    <w:rsid w:val="00DB3984"/>
    <w:rsid w:val="00DB4906"/>
    <w:rsid w:val="00DB5387"/>
    <w:rsid w:val="00DC08F1"/>
    <w:rsid w:val="00DC1108"/>
    <w:rsid w:val="00DC14AA"/>
    <w:rsid w:val="00DC1E3F"/>
    <w:rsid w:val="00DC228A"/>
    <w:rsid w:val="00DC2BE7"/>
    <w:rsid w:val="00DC36E8"/>
    <w:rsid w:val="00DC52FE"/>
    <w:rsid w:val="00DD1E34"/>
    <w:rsid w:val="00DD602B"/>
    <w:rsid w:val="00DD6086"/>
    <w:rsid w:val="00DD6A9F"/>
    <w:rsid w:val="00DE0B66"/>
    <w:rsid w:val="00DE1E47"/>
    <w:rsid w:val="00DE485D"/>
    <w:rsid w:val="00DF228F"/>
    <w:rsid w:val="00DF2E25"/>
    <w:rsid w:val="00DF3C82"/>
    <w:rsid w:val="00DF4F9A"/>
    <w:rsid w:val="00DF77EB"/>
    <w:rsid w:val="00E02E2D"/>
    <w:rsid w:val="00E055C7"/>
    <w:rsid w:val="00E060A6"/>
    <w:rsid w:val="00E06B64"/>
    <w:rsid w:val="00E10C47"/>
    <w:rsid w:val="00E21D5F"/>
    <w:rsid w:val="00E23BAE"/>
    <w:rsid w:val="00E23D64"/>
    <w:rsid w:val="00E2566C"/>
    <w:rsid w:val="00E25D5E"/>
    <w:rsid w:val="00E26251"/>
    <w:rsid w:val="00E26899"/>
    <w:rsid w:val="00E32A89"/>
    <w:rsid w:val="00E335AF"/>
    <w:rsid w:val="00E34A00"/>
    <w:rsid w:val="00E3576E"/>
    <w:rsid w:val="00E42408"/>
    <w:rsid w:val="00E4395B"/>
    <w:rsid w:val="00E43B65"/>
    <w:rsid w:val="00E44A78"/>
    <w:rsid w:val="00E44DAD"/>
    <w:rsid w:val="00E46A0E"/>
    <w:rsid w:val="00E57343"/>
    <w:rsid w:val="00E67DC7"/>
    <w:rsid w:val="00E711C5"/>
    <w:rsid w:val="00E7263D"/>
    <w:rsid w:val="00E730F7"/>
    <w:rsid w:val="00E755AE"/>
    <w:rsid w:val="00E76342"/>
    <w:rsid w:val="00E8121F"/>
    <w:rsid w:val="00E828D8"/>
    <w:rsid w:val="00E829E8"/>
    <w:rsid w:val="00E85963"/>
    <w:rsid w:val="00E940EB"/>
    <w:rsid w:val="00E971C2"/>
    <w:rsid w:val="00EA0AFD"/>
    <w:rsid w:val="00EA1EE8"/>
    <w:rsid w:val="00EA2A62"/>
    <w:rsid w:val="00EA48B7"/>
    <w:rsid w:val="00EA7753"/>
    <w:rsid w:val="00EB75DF"/>
    <w:rsid w:val="00ED01C7"/>
    <w:rsid w:val="00ED2540"/>
    <w:rsid w:val="00ED3DD8"/>
    <w:rsid w:val="00ED7C69"/>
    <w:rsid w:val="00EE0468"/>
    <w:rsid w:val="00EE1122"/>
    <w:rsid w:val="00EE3EBC"/>
    <w:rsid w:val="00EF21A9"/>
    <w:rsid w:val="00EF2C51"/>
    <w:rsid w:val="00EF2D76"/>
    <w:rsid w:val="00EF55C1"/>
    <w:rsid w:val="00F033F6"/>
    <w:rsid w:val="00F0610E"/>
    <w:rsid w:val="00F10BCA"/>
    <w:rsid w:val="00F11E49"/>
    <w:rsid w:val="00F13A19"/>
    <w:rsid w:val="00F15DC1"/>
    <w:rsid w:val="00F17A31"/>
    <w:rsid w:val="00F23920"/>
    <w:rsid w:val="00F30216"/>
    <w:rsid w:val="00F33331"/>
    <w:rsid w:val="00F37DAA"/>
    <w:rsid w:val="00F41991"/>
    <w:rsid w:val="00F42710"/>
    <w:rsid w:val="00F43C32"/>
    <w:rsid w:val="00F53290"/>
    <w:rsid w:val="00F53662"/>
    <w:rsid w:val="00F55439"/>
    <w:rsid w:val="00F613B0"/>
    <w:rsid w:val="00F62CA8"/>
    <w:rsid w:val="00F63978"/>
    <w:rsid w:val="00F720FC"/>
    <w:rsid w:val="00F72FE5"/>
    <w:rsid w:val="00F764C4"/>
    <w:rsid w:val="00F800C0"/>
    <w:rsid w:val="00F823FC"/>
    <w:rsid w:val="00F845A5"/>
    <w:rsid w:val="00F90CAD"/>
    <w:rsid w:val="00F90F77"/>
    <w:rsid w:val="00F92BD9"/>
    <w:rsid w:val="00F9311C"/>
    <w:rsid w:val="00F9494B"/>
    <w:rsid w:val="00F959E2"/>
    <w:rsid w:val="00FA1058"/>
    <w:rsid w:val="00FA130B"/>
    <w:rsid w:val="00FA56E7"/>
    <w:rsid w:val="00FA5A32"/>
    <w:rsid w:val="00FB1C45"/>
    <w:rsid w:val="00FB545B"/>
    <w:rsid w:val="00FB59E2"/>
    <w:rsid w:val="00FB688A"/>
    <w:rsid w:val="00FB6C4A"/>
    <w:rsid w:val="00FB71E1"/>
    <w:rsid w:val="00FB7DC0"/>
    <w:rsid w:val="00FC357F"/>
    <w:rsid w:val="00FC3C7C"/>
    <w:rsid w:val="00FC7849"/>
    <w:rsid w:val="00FC7DA0"/>
    <w:rsid w:val="00FD0117"/>
    <w:rsid w:val="00FD289A"/>
    <w:rsid w:val="00FD71CC"/>
    <w:rsid w:val="00FD7D0B"/>
    <w:rsid w:val="00FE36C1"/>
    <w:rsid w:val="00FE4F24"/>
    <w:rsid w:val="00FE4F7F"/>
    <w:rsid w:val="00FE6680"/>
    <w:rsid w:val="00FE74A1"/>
    <w:rsid w:val="00FF241E"/>
    <w:rsid w:val="00FF2803"/>
    <w:rsid w:val="00FF3CC5"/>
    <w:rsid w:val="00FF659F"/>
    <w:rsid w:val="00FF6CB1"/>
    <w:rsid w:val="00FF78FA"/>
    <w:rsid w:val="01007C92"/>
    <w:rsid w:val="011D1182"/>
    <w:rsid w:val="013A1D98"/>
    <w:rsid w:val="013C06BC"/>
    <w:rsid w:val="01426761"/>
    <w:rsid w:val="015C2B0C"/>
    <w:rsid w:val="01C2082B"/>
    <w:rsid w:val="01CA319C"/>
    <w:rsid w:val="01E628ED"/>
    <w:rsid w:val="025B4AD9"/>
    <w:rsid w:val="03045209"/>
    <w:rsid w:val="033C6BFC"/>
    <w:rsid w:val="035D3297"/>
    <w:rsid w:val="03773C2D"/>
    <w:rsid w:val="03797F67"/>
    <w:rsid w:val="03AE5DB9"/>
    <w:rsid w:val="03B42610"/>
    <w:rsid w:val="03C926DB"/>
    <w:rsid w:val="03D27B05"/>
    <w:rsid w:val="042D3749"/>
    <w:rsid w:val="044E58DF"/>
    <w:rsid w:val="045A3333"/>
    <w:rsid w:val="04644481"/>
    <w:rsid w:val="04671F17"/>
    <w:rsid w:val="048D353E"/>
    <w:rsid w:val="04C17856"/>
    <w:rsid w:val="04DE2835"/>
    <w:rsid w:val="05321AE6"/>
    <w:rsid w:val="05385B1E"/>
    <w:rsid w:val="05411B84"/>
    <w:rsid w:val="05567B88"/>
    <w:rsid w:val="056E2AD5"/>
    <w:rsid w:val="0574471F"/>
    <w:rsid w:val="05A46C2D"/>
    <w:rsid w:val="05BD2794"/>
    <w:rsid w:val="06155056"/>
    <w:rsid w:val="0617661D"/>
    <w:rsid w:val="061E4EE4"/>
    <w:rsid w:val="0662738C"/>
    <w:rsid w:val="066A7A79"/>
    <w:rsid w:val="066B28A1"/>
    <w:rsid w:val="068A11FF"/>
    <w:rsid w:val="069B1336"/>
    <w:rsid w:val="06C40204"/>
    <w:rsid w:val="071D3BAA"/>
    <w:rsid w:val="07276B34"/>
    <w:rsid w:val="07287718"/>
    <w:rsid w:val="07371260"/>
    <w:rsid w:val="074C34D3"/>
    <w:rsid w:val="0754269D"/>
    <w:rsid w:val="07674FF4"/>
    <w:rsid w:val="079A0A52"/>
    <w:rsid w:val="07C37770"/>
    <w:rsid w:val="07C405FB"/>
    <w:rsid w:val="07DD49A7"/>
    <w:rsid w:val="07F41CF0"/>
    <w:rsid w:val="07F70730"/>
    <w:rsid w:val="07FD75BF"/>
    <w:rsid w:val="080C703A"/>
    <w:rsid w:val="081B102B"/>
    <w:rsid w:val="081E189C"/>
    <w:rsid w:val="081E3245"/>
    <w:rsid w:val="083D07F0"/>
    <w:rsid w:val="08762705"/>
    <w:rsid w:val="0878647D"/>
    <w:rsid w:val="088607CE"/>
    <w:rsid w:val="08895278"/>
    <w:rsid w:val="08957D8D"/>
    <w:rsid w:val="08A97DFD"/>
    <w:rsid w:val="08B651F8"/>
    <w:rsid w:val="08D13DE0"/>
    <w:rsid w:val="08D51B22"/>
    <w:rsid w:val="08E32C9A"/>
    <w:rsid w:val="08E54069"/>
    <w:rsid w:val="08EE3A1C"/>
    <w:rsid w:val="0905200D"/>
    <w:rsid w:val="0910537C"/>
    <w:rsid w:val="09174046"/>
    <w:rsid w:val="092C53EC"/>
    <w:rsid w:val="09344859"/>
    <w:rsid w:val="09522F9C"/>
    <w:rsid w:val="09594501"/>
    <w:rsid w:val="096B5A48"/>
    <w:rsid w:val="09722762"/>
    <w:rsid w:val="09BC05EC"/>
    <w:rsid w:val="0A116163"/>
    <w:rsid w:val="0A222B45"/>
    <w:rsid w:val="0A24744E"/>
    <w:rsid w:val="0A382285"/>
    <w:rsid w:val="0A3D02C4"/>
    <w:rsid w:val="0A41751D"/>
    <w:rsid w:val="0A4C725E"/>
    <w:rsid w:val="0A5F39D1"/>
    <w:rsid w:val="0A6A2FF9"/>
    <w:rsid w:val="0A7F7F97"/>
    <w:rsid w:val="0A814E68"/>
    <w:rsid w:val="0A9B6345"/>
    <w:rsid w:val="0ADA51CD"/>
    <w:rsid w:val="0B01569C"/>
    <w:rsid w:val="0B097861"/>
    <w:rsid w:val="0B36513E"/>
    <w:rsid w:val="0B495129"/>
    <w:rsid w:val="0B513B17"/>
    <w:rsid w:val="0B754EF6"/>
    <w:rsid w:val="0B9A4AF1"/>
    <w:rsid w:val="0BD5503F"/>
    <w:rsid w:val="0C104FD7"/>
    <w:rsid w:val="0C191FD6"/>
    <w:rsid w:val="0C1C1816"/>
    <w:rsid w:val="0C22507E"/>
    <w:rsid w:val="0C310190"/>
    <w:rsid w:val="0C594818"/>
    <w:rsid w:val="0C732B21"/>
    <w:rsid w:val="0C757A49"/>
    <w:rsid w:val="0C803B53"/>
    <w:rsid w:val="0C804BBF"/>
    <w:rsid w:val="0C9143EC"/>
    <w:rsid w:val="0CA24707"/>
    <w:rsid w:val="0CF34297"/>
    <w:rsid w:val="0CF343BC"/>
    <w:rsid w:val="0D132C19"/>
    <w:rsid w:val="0D1572A5"/>
    <w:rsid w:val="0D1B7A79"/>
    <w:rsid w:val="0D414DA7"/>
    <w:rsid w:val="0D696CDD"/>
    <w:rsid w:val="0D77268F"/>
    <w:rsid w:val="0D834AF3"/>
    <w:rsid w:val="0D98169D"/>
    <w:rsid w:val="0DA235AD"/>
    <w:rsid w:val="0DA24B9E"/>
    <w:rsid w:val="0DA25D4B"/>
    <w:rsid w:val="0DB55732"/>
    <w:rsid w:val="0DC601F4"/>
    <w:rsid w:val="0DCD2DC7"/>
    <w:rsid w:val="0DF30354"/>
    <w:rsid w:val="0E3C619F"/>
    <w:rsid w:val="0E4137B5"/>
    <w:rsid w:val="0E4A392C"/>
    <w:rsid w:val="0E561810"/>
    <w:rsid w:val="0E825897"/>
    <w:rsid w:val="0E875E37"/>
    <w:rsid w:val="0E995EBB"/>
    <w:rsid w:val="0ECB4663"/>
    <w:rsid w:val="0EEA516D"/>
    <w:rsid w:val="0EEF6D6E"/>
    <w:rsid w:val="0F515532"/>
    <w:rsid w:val="0F9D20EB"/>
    <w:rsid w:val="0FC1070A"/>
    <w:rsid w:val="0FD4004F"/>
    <w:rsid w:val="0FE64FAC"/>
    <w:rsid w:val="0FEB138F"/>
    <w:rsid w:val="0FF244CF"/>
    <w:rsid w:val="10071432"/>
    <w:rsid w:val="100A2DAF"/>
    <w:rsid w:val="104E3355"/>
    <w:rsid w:val="10527C78"/>
    <w:rsid w:val="105D390B"/>
    <w:rsid w:val="105E3B74"/>
    <w:rsid w:val="107E7421"/>
    <w:rsid w:val="11131AAF"/>
    <w:rsid w:val="111C1B85"/>
    <w:rsid w:val="11295677"/>
    <w:rsid w:val="114371E8"/>
    <w:rsid w:val="1146218C"/>
    <w:rsid w:val="115F467E"/>
    <w:rsid w:val="11674BE8"/>
    <w:rsid w:val="11681CB2"/>
    <w:rsid w:val="11932CAC"/>
    <w:rsid w:val="11D8736A"/>
    <w:rsid w:val="1202500A"/>
    <w:rsid w:val="12123FF6"/>
    <w:rsid w:val="12164982"/>
    <w:rsid w:val="121A70F4"/>
    <w:rsid w:val="12371157"/>
    <w:rsid w:val="12657017"/>
    <w:rsid w:val="127C29CF"/>
    <w:rsid w:val="12866948"/>
    <w:rsid w:val="12931164"/>
    <w:rsid w:val="129409F9"/>
    <w:rsid w:val="12A22F6F"/>
    <w:rsid w:val="12D44BF8"/>
    <w:rsid w:val="12DE15D3"/>
    <w:rsid w:val="133631BD"/>
    <w:rsid w:val="13491AB3"/>
    <w:rsid w:val="13A02D2C"/>
    <w:rsid w:val="13C40F69"/>
    <w:rsid w:val="13CB1F3A"/>
    <w:rsid w:val="13D473D3"/>
    <w:rsid w:val="13DC675A"/>
    <w:rsid w:val="13E175CD"/>
    <w:rsid w:val="13E2370C"/>
    <w:rsid w:val="141E1EB6"/>
    <w:rsid w:val="143E4A1F"/>
    <w:rsid w:val="145A2EDB"/>
    <w:rsid w:val="147B7252"/>
    <w:rsid w:val="148E339C"/>
    <w:rsid w:val="14A150FA"/>
    <w:rsid w:val="14B80288"/>
    <w:rsid w:val="14BE6198"/>
    <w:rsid w:val="14E6657E"/>
    <w:rsid w:val="151C17D3"/>
    <w:rsid w:val="151D58D0"/>
    <w:rsid w:val="15266570"/>
    <w:rsid w:val="155C60EE"/>
    <w:rsid w:val="157224A6"/>
    <w:rsid w:val="15AF6ECB"/>
    <w:rsid w:val="15B24A27"/>
    <w:rsid w:val="15FA2BC8"/>
    <w:rsid w:val="160523D7"/>
    <w:rsid w:val="160E0421"/>
    <w:rsid w:val="162640B7"/>
    <w:rsid w:val="16526560"/>
    <w:rsid w:val="1655597A"/>
    <w:rsid w:val="16986199"/>
    <w:rsid w:val="169D3553"/>
    <w:rsid w:val="16A824BF"/>
    <w:rsid w:val="170915C8"/>
    <w:rsid w:val="171C4DC0"/>
    <w:rsid w:val="172333F2"/>
    <w:rsid w:val="172F4AF3"/>
    <w:rsid w:val="17383306"/>
    <w:rsid w:val="175B58E8"/>
    <w:rsid w:val="176C33F9"/>
    <w:rsid w:val="17721DA5"/>
    <w:rsid w:val="17781F6F"/>
    <w:rsid w:val="178E7A6B"/>
    <w:rsid w:val="17B40B68"/>
    <w:rsid w:val="17F65611"/>
    <w:rsid w:val="18245CDA"/>
    <w:rsid w:val="183B6B99"/>
    <w:rsid w:val="184C3483"/>
    <w:rsid w:val="185A477D"/>
    <w:rsid w:val="1869292A"/>
    <w:rsid w:val="192B285C"/>
    <w:rsid w:val="19493857"/>
    <w:rsid w:val="19584803"/>
    <w:rsid w:val="19594CC1"/>
    <w:rsid w:val="19975265"/>
    <w:rsid w:val="19CA4189"/>
    <w:rsid w:val="1A0E50CF"/>
    <w:rsid w:val="1A126AA2"/>
    <w:rsid w:val="1A3C0980"/>
    <w:rsid w:val="1A5678E0"/>
    <w:rsid w:val="1A600E77"/>
    <w:rsid w:val="1A7F46E1"/>
    <w:rsid w:val="1AD04B9A"/>
    <w:rsid w:val="1AFF1ABE"/>
    <w:rsid w:val="1B055C03"/>
    <w:rsid w:val="1B337527"/>
    <w:rsid w:val="1B440441"/>
    <w:rsid w:val="1B4B7A22"/>
    <w:rsid w:val="1B724FAE"/>
    <w:rsid w:val="1B7927E1"/>
    <w:rsid w:val="1B7D7F68"/>
    <w:rsid w:val="1B8B254B"/>
    <w:rsid w:val="1B8E5B32"/>
    <w:rsid w:val="1BA36C79"/>
    <w:rsid w:val="1BCA488B"/>
    <w:rsid w:val="1BE444F7"/>
    <w:rsid w:val="1BEC0C12"/>
    <w:rsid w:val="1C2C4424"/>
    <w:rsid w:val="1C3D2D45"/>
    <w:rsid w:val="1C3E51CE"/>
    <w:rsid w:val="1C444B9D"/>
    <w:rsid w:val="1C6F0F57"/>
    <w:rsid w:val="1C733F65"/>
    <w:rsid w:val="1C851B86"/>
    <w:rsid w:val="1C8C2ABD"/>
    <w:rsid w:val="1CA556C4"/>
    <w:rsid w:val="1CA643DD"/>
    <w:rsid w:val="1CCC06EE"/>
    <w:rsid w:val="1CD54CE6"/>
    <w:rsid w:val="1CE67A02"/>
    <w:rsid w:val="1CFC0FD3"/>
    <w:rsid w:val="1D4961E3"/>
    <w:rsid w:val="1D644DCB"/>
    <w:rsid w:val="1D813BCE"/>
    <w:rsid w:val="1DAA4A53"/>
    <w:rsid w:val="1DC00765"/>
    <w:rsid w:val="1DC31AF1"/>
    <w:rsid w:val="1DEC38DC"/>
    <w:rsid w:val="1E053CB1"/>
    <w:rsid w:val="1E46106B"/>
    <w:rsid w:val="1E4D7011"/>
    <w:rsid w:val="1E937715"/>
    <w:rsid w:val="1EB314C6"/>
    <w:rsid w:val="1EB678A8"/>
    <w:rsid w:val="1ED12C73"/>
    <w:rsid w:val="1ED66812"/>
    <w:rsid w:val="1ED74554"/>
    <w:rsid w:val="1EE871B4"/>
    <w:rsid w:val="1EEE0DF0"/>
    <w:rsid w:val="1F0770FC"/>
    <w:rsid w:val="1F0A1E5D"/>
    <w:rsid w:val="1F122D30"/>
    <w:rsid w:val="1F3D7751"/>
    <w:rsid w:val="1F4D77B1"/>
    <w:rsid w:val="1F6E5593"/>
    <w:rsid w:val="1F705CA9"/>
    <w:rsid w:val="1F721A21"/>
    <w:rsid w:val="1F86214E"/>
    <w:rsid w:val="1F9B55C9"/>
    <w:rsid w:val="1F9D6372"/>
    <w:rsid w:val="203E7B64"/>
    <w:rsid w:val="205D59AB"/>
    <w:rsid w:val="206224A9"/>
    <w:rsid w:val="20794B18"/>
    <w:rsid w:val="20971BA2"/>
    <w:rsid w:val="20A2175F"/>
    <w:rsid w:val="20D22EE3"/>
    <w:rsid w:val="21060AF9"/>
    <w:rsid w:val="211865F8"/>
    <w:rsid w:val="21286634"/>
    <w:rsid w:val="213E501F"/>
    <w:rsid w:val="214634E9"/>
    <w:rsid w:val="214D1730"/>
    <w:rsid w:val="215A09BE"/>
    <w:rsid w:val="2171662B"/>
    <w:rsid w:val="217619F2"/>
    <w:rsid w:val="217B67D8"/>
    <w:rsid w:val="21B26944"/>
    <w:rsid w:val="2205182A"/>
    <w:rsid w:val="22066450"/>
    <w:rsid w:val="221B552F"/>
    <w:rsid w:val="22235254"/>
    <w:rsid w:val="22396826"/>
    <w:rsid w:val="224C154B"/>
    <w:rsid w:val="22632A99"/>
    <w:rsid w:val="226A0C71"/>
    <w:rsid w:val="226C73A4"/>
    <w:rsid w:val="226F1770"/>
    <w:rsid w:val="228E1A0F"/>
    <w:rsid w:val="228E4DC3"/>
    <w:rsid w:val="22925F36"/>
    <w:rsid w:val="22B365D8"/>
    <w:rsid w:val="231F2754"/>
    <w:rsid w:val="232C1EE7"/>
    <w:rsid w:val="23384D2F"/>
    <w:rsid w:val="23BD5235"/>
    <w:rsid w:val="23F12D8B"/>
    <w:rsid w:val="24013373"/>
    <w:rsid w:val="2403533D"/>
    <w:rsid w:val="24067FCB"/>
    <w:rsid w:val="241840E6"/>
    <w:rsid w:val="242320A2"/>
    <w:rsid w:val="24600A59"/>
    <w:rsid w:val="24A75516"/>
    <w:rsid w:val="24AC3A32"/>
    <w:rsid w:val="24B16CED"/>
    <w:rsid w:val="24C07A3C"/>
    <w:rsid w:val="250B1429"/>
    <w:rsid w:val="252C4026"/>
    <w:rsid w:val="25317C88"/>
    <w:rsid w:val="25565CCE"/>
    <w:rsid w:val="25650488"/>
    <w:rsid w:val="25AE752B"/>
    <w:rsid w:val="25C75A2F"/>
    <w:rsid w:val="25D57C1A"/>
    <w:rsid w:val="25E21361"/>
    <w:rsid w:val="25F65942"/>
    <w:rsid w:val="25FA62CC"/>
    <w:rsid w:val="26061115"/>
    <w:rsid w:val="26200C4A"/>
    <w:rsid w:val="26373A54"/>
    <w:rsid w:val="26550880"/>
    <w:rsid w:val="26571758"/>
    <w:rsid w:val="265C0E4B"/>
    <w:rsid w:val="26773DE5"/>
    <w:rsid w:val="26890459"/>
    <w:rsid w:val="26CD6304"/>
    <w:rsid w:val="26D233DF"/>
    <w:rsid w:val="26D9730B"/>
    <w:rsid w:val="26F62F37"/>
    <w:rsid w:val="27054DB2"/>
    <w:rsid w:val="27061C16"/>
    <w:rsid w:val="27271343"/>
    <w:rsid w:val="273A28DB"/>
    <w:rsid w:val="27635A6B"/>
    <w:rsid w:val="276C31F9"/>
    <w:rsid w:val="277B51EB"/>
    <w:rsid w:val="27802DD5"/>
    <w:rsid w:val="27865299"/>
    <w:rsid w:val="27890106"/>
    <w:rsid w:val="27C366E8"/>
    <w:rsid w:val="27C53C9C"/>
    <w:rsid w:val="27D12BA6"/>
    <w:rsid w:val="27E3172A"/>
    <w:rsid w:val="28126D74"/>
    <w:rsid w:val="28130B29"/>
    <w:rsid w:val="281A581A"/>
    <w:rsid w:val="284F10A8"/>
    <w:rsid w:val="28500553"/>
    <w:rsid w:val="288625C5"/>
    <w:rsid w:val="288A35DC"/>
    <w:rsid w:val="289575D6"/>
    <w:rsid w:val="28AB37EA"/>
    <w:rsid w:val="28C3509B"/>
    <w:rsid w:val="28DC43AF"/>
    <w:rsid w:val="28E374EB"/>
    <w:rsid w:val="29745E21"/>
    <w:rsid w:val="298567F4"/>
    <w:rsid w:val="29BD1AEA"/>
    <w:rsid w:val="29D75A83"/>
    <w:rsid w:val="29DC314E"/>
    <w:rsid w:val="29EC23D0"/>
    <w:rsid w:val="29F257C4"/>
    <w:rsid w:val="29F4691B"/>
    <w:rsid w:val="29FA272D"/>
    <w:rsid w:val="2A0A0A54"/>
    <w:rsid w:val="2A3925BD"/>
    <w:rsid w:val="2A455B7D"/>
    <w:rsid w:val="2A4B5348"/>
    <w:rsid w:val="2AC3167D"/>
    <w:rsid w:val="2AD561D6"/>
    <w:rsid w:val="2AFE4292"/>
    <w:rsid w:val="2B057BED"/>
    <w:rsid w:val="2B225CB9"/>
    <w:rsid w:val="2B717030"/>
    <w:rsid w:val="2B7663F5"/>
    <w:rsid w:val="2BE71F74"/>
    <w:rsid w:val="2C186F14"/>
    <w:rsid w:val="2C251D36"/>
    <w:rsid w:val="2C4A3E4F"/>
    <w:rsid w:val="2C54658B"/>
    <w:rsid w:val="2C6876B1"/>
    <w:rsid w:val="2C9A0BA4"/>
    <w:rsid w:val="2CB5192D"/>
    <w:rsid w:val="2CDA1F3F"/>
    <w:rsid w:val="2D067C4C"/>
    <w:rsid w:val="2D102879"/>
    <w:rsid w:val="2D104627"/>
    <w:rsid w:val="2D282439"/>
    <w:rsid w:val="2D58628E"/>
    <w:rsid w:val="2D9130F8"/>
    <w:rsid w:val="2D917516"/>
    <w:rsid w:val="2DA2119A"/>
    <w:rsid w:val="2DAF2278"/>
    <w:rsid w:val="2DB061CE"/>
    <w:rsid w:val="2DB31B82"/>
    <w:rsid w:val="2DBE4083"/>
    <w:rsid w:val="2DC32DE5"/>
    <w:rsid w:val="2DF4782B"/>
    <w:rsid w:val="2E1B030D"/>
    <w:rsid w:val="2E225DB9"/>
    <w:rsid w:val="2E3D4F4F"/>
    <w:rsid w:val="2E4A6572"/>
    <w:rsid w:val="2E643629"/>
    <w:rsid w:val="2E72782A"/>
    <w:rsid w:val="2E933762"/>
    <w:rsid w:val="2EB0417A"/>
    <w:rsid w:val="2EB15241"/>
    <w:rsid w:val="2EB67C11"/>
    <w:rsid w:val="2EC35DF5"/>
    <w:rsid w:val="2EF014AF"/>
    <w:rsid w:val="2F191991"/>
    <w:rsid w:val="2F1A53D5"/>
    <w:rsid w:val="2F4C0E27"/>
    <w:rsid w:val="2F5F6A5E"/>
    <w:rsid w:val="2F9217E7"/>
    <w:rsid w:val="2F921838"/>
    <w:rsid w:val="2FD70C5F"/>
    <w:rsid w:val="2FDF42F0"/>
    <w:rsid w:val="2FF54DF8"/>
    <w:rsid w:val="30031E05"/>
    <w:rsid w:val="30456175"/>
    <w:rsid w:val="30534F57"/>
    <w:rsid w:val="30596779"/>
    <w:rsid w:val="30631DC7"/>
    <w:rsid w:val="308F319F"/>
    <w:rsid w:val="309E2301"/>
    <w:rsid w:val="30B66ECF"/>
    <w:rsid w:val="30BD4AC6"/>
    <w:rsid w:val="30C037B2"/>
    <w:rsid w:val="30C6008F"/>
    <w:rsid w:val="30D21938"/>
    <w:rsid w:val="31051751"/>
    <w:rsid w:val="312A1866"/>
    <w:rsid w:val="31420D53"/>
    <w:rsid w:val="31640482"/>
    <w:rsid w:val="31825DDF"/>
    <w:rsid w:val="31A36F1F"/>
    <w:rsid w:val="31AC0DC2"/>
    <w:rsid w:val="31BB723F"/>
    <w:rsid w:val="31BC599B"/>
    <w:rsid w:val="31CE6E28"/>
    <w:rsid w:val="31E17F04"/>
    <w:rsid w:val="31F55564"/>
    <w:rsid w:val="31FB19E6"/>
    <w:rsid w:val="32067506"/>
    <w:rsid w:val="32164727"/>
    <w:rsid w:val="32193F7E"/>
    <w:rsid w:val="322D3C0E"/>
    <w:rsid w:val="32545EE8"/>
    <w:rsid w:val="32681FFE"/>
    <w:rsid w:val="32735FCC"/>
    <w:rsid w:val="329F07D3"/>
    <w:rsid w:val="32A75F29"/>
    <w:rsid w:val="32B37F2E"/>
    <w:rsid w:val="32C90884"/>
    <w:rsid w:val="32CA7817"/>
    <w:rsid w:val="32EB5E10"/>
    <w:rsid w:val="32FA6DD7"/>
    <w:rsid w:val="33007CD7"/>
    <w:rsid w:val="33305CD9"/>
    <w:rsid w:val="33467961"/>
    <w:rsid w:val="33637BAC"/>
    <w:rsid w:val="33866EDA"/>
    <w:rsid w:val="33AD5E70"/>
    <w:rsid w:val="33BB5A10"/>
    <w:rsid w:val="33BC0023"/>
    <w:rsid w:val="33E81E5A"/>
    <w:rsid w:val="33FF6031"/>
    <w:rsid w:val="340C5B48"/>
    <w:rsid w:val="341B0ACA"/>
    <w:rsid w:val="341D5FA7"/>
    <w:rsid w:val="34261661"/>
    <w:rsid w:val="342E1A1C"/>
    <w:rsid w:val="34383629"/>
    <w:rsid w:val="344D6B74"/>
    <w:rsid w:val="34E00D83"/>
    <w:rsid w:val="3554774F"/>
    <w:rsid w:val="35710CF2"/>
    <w:rsid w:val="35734504"/>
    <w:rsid w:val="3585406B"/>
    <w:rsid w:val="35A20B1F"/>
    <w:rsid w:val="35A324DC"/>
    <w:rsid w:val="35A43EB8"/>
    <w:rsid w:val="35AA1074"/>
    <w:rsid w:val="35DE3514"/>
    <w:rsid w:val="35E52AF5"/>
    <w:rsid w:val="36114AED"/>
    <w:rsid w:val="365841AE"/>
    <w:rsid w:val="365A0429"/>
    <w:rsid w:val="36772279"/>
    <w:rsid w:val="36B01C9B"/>
    <w:rsid w:val="36B1172D"/>
    <w:rsid w:val="36B76253"/>
    <w:rsid w:val="36C5227C"/>
    <w:rsid w:val="36CA1CEB"/>
    <w:rsid w:val="36CE5337"/>
    <w:rsid w:val="36D729D5"/>
    <w:rsid w:val="36F34E31"/>
    <w:rsid w:val="370B4330"/>
    <w:rsid w:val="372C4D60"/>
    <w:rsid w:val="373047D2"/>
    <w:rsid w:val="37581914"/>
    <w:rsid w:val="376372DD"/>
    <w:rsid w:val="37D03331"/>
    <w:rsid w:val="37ED7A3F"/>
    <w:rsid w:val="37F0752F"/>
    <w:rsid w:val="38273512"/>
    <w:rsid w:val="3833680E"/>
    <w:rsid w:val="38397128"/>
    <w:rsid w:val="386048C9"/>
    <w:rsid w:val="388605B6"/>
    <w:rsid w:val="388B36C0"/>
    <w:rsid w:val="38B05A93"/>
    <w:rsid w:val="38CF51C8"/>
    <w:rsid w:val="38D278B8"/>
    <w:rsid w:val="38F95346"/>
    <w:rsid w:val="393B6C36"/>
    <w:rsid w:val="39406D25"/>
    <w:rsid w:val="3986083F"/>
    <w:rsid w:val="3986114C"/>
    <w:rsid w:val="398F4694"/>
    <w:rsid w:val="39901870"/>
    <w:rsid w:val="39A45D61"/>
    <w:rsid w:val="39A6259B"/>
    <w:rsid w:val="39D72754"/>
    <w:rsid w:val="39DC0787"/>
    <w:rsid w:val="39EE7A9E"/>
    <w:rsid w:val="3A111F16"/>
    <w:rsid w:val="3A4B4908"/>
    <w:rsid w:val="3A692ADF"/>
    <w:rsid w:val="3A6B7D18"/>
    <w:rsid w:val="3A7379ED"/>
    <w:rsid w:val="3A776ABF"/>
    <w:rsid w:val="3A791A5E"/>
    <w:rsid w:val="3ABC241C"/>
    <w:rsid w:val="3AC43DD1"/>
    <w:rsid w:val="3AD91A0B"/>
    <w:rsid w:val="3ADF6838"/>
    <w:rsid w:val="3AFE3946"/>
    <w:rsid w:val="3B0A5605"/>
    <w:rsid w:val="3B2872E9"/>
    <w:rsid w:val="3B4A33FA"/>
    <w:rsid w:val="3B4C0F20"/>
    <w:rsid w:val="3B5048E7"/>
    <w:rsid w:val="3B7641EF"/>
    <w:rsid w:val="3B7A6538"/>
    <w:rsid w:val="3B8C108E"/>
    <w:rsid w:val="3B972C75"/>
    <w:rsid w:val="3B9D50C0"/>
    <w:rsid w:val="3BBA273E"/>
    <w:rsid w:val="3BC05E56"/>
    <w:rsid w:val="3C086968"/>
    <w:rsid w:val="3C581851"/>
    <w:rsid w:val="3C6B7A47"/>
    <w:rsid w:val="3C6E497A"/>
    <w:rsid w:val="3C747DA3"/>
    <w:rsid w:val="3C8D17A0"/>
    <w:rsid w:val="3C9E57AB"/>
    <w:rsid w:val="3CC52D38"/>
    <w:rsid w:val="3CDD0F04"/>
    <w:rsid w:val="3CEB6EE5"/>
    <w:rsid w:val="3D116CC8"/>
    <w:rsid w:val="3D542133"/>
    <w:rsid w:val="3D64546A"/>
    <w:rsid w:val="3D6A439A"/>
    <w:rsid w:val="3DB241CE"/>
    <w:rsid w:val="3DC873DC"/>
    <w:rsid w:val="3DC96912"/>
    <w:rsid w:val="3DD345E0"/>
    <w:rsid w:val="3DF5764D"/>
    <w:rsid w:val="3E2D2085"/>
    <w:rsid w:val="3E3A7756"/>
    <w:rsid w:val="3E4C7B1E"/>
    <w:rsid w:val="3E5D169A"/>
    <w:rsid w:val="3E6F0CEB"/>
    <w:rsid w:val="3E9A6446"/>
    <w:rsid w:val="3EA5020C"/>
    <w:rsid w:val="3ED612E5"/>
    <w:rsid w:val="3F2156F1"/>
    <w:rsid w:val="3F4727D3"/>
    <w:rsid w:val="3F4940F4"/>
    <w:rsid w:val="3F7D5B4C"/>
    <w:rsid w:val="3FD27DF7"/>
    <w:rsid w:val="40016769"/>
    <w:rsid w:val="40181D19"/>
    <w:rsid w:val="402C30CE"/>
    <w:rsid w:val="406B3E08"/>
    <w:rsid w:val="409D42C5"/>
    <w:rsid w:val="41203216"/>
    <w:rsid w:val="41210759"/>
    <w:rsid w:val="412A03CA"/>
    <w:rsid w:val="413676E5"/>
    <w:rsid w:val="416F5968"/>
    <w:rsid w:val="419F4E28"/>
    <w:rsid w:val="41AA6C6A"/>
    <w:rsid w:val="41C40F9E"/>
    <w:rsid w:val="41C46E4D"/>
    <w:rsid w:val="41ED30E3"/>
    <w:rsid w:val="42043BAF"/>
    <w:rsid w:val="420577B9"/>
    <w:rsid w:val="42065A23"/>
    <w:rsid w:val="4213632D"/>
    <w:rsid w:val="422652E6"/>
    <w:rsid w:val="42641422"/>
    <w:rsid w:val="42730F84"/>
    <w:rsid w:val="42784CF1"/>
    <w:rsid w:val="42A4204C"/>
    <w:rsid w:val="42B51AC8"/>
    <w:rsid w:val="42B71375"/>
    <w:rsid w:val="42D261AF"/>
    <w:rsid w:val="42DA5063"/>
    <w:rsid w:val="42DF7F3F"/>
    <w:rsid w:val="42E10F7C"/>
    <w:rsid w:val="42FF4354"/>
    <w:rsid w:val="433D531F"/>
    <w:rsid w:val="434067C1"/>
    <w:rsid w:val="43595C6C"/>
    <w:rsid w:val="43657023"/>
    <w:rsid w:val="43710755"/>
    <w:rsid w:val="437651F9"/>
    <w:rsid w:val="43851473"/>
    <w:rsid w:val="43916ACB"/>
    <w:rsid w:val="43962CF5"/>
    <w:rsid w:val="439C016E"/>
    <w:rsid w:val="43B753A5"/>
    <w:rsid w:val="43CF1698"/>
    <w:rsid w:val="43DB2696"/>
    <w:rsid w:val="43E16008"/>
    <w:rsid w:val="43E91BEF"/>
    <w:rsid w:val="43EC14F2"/>
    <w:rsid w:val="43ED06F0"/>
    <w:rsid w:val="43FF2A4F"/>
    <w:rsid w:val="444058F7"/>
    <w:rsid w:val="444C3FF6"/>
    <w:rsid w:val="44551A7C"/>
    <w:rsid w:val="446162FB"/>
    <w:rsid w:val="44647A5D"/>
    <w:rsid w:val="4470570D"/>
    <w:rsid w:val="4487121B"/>
    <w:rsid w:val="449307AF"/>
    <w:rsid w:val="44A50656"/>
    <w:rsid w:val="44CB735A"/>
    <w:rsid w:val="44F54C4A"/>
    <w:rsid w:val="451231DA"/>
    <w:rsid w:val="45183881"/>
    <w:rsid w:val="452F4035"/>
    <w:rsid w:val="45431A53"/>
    <w:rsid w:val="455903D4"/>
    <w:rsid w:val="45715C8C"/>
    <w:rsid w:val="45802CCD"/>
    <w:rsid w:val="45B0175E"/>
    <w:rsid w:val="45CC3389"/>
    <w:rsid w:val="45D41C1A"/>
    <w:rsid w:val="461E56E6"/>
    <w:rsid w:val="463041C7"/>
    <w:rsid w:val="46312AD7"/>
    <w:rsid w:val="464B259D"/>
    <w:rsid w:val="465659FA"/>
    <w:rsid w:val="46711033"/>
    <w:rsid w:val="46A3218F"/>
    <w:rsid w:val="46A50CD8"/>
    <w:rsid w:val="46B300A5"/>
    <w:rsid w:val="46C87FF5"/>
    <w:rsid w:val="46D42031"/>
    <w:rsid w:val="46ED7968"/>
    <w:rsid w:val="474B4782"/>
    <w:rsid w:val="474D3AEE"/>
    <w:rsid w:val="477F29E4"/>
    <w:rsid w:val="47876D4D"/>
    <w:rsid w:val="47A112C4"/>
    <w:rsid w:val="47AD35C1"/>
    <w:rsid w:val="47BA5463"/>
    <w:rsid w:val="47CF53B3"/>
    <w:rsid w:val="47D97D0E"/>
    <w:rsid w:val="482524AE"/>
    <w:rsid w:val="483416BA"/>
    <w:rsid w:val="486E0FF2"/>
    <w:rsid w:val="48A06F6F"/>
    <w:rsid w:val="48CC544E"/>
    <w:rsid w:val="48D47A82"/>
    <w:rsid w:val="490B41C9"/>
    <w:rsid w:val="492C1BFC"/>
    <w:rsid w:val="49596459"/>
    <w:rsid w:val="49724248"/>
    <w:rsid w:val="49914124"/>
    <w:rsid w:val="499822F7"/>
    <w:rsid w:val="49AD7933"/>
    <w:rsid w:val="49C77AFD"/>
    <w:rsid w:val="49DF7447"/>
    <w:rsid w:val="49EE1517"/>
    <w:rsid w:val="4A241BD8"/>
    <w:rsid w:val="4A2E059F"/>
    <w:rsid w:val="4A975483"/>
    <w:rsid w:val="4AAB7FB3"/>
    <w:rsid w:val="4AB66F3E"/>
    <w:rsid w:val="4ACA2341"/>
    <w:rsid w:val="4B0100E9"/>
    <w:rsid w:val="4B0F6EBE"/>
    <w:rsid w:val="4B1D6435"/>
    <w:rsid w:val="4B204964"/>
    <w:rsid w:val="4B541ECC"/>
    <w:rsid w:val="4B577B99"/>
    <w:rsid w:val="4B9366F7"/>
    <w:rsid w:val="4BB114DC"/>
    <w:rsid w:val="4BB950FE"/>
    <w:rsid w:val="4BC1732F"/>
    <w:rsid w:val="4BDE2EC5"/>
    <w:rsid w:val="4BEE7D6B"/>
    <w:rsid w:val="4C6629E7"/>
    <w:rsid w:val="4C7B26DD"/>
    <w:rsid w:val="4CAB02A5"/>
    <w:rsid w:val="4CDF6B40"/>
    <w:rsid w:val="4D247807"/>
    <w:rsid w:val="4D265D87"/>
    <w:rsid w:val="4D455855"/>
    <w:rsid w:val="4D5C1497"/>
    <w:rsid w:val="4D602609"/>
    <w:rsid w:val="4D8E5739"/>
    <w:rsid w:val="4D924EB8"/>
    <w:rsid w:val="4DB57070"/>
    <w:rsid w:val="4DBE0BDA"/>
    <w:rsid w:val="4DF6278B"/>
    <w:rsid w:val="4DFB264D"/>
    <w:rsid w:val="4E2E6761"/>
    <w:rsid w:val="4E323FA5"/>
    <w:rsid w:val="4E722ACC"/>
    <w:rsid w:val="4E8B10C2"/>
    <w:rsid w:val="4E946A0E"/>
    <w:rsid w:val="4EB90223"/>
    <w:rsid w:val="4EB91DBD"/>
    <w:rsid w:val="4ECD1DB3"/>
    <w:rsid w:val="4F1F09CE"/>
    <w:rsid w:val="4F2064F4"/>
    <w:rsid w:val="4F4B17C3"/>
    <w:rsid w:val="4F5341B6"/>
    <w:rsid w:val="4F550892"/>
    <w:rsid w:val="4F8F448F"/>
    <w:rsid w:val="4FA07362"/>
    <w:rsid w:val="4FDB3F4A"/>
    <w:rsid w:val="4FDC039B"/>
    <w:rsid w:val="4FFD3013"/>
    <w:rsid w:val="4FFE3BB3"/>
    <w:rsid w:val="500D4152"/>
    <w:rsid w:val="50133FF5"/>
    <w:rsid w:val="501928E1"/>
    <w:rsid w:val="5023629C"/>
    <w:rsid w:val="503E1327"/>
    <w:rsid w:val="505D1259"/>
    <w:rsid w:val="506F14E1"/>
    <w:rsid w:val="508619C4"/>
    <w:rsid w:val="5090545C"/>
    <w:rsid w:val="50A867A1"/>
    <w:rsid w:val="50BD3FD5"/>
    <w:rsid w:val="50C813B3"/>
    <w:rsid w:val="50E4200D"/>
    <w:rsid w:val="510460CD"/>
    <w:rsid w:val="51053BF3"/>
    <w:rsid w:val="51400A5B"/>
    <w:rsid w:val="515801C7"/>
    <w:rsid w:val="516159BE"/>
    <w:rsid w:val="516A1CA8"/>
    <w:rsid w:val="51863370"/>
    <w:rsid w:val="51891C98"/>
    <w:rsid w:val="51A57185"/>
    <w:rsid w:val="51BF53B3"/>
    <w:rsid w:val="51C01964"/>
    <w:rsid w:val="51EB2DE9"/>
    <w:rsid w:val="51F373B9"/>
    <w:rsid w:val="5212431D"/>
    <w:rsid w:val="52B4142D"/>
    <w:rsid w:val="52B720AC"/>
    <w:rsid w:val="52BC6534"/>
    <w:rsid w:val="52CA6EA2"/>
    <w:rsid w:val="52D03C5E"/>
    <w:rsid w:val="52D47D21"/>
    <w:rsid w:val="52DC0CBD"/>
    <w:rsid w:val="52E42A4A"/>
    <w:rsid w:val="52F63F61"/>
    <w:rsid w:val="53091ACB"/>
    <w:rsid w:val="531741F4"/>
    <w:rsid w:val="53255B5D"/>
    <w:rsid w:val="53394028"/>
    <w:rsid w:val="53482F5C"/>
    <w:rsid w:val="534E5803"/>
    <w:rsid w:val="53620E89"/>
    <w:rsid w:val="536410A5"/>
    <w:rsid w:val="53680BC8"/>
    <w:rsid w:val="5371731E"/>
    <w:rsid w:val="53727A37"/>
    <w:rsid w:val="537711BF"/>
    <w:rsid w:val="53775D5B"/>
    <w:rsid w:val="53C27D88"/>
    <w:rsid w:val="53C56A98"/>
    <w:rsid w:val="53E126F6"/>
    <w:rsid w:val="53FD5056"/>
    <w:rsid w:val="542E345E"/>
    <w:rsid w:val="54446718"/>
    <w:rsid w:val="545532C4"/>
    <w:rsid w:val="548B4F72"/>
    <w:rsid w:val="549E4143"/>
    <w:rsid w:val="54A32F81"/>
    <w:rsid w:val="54AA6F8B"/>
    <w:rsid w:val="54BB183C"/>
    <w:rsid w:val="54D04139"/>
    <w:rsid w:val="54DC110F"/>
    <w:rsid w:val="54F03FB8"/>
    <w:rsid w:val="55190DB7"/>
    <w:rsid w:val="556514BC"/>
    <w:rsid w:val="556D0F7F"/>
    <w:rsid w:val="558C51FB"/>
    <w:rsid w:val="559317CE"/>
    <w:rsid w:val="55A734CB"/>
    <w:rsid w:val="55B41B6D"/>
    <w:rsid w:val="55DB13C7"/>
    <w:rsid w:val="55ED3822"/>
    <w:rsid w:val="55F95E04"/>
    <w:rsid w:val="561B7A15"/>
    <w:rsid w:val="562A6DB6"/>
    <w:rsid w:val="562E3E87"/>
    <w:rsid w:val="564B02FA"/>
    <w:rsid w:val="566431BA"/>
    <w:rsid w:val="568B06F7"/>
    <w:rsid w:val="568D20C3"/>
    <w:rsid w:val="56955A19"/>
    <w:rsid w:val="569A6B8C"/>
    <w:rsid w:val="56A306FE"/>
    <w:rsid w:val="5756468D"/>
    <w:rsid w:val="576F720C"/>
    <w:rsid w:val="578130E3"/>
    <w:rsid w:val="578A7E50"/>
    <w:rsid w:val="57C6377C"/>
    <w:rsid w:val="57F20780"/>
    <w:rsid w:val="57F25460"/>
    <w:rsid w:val="58025693"/>
    <w:rsid w:val="580922D5"/>
    <w:rsid w:val="58093340"/>
    <w:rsid w:val="58155762"/>
    <w:rsid w:val="582801F0"/>
    <w:rsid w:val="584B45E2"/>
    <w:rsid w:val="58533496"/>
    <w:rsid w:val="585B6812"/>
    <w:rsid w:val="58800BE0"/>
    <w:rsid w:val="58AF4966"/>
    <w:rsid w:val="58EB7030"/>
    <w:rsid w:val="592F1429"/>
    <w:rsid w:val="593C64E4"/>
    <w:rsid w:val="595474C6"/>
    <w:rsid w:val="595526E7"/>
    <w:rsid w:val="595F2EC7"/>
    <w:rsid w:val="5966544B"/>
    <w:rsid w:val="59777658"/>
    <w:rsid w:val="59BA483A"/>
    <w:rsid w:val="59E53FCF"/>
    <w:rsid w:val="5A197DCB"/>
    <w:rsid w:val="5A1C77F0"/>
    <w:rsid w:val="5A3D43FE"/>
    <w:rsid w:val="5A5E796F"/>
    <w:rsid w:val="5A6C6A91"/>
    <w:rsid w:val="5A8C7E40"/>
    <w:rsid w:val="5A9A53AC"/>
    <w:rsid w:val="5ABE5D04"/>
    <w:rsid w:val="5AD33E81"/>
    <w:rsid w:val="5B386973"/>
    <w:rsid w:val="5B3E042E"/>
    <w:rsid w:val="5B63489B"/>
    <w:rsid w:val="5B865A1B"/>
    <w:rsid w:val="5BC7073F"/>
    <w:rsid w:val="5BF5778D"/>
    <w:rsid w:val="5BFC25C9"/>
    <w:rsid w:val="5C1E2A4B"/>
    <w:rsid w:val="5C2C6E98"/>
    <w:rsid w:val="5C66108E"/>
    <w:rsid w:val="5C9C2561"/>
    <w:rsid w:val="5C9E69C1"/>
    <w:rsid w:val="5CB36BF9"/>
    <w:rsid w:val="5CD0101D"/>
    <w:rsid w:val="5D1859F9"/>
    <w:rsid w:val="5D536CDE"/>
    <w:rsid w:val="5D9B1B67"/>
    <w:rsid w:val="5D9F15A6"/>
    <w:rsid w:val="5DB16BFE"/>
    <w:rsid w:val="5DFD1F41"/>
    <w:rsid w:val="5E131F73"/>
    <w:rsid w:val="5E2A6448"/>
    <w:rsid w:val="5E4A533B"/>
    <w:rsid w:val="5E5316CB"/>
    <w:rsid w:val="5E862B5B"/>
    <w:rsid w:val="5EE42BFF"/>
    <w:rsid w:val="5EE832F7"/>
    <w:rsid w:val="5EF37781"/>
    <w:rsid w:val="5EF93A5F"/>
    <w:rsid w:val="5F0474D2"/>
    <w:rsid w:val="5F0E0117"/>
    <w:rsid w:val="5F2562CA"/>
    <w:rsid w:val="5F2A23DC"/>
    <w:rsid w:val="5F6366B5"/>
    <w:rsid w:val="5F64242D"/>
    <w:rsid w:val="5FC66C44"/>
    <w:rsid w:val="5FD4024E"/>
    <w:rsid w:val="5FD749AD"/>
    <w:rsid w:val="5FE05ADE"/>
    <w:rsid w:val="60081970"/>
    <w:rsid w:val="60532474"/>
    <w:rsid w:val="60643705"/>
    <w:rsid w:val="6064638C"/>
    <w:rsid w:val="60681AA9"/>
    <w:rsid w:val="60860AA9"/>
    <w:rsid w:val="60885E2E"/>
    <w:rsid w:val="609F5400"/>
    <w:rsid w:val="60A23649"/>
    <w:rsid w:val="61112C7B"/>
    <w:rsid w:val="613420C9"/>
    <w:rsid w:val="614C5D65"/>
    <w:rsid w:val="61A145D6"/>
    <w:rsid w:val="61D70A31"/>
    <w:rsid w:val="61DD5BCF"/>
    <w:rsid w:val="62083848"/>
    <w:rsid w:val="62195750"/>
    <w:rsid w:val="6238389F"/>
    <w:rsid w:val="623A6333"/>
    <w:rsid w:val="62454143"/>
    <w:rsid w:val="635051A2"/>
    <w:rsid w:val="63543CF8"/>
    <w:rsid w:val="635754D0"/>
    <w:rsid w:val="638F7068"/>
    <w:rsid w:val="63A86A98"/>
    <w:rsid w:val="63C85CF0"/>
    <w:rsid w:val="63D95197"/>
    <w:rsid w:val="63DD630A"/>
    <w:rsid w:val="63E00486"/>
    <w:rsid w:val="641414ED"/>
    <w:rsid w:val="641C56FF"/>
    <w:rsid w:val="642E473C"/>
    <w:rsid w:val="64436AB5"/>
    <w:rsid w:val="644B7717"/>
    <w:rsid w:val="646975D9"/>
    <w:rsid w:val="64805613"/>
    <w:rsid w:val="64940D2B"/>
    <w:rsid w:val="64AF29A7"/>
    <w:rsid w:val="64D71298"/>
    <w:rsid w:val="64D7429C"/>
    <w:rsid w:val="652E0A4C"/>
    <w:rsid w:val="654A7049"/>
    <w:rsid w:val="654F4FE5"/>
    <w:rsid w:val="655A393D"/>
    <w:rsid w:val="65763EDE"/>
    <w:rsid w:val="657F40AF"/>
    <w:rsid w:val="65862373"/>
    <w:rsid w:val="65BF5849"/>
    <w:rsid w:val="65C32895"/>
    <w:rsid w:val="65E47E23"/>
    <w:rsid w:val="660E6C4E"/>
    <w:rsid w:val="662023CC"/>
    <w:rsid w:val="665039BA"/>
    <w:rsid w:val="66546D57"/>
    <w:rsid w:val="667264C2"/>
    <w:rsid w:val="669C0281"/>
    <w:rsid w:val="66C20165"/>
    <w:rsid w:val="66C42733"/>
    <w:rsid w:val="66C5471D"/>
    <w:rsid w:val="66CD20C6"/>
    <w:rsid w:val="66F04D16"/>
    <w:rsid w:val="67027833"/>
    <w:rsid w:val="6733742A"/>
    <w:rsid w:val="6739419F"/>
    <w:rsid w:val="674A54CB"/>
    <w:rsid w:val="676F7BC1"/>
    <w:rsid w:val="67913E61"/>
    <w:rsid w:val="67C217AE"/>
    <w:rsid w:val="67FA392E"/>
    <w:rsid w:val="67FC3452"/>
    <w:rsid w:val="684D1CB0"/>
    <w:rsid w:val="68556F94"/>
    <w:rsid w:val="686A7177"/>
    <w:rsid w:val="68790CF7"/>
    <w:rsid w:val="68BE4437"/>
    <w:rsid w:val="68CD1043"/>
    <w:rsid w:val="690913E0"/>
    <w:rsid w:val="691D4FB8"/>
    <w:rsid w:val="6922313D"/>
    <w:rsid w:val="69244873"/>
    <w:rsid w:val="692C1DC8"/>
    <w:rsid w:val="694D5CE0"/>
    <w:rsid w:val="695232F6"/>
    <w:rsid w:val="69526988"/>
    <w:rsid w:val="69807E63"/>
    <w:rsid w:val="6995273F"/>
    <w:rsid w:val="69D0038E"/>
    <w:rsid w:val="69E403F2"/>
    <w:rsid w:val="69E50545"/>
    <w:rsid w:val="6A106603"/>
    <w:rsid w:val="6A222CC8"/>
    <w:rsid w:val="6AD95A7D"/>
    <w:rsid w:val="6AEB6957"/>
    <w:rsid w:val="6AF61F16"/>
    <w:rsid w:val="6AFD68E0"/>
    <w:rsid w:val="6B252A70"/>
    <w:rsid w:val="6B472799"/>
    <w:rsid w:val="6B5346C8"/>
    <w:rsid w:val="6B595897"/>
    <w:rsid w:val="6B815FB4"/>
    <w:rsid w:val="6B91205F"/>
    <w:rsid w:val="6BD83F86"/>
    <w:rsid w:val="6BD92B1B"/>
    <w:rsid w:val="6C131F0D"/>
    <w:rsid w:val="6C1624C4"/>
    <w:rsid w:val="6C270A6A"/>
    <w:rsid w:val="6C515AE7"/>
    <w:rsid w:val="6C691F43"/>
    <w:rsid w:val="6C6E0279"/>
    <w:rsid w:val="6C795A0E"/>
    <w:rsid w:val="6C8664BC"/>
    <w:rsid w:val="6C8671D2"/>
    <w:rsid w:val="6CCA20EC"/>
    <w:rsid w:val="6CD52274"/>
    <w:rsid w:val="6CD62DEC"/>
    <w:rsid w:val="6CD82579"/>
    <w:rsid w:val="6CF41B8C"/>
    <w:rsid w:val="6CFE002A"/>
    <w:rsid w:val="6D022918"/>
    <w:rsid w:val="6D0370DF"/>
    <w:rsid w:val="6D153134"/>
    <w:rsid w:val="6D2A26E3"/>
    <w:rsid w:val="6D5B0C50"/>
    <w:rsid w:val="6D6F091A"/>
    <w:rsid w:val="6D8C2EF3"/>
    <w:rsid w:val="6D986AFC"/>
    <w:rsid w:val="6DAA0C2E"/>
    <w:rsid w:val="6DAD2431"/>
    <w:rsid w:val="6DCD73EF"/>
    <w:rsid w:val="6DCE1692"/>
    <w:rsid w:val="6DD95D94"/>
    <w:rsid w:val="6DF66946"/>
    <w:rsid w:val="6E1F7C4B"/>
    <w:rsid w:val="6E22773B"/>
    <w:rsid w:val="6E2B1C65"/>
    <w:rsid w:val="6E3A418C"/>
    <w:rsid w:val="6E5F4DA5"/>
    <w:rsid w:val="6E727E2D"/>
    <w:rsid w:val="6EAF13B0"/>
    <w:rsid w:val="6EB37D2A"/>
    <w:rsid w:val="6EB513B6"/>
    <w:rsid w:val="6EBA7744"/>
    <w:rsid w:val="6ECE3F0B"/>
    <w:rsid w:val="6ED21161"/>
    <w:rsid w:val="6EDF562C"/>
    <w:rsid w:val="6EF1571E"/>
    <w:rsid w:val="6EFC4273"/>
    <w:rsid w:val="6F045092"/>
    <w:rsid w:val="6F0B4673"/>
    <w:rsid w:val="6F0D03EB"/>
    <w:rsid w:val="6F217446"/>
    <w:rsid w:val="6FA567F0"/>
    <w:rsid w:val="6FAF0299"/>
    <w:rsid w:val="6FD36FD1"/>
    <w:rsid w:val="6FDB6F32"/>
    <w:rsid w:val="6FFA2FF0"/>
    <w:rsid w:val="70153516"/>
    <w:rsid w:val="701C594E"/>
    <w:rsid w:val="702C664F"/>
    <w:rsid w:val="70366EC6"/>
    <w:rsid w:val="703754C1"/>
    <w:rsid w:val="70683EA3"/>
    <w:rsid w:val="70807A15"/>
    <w:rsid w:val="70824131"/>
    <w:rsid w:val="70FE2847"/>
    <w:rsid w:val="71061E72"/>
    <w:rsid w:val="710F044A"/>
    <w:rsid w:val="71340CBA"/>
    <w:rsid w:val="71752277"/>
    <w:rsid w:val="71864485"/>
    <w:rsid w:val="718C4DD7"/>
    <w:rsid w:val="71A27AAE"/>
    <w:rsid w:val="71A82BFD"/>
    <w:rsid w:val="71AD06B9"/>
    <w:rsid w:val="71BB6C83"/>
    <w:rsid w:val="71C17A1E"/>
    <w:rsid w:val="71C56D5B"/>
    <w:rsid w:val="71F013CE"/>
    <w:rsid w:val="71F31B1A"/>
    <w:rsid w:val="71FA4EFD"/>
    <w:rsid w:val="722A4E10"/>
    <w:rsid w:val="723F1E3A"/>
    <w:rsid w:val="726910B4"/>
    <w:rsid w:val="72897D89"/>
    <w:rsid w:val="728F558F"/>
    <w:rsid w:val="72900267"/>
    <w:rsid w:val="72AE13E4"/>
    <w:rsid w:val="72AE3C93"/>
    <w:rsid w:val="72E9426D"/>
    <w:rsid w:val="72E96A79"/>
    <w:rsid w:val="733F2B3D"/>
    <w:rsid w:val="735D5062"/>
    <w:rsid w:val="73C205F0"/>
    <w:rsid w:val="73C511E4"/>
    <w:rsid w:val="73E2232F"/>
    <w:rsid w:val="73F954FA"/>
    <w:rsid w:val="73FC3A1D"/>
    <w:rsid w:val="74141D46"/>
    <w:rsid w:val="742B457C"/>
    <w:rsid w:val="74582108"/>
    <w:rsid w:val="745F6F38"/>
    <w:rsid w:val="748202E9"/>
    <w:rsid w:val="7490328C"/>
    <w:rsid w:val="74A30951"/>
    <w:rsid w:val="74E27C24"/>
    <w:rsid w:val="74E522B4"/>
    <w:rsid w:val="74F160B9"/>
    <w:rsid w:val="75313F71"/>
    <w:rsid w:val="75490060"/>
    <w:rsid w:val="754F7596"/>
    <w:rsid w:val="7553467E"/>
    <w:rsid w:val="758D5C48"/>
    <w:rsid w:val="75A4241A"/>
    <w:rsid w:val="75C86E1A"/>
    <w:rsid w:val="75C94940"/>
    <w:rsid w:val="75D3741A"/>
    <w:rsid w:val="75F2196E"/>
    <w:rsid w:val="76085468"/>
    <w:rsid w:val="76312963"/>
    <w:rsid w:val="763617E2"/>
    <w:rsid w:val="763716B2"/>
    <w:rsid w:val="76A1458D"/>
    <w:rsid w:val="76C969A1"/>
    <w:rsid w:val="76DD5309"/>
    <w:rsid w:val="76F3045F"/>
    <w:rsid w:val="76FA67CF"/>
    <w:rsid w:val="77277B95"/>
    <w:rsid w:val="77611CC7"/>
    <w:rsid w:val="776C7C79"/>
    <w:rsid w:val="77725362"/>
    <w:rsid w:val="777717B3"/>
    <w:rsid w:val="77980A6E"/>
    <w:rsid w:val="77B67FC3"/>
    <w:rsid w:val="77EB0615"/>
    <w:rsid w:val="780941F0"/>
    <w:rsid w:val="78126F66"/>
    <w:rsid w:val="781C169F"/>
    <w:rsid w:val="78263477"/>
    <w:rsid w:val="786001C2"/>
    <w:rsid w:val="786537A5"/>
    <w:rsid w:val="78B35097"/>
    <w:rsid w:val="79022643"/>
    <w:rsid w:val="796B00AF"/>
    <w:rsid w:val="797C68A9"/>
    <w:rsid w:val="79932A97"/>
    <w:rsid w:val="79BF4647"/>
    <w:rsid w:val="79BF7AEC"/>
    <w:rsid w:val="79E36C5F"/>
    <w:rsid w:val="79ED369C"/>
    <w:rsid w:val="7A093FF2"/>
    <w:rsid w:val="7A146E3B"/>
    <w:rsid w:val="7A2C0AE0"/>
    <w:rsid w:val="7A3B2499"/>
    <w:rsid w:val="7A5D5165"/>
    <w:rsid w:val="7A824BA2"/>
    <w:rsid w:val="7ABC5AF6"/>
    <w:rsid w:val="7B024B7C"/>
    <w:rsid w:val="7B143A50"/>
    <w:rsid w:val="7B340AAD"/>
    <w:rsid w:val="7B382A9A"/>
    <w:rsid w:val="7B520301"/>
    <w:rsid w:val="7B7528E0"/>
    <w:rsid w:val="7C0B2CCB"/>
    <w:rsid w:val="7C0B7A60"/>
    <w:rsid w:val="7C271B08"/>
    <w:rsid w:val="7C2D0723"/>
    <w:rsid w:val="7C35307A"/>
    <w:rsid w:val="7C6416BD"/>
    <w:rsid w:val="7C662EE9"/>
    <w:rsid w:val="7C7F7CCE"/>
    <w:rsid w:val="7CC81541"/>
    <w:rsid w:val="7D0D0F35"/>
    <w:rsid w:val="7D3E2245"/>
    <w:rsid w:val="7D3F41FD"/>
    <w:rsid w:val="7D6518CC"/>
    <w:rsid w:val="7D676C50"/>
    <w:rsid w:val="7DD00E8B"/>
    <w:rsid w:val="7DEA02BE"/>
    <w:rsid w:val="7DF10ED8"/>
    <w:rsid w:val="7E284159"/>
    <w:rsid w:val="7E2B43A4"/>
    <w:rsid w:val="7E2E3BC7"/>
    <w:rsid w:val="7E5133C1"/>
    <w:rsid w:val="7E5C0773"/>
    <w:rsid w:val="7E7062A0"/>
    <w:rsid w:val="7E9B156F"/>
    <w:rsid w:val="7EFD50AE"/>
    <w:rsid w:val="7EFE2C9C"/>
    <w:rsid w:val="7F0563C5"/>
    <w:rsid w:val="7F136DA3"/>
    <w:rsid w:val="7F247C2D"/>
    <w:rsid w:val="7F4F782B"/>
    <w:rsid w:val="7F730E17"/>
    <w:rsid w:val="7F7A3A66"/>
    <w:rsid w:val="7FA501CC"/>
    <w:rsid w:val="7FA929DC"/>
    <w:rsid w:val="7FAE52D2"/>
    <w:rsid w:val="7FBA291A"/>
    <w:rsid w:val="7FCB7C32"/>
    <w:rsid w:val="7FF57CB3"/>
    <w:rsid w:val="7FF676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right="200" w:rightChars="200"/>
      <w:jc w:val="both"/>
    </w:pPr>
    <w:rPr>
      <w:rFonts w:ascii="Times New Roman" w:hAnsi="Times New Roman" w:eastAsia="Times New Roman" w:cstheme="minorBidi"/>
      <w:kern w:val="2"/>
      <w:sz w:val="24"/>
      <w:szCs w:val="22"/>
      <w:lang w:val="en-US" w:eastAsia="zh-CN" w:bidi="ar-SA"/>
    </w:rPr>
  </w:style>
  <w:style w:type="paragraph" w:styleId="2">
    <w:name w:val="heading 1"/>
    <w:basedOn w:val="1"/>
    <w:next w:val="1"/>
    <w:qFormat/>
    <w:uiPriority w:val="9"/>
    <w:pPr>
      <w:keepNext/>
      <w:keepLines/>
      <w:snapToGrid w:val="0"/>
      <w:ind w:right="480"/>
      <w:outlineLvl w:val="0"/>
    </w:pPr>
    <w:rPr>
      <w:rFonts w:eastAsia="微软雅黑" w:cs="Times New Roman"/>
      <w:b/>
      <w:bCs/>
      <w:color w:val="1A1A1A"/>
      <w:kern w:val="44"/>
      <w:sz w:val="36"/>
      <w:szCs w:val="24"/>
    </w:rPr>
  </w:style>
  <w:style w:type="paragraph" w:styleId="3">
    <w:name w:val="heading 2"/>
    <w:basedOn w:val="1"/>
    <w:next w:val="1"/>
    <w:link w:val="29"/>
    <w:unhideWhenUsed/>
    <w:qFormat/>
    <w:uiPriority w:val="9"/>
    <w:pPr>
      <w:keepNext/>
      <w:keepLines/>
      <w:spacing w:line="408" w:lineRule="auto"/>
      <w:ind w:right="480"/>
      <w:jc w:val="left"/>
      <w:outlineLvl w:val="1"/>
    </w:pPr>
    <w:rPr>
      <w:rFonts w:eastAsiaTheme="majorEastAsia" w:cstheme="majorBidi"/>
      <w:b/>
      <w:bCs/>
      <w:color w:val="1A1A1A"/>
      <w:sz w:val="30"/>
      <w:szCs w:val="32"/>
    </w:rPr>
  </w:style>
  <w:style w:type="paragraph" w:styleId="4">
    <w:name w:val="heading 3"/>
    <w:basedOn w:val="1"/>
    <w:next w:val="1"/>
    <w:link w:val="28"/>
    <w:semiHidden/>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6"/>
    <w:basedOn w:val="1"/>
    <w:next w:val="1"/>
    <w:unhideWhenUsed/>
    <w:qFormat/>
    <w:uiPriority w:val="9"/>
    <w:pPr>
      <w:keepNext/>
      <w:keepLines/>
      <w:spacing w:line="408" w:lineRule="auto"/>
      <w:jc w:val="left"/>
      <w:outlineLvl w:val="5"/>
    </w:pPr>
    <w:rPr>
      <w:rFonts w:asciiTheme="majorHAnsi" w:hAnsiTheme="majorHAnsi" w:eastAsiaTheme="majorEastAsia" w:cstheme="majorBidi"/>
      <w:b/>
      <w:bCs/>
      <w:color w:val="1A1A1A"/>
      <w:sz w:val="22"/>
      <w:szCs w:val="24"/>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7">
    <w:name w:val="annotation text"/>
    <w:basedOn w:val="1"/>
    <w:link w:val="26"/>
    <w:semiHidden/>
    <w:unhideWhenUsed/>
    <w:qFormat/>
    <w:uiPriority w:val="99"/>
    <w:pPr>
      <w:jc w:val="left"/>
    </w:pPr>
  </w:style>
  <w:style w:type="paragraph" w:styleId="8">
    <w:name w:val="footer"/>
    <w:basedOn w:val="1"/>
    <w:link w:val="21"/>
    <w:unhideWhenUsed/>
    <w:qFormat/>
    <w:uiPriority w:val="99"/>
    <w:pPr>
      <w:tabs>
        <w:tab w:val="center" w:pos="4153"/>
        <w:tab w:val="right" w:pos="8306"/>
      </w:tabs>
      <w:snapToGrid w:val="0"/>
      <w:jc w:val="left"/>
    </w:pPr>
    <w:rPr>
      <w:sz w:val="18"/>
      <w:szCs w:val="18"/>
    </w:rPr>
  </w:style>
  <w:style w:type="paragraph" w:styleId="9">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Normal (Web)"/>
    <w:basedOn w:val="1"/>
    <w:semiHidden/>
    <w:unhideWhenUsed/>
    <w:qFormat/>
    <w:uiPriority w:val="99"/>
    <w:pPr>
      <w:spacing w:beforeAutospacing="1" w:afterAutospacing="1"/>
      <w:ind w:right="0"/>
      <w:jc w:val="left"/>
    </w:pPr>
    <w:rPr>
      <w:rFonts w:cs="Times New Roman"/>
      <w:kern w:val="0"/>
    </w:rPr>
  </w:style>
  <w:style w:type="paragraph" w:styleId="11">
    <w:name w:val="Title"/>
    <w:basedOn w:val="1"/>
    <w:next w:val="1"/>
    <w:qFormat/>
    <w:uiPriority w:val="10"/>
    <w:pPr>
      <w:spacing w:line="480" w:lineRule="auto"/>
      <w:jc w:val="center"/>
      <w:outlineLvl w:val="0"/>
    </w:pPr>
    <w:rPr>
      <w:rFonts w:asciiTheme="majorHAnsi" w:hAnsiTheme="majorHAnsi" w:eastAsiaTheme="majorEastAsia" w:cstheme="majorBidi"/>
      <w:b/>
      <w:bCs/>
      <w:sz w:val="48"/>
      <w:szCs w:val="32"/>
    </w:rPr>
  </w:style>
  <w:style w:type="paragraph" w:styleId="12">
    <w:name w:val="annotation subject"/>
    <w:basedOn w:val="7"/>
    <w:next w:val="7"/>
    <w:link w:val="27"/>
    <w:semiHidden/>
    <w:unhideWhenUsed/>
    <w:qFormat/>
    <w:uiPriority w:val="99"/>
    <w:rPr>
      <w:b/>
      <w:bCs/>
    </w:rPr>
  </w:style>
  <w:style w:type="table" w:styleId="14">
    <w:name w:val="Table Grid"/>
    <w:basedOn w:val="1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Emphasis"/>
    <w:basedOn w:val="15"/>
    <w:qFormat/>
    <w:uiPriority w:val="20"/>
    <w:rPr>
      <w:i/>
    </w:rPr>
  </w:style>
  <w:style w:type="character" w:styleId="18">
    <w:name w:val="annotation reference"/>
    <w:basedOn w:val="15"/>
    <w:semiHidden/>
    <w:unhideWhenUsed/>
    <w:qFormat/>
    <w:uiPriority w:val="99"/>
    <w:rPr>
      <w:sz w:val="21"/>
      <w:szCs w:val="21"/>
    </w:rPr>
  </w:style>
  <w:style w:type="character" w:styleId="19">
    <w:name w:val="HTML Cite"/>
    <w:basedOn w:val="15"/>
    <w:semiHidden/>
    <w:unhideWhenUsed/>
    <w:qFormat/>
    <w:uiPriority w:val="99"/>
    <w:rPr>
      <w:i/>
    </w:rPr>
  </w:style>
  <w:style w:type="character" w:customStyle="1" w:styleId="20">
    <w:name w:val="Header Char"/>
    <w:basedOn w:val="15"/>
    <w:link w:val="9"/>
    <w:semiHidden/>
    <w:qFormat/>
    <w:uiPriority w:val="99"/>
    <w:rPr>
      <w:sz w:val="18"/>
      <w:szCs w:val="18"/>
    </w:rPr>
  </w:style>
  <w:style w:type="character" w:customStyle="1" w:styleId="21">
    <w:name w:val="Footer Char"/>
    <w:basedOn w:val="15"/>
    <w:link w:val="8"/>
    <w:semiHidden/>
    <w:qFormat/>
    <w:uiPriority w:val="99"/>
    <w:rPr>
      <w:sz w:val="18"/>
      <w:szCs w:val="18"/>
    </w:rPr>
  </w:style>
  <w:style w:type="paragraph" w:styleId="22">
    <w:name w:val="List Paragraph"/>
    <w:basedOn w:val="1"/>
    <w:qFormat/>
    <w:uiPriority w:val="34"/>
    <w:pPr>
      <w:ind w:firstLine="420" w:firstLineChars="200"/>
    </w:pPr>
  </w:style>
  <w:style w:type="paragraph" w:customStyle="1" w:styleId="23">
    <w:name w:val="paragraph"/>
    <w:basedOn w:val="1"/>
    <w:qFormat/>
    <w:uiPriority w:val="0"/>
    <w:pPr>
      <w:widowControl/>
      <w:spacing w:before="100" w:beforeAutospacing="1" w:after="100" w:afterAutospacing="1" w:line="240" w:lineRule="auto"/>
      <w:ind w:right="0" w:rightChars="0"/>
      <w:jc w:val="left"/>
    </w:pPr>
    <w:rPr>
      <w:rFonts w:ascii="宋体" w:hAnsi="宋体" w:eastAsia="宋体" w:cs="宋体"/>
      <w:kern w:val="0"/>
      <w:szCs w:val="24"/>
    </w:rPr>
  </w:style>
  <w:style w:type="character" w:customStyle="1" w:styleId="24">
    <w:name w:val="Heading 4 Char"/>
    <w:basedOn w:val="15"/>
    <w:link w:val="5"/>
    <w:semiHidden/>
    <w:qFormat/>
    <w:uiPriority w:val="9"/>
    <w:rPr>
      <w:rFonts w:asciiTheme="majorHAnsi" w:hAnsiTheme="majorHAnsi" w:eastAsiaTheme="majorEastAsia" w:cstheme="majorBidi"/>
      <w:b/>
      <w:bCs/>
      <w:kern w:val="2"/>
      <w:sz w:val="28"/>
      <w:szCs w:val="28"/>
    </w:rPr>
  </w:style>
  <w:style w:type="paragraph" w:customStyle="1" w:styleId="25">
    <w:name w:val="修订1"/>
    <w:hidden/>
    <w:semiHidden/>
    <w:qFormat/>
    <w:uiPriority w:val="99"/>
    <w:rPr>
      <w:rFonts w:ascii="Times New Roman" w:hAnsi="Times New Roman" w:eastAsia="Times New Roman" w:cstheme="minorBidi"/>
      <w:kern w:val="2"/>
      <w:sz w:val="24"/>
      <w:szCs w:val="22"/>
      <w:lang w:val="en-US" w:eastAsia="zh-CN" w:bidi="ar-SA"/>
    </w:rPr>
  </w:style>
  <w:style w:type="character" w:customStyle="1" w:styleId="26">
    <w:name w:val="Comment Text Char"/>
    <w:basedOn w:val="15"/>
    <w:link w:val="7"/>
    <w:semiHidden/>
    <w:qFormat/>
    <w:uiPriority w:val="99"/>
    <w:rPr>
      <w:rFonts w:ascii="Times New Roman" w:hAnsi="Times New Roman" w:eastAsia="Times New Roman"/>
      <w:kern w:val="2"/>
      <w:sz w:val="24"/>
      <w:szCs w:val="22"/>
    </w:rPr>
  </w:style>
  <w:style w:type="character" w:customStyle="1" w:styleId="27">
    <w:name w:val="Comment Subject Char"/>
    <w:basedOn w:val="26"/>
    <w:link w:val="12"/>
    <w:semiHidden/>
    <w:qFormat/>
    <w:uiPriority w:val="99"/>
    <w:rPr>
      <w:rFonts w:ascii="Times New Roman" w:hAnsi="Times New Roman" w:eastAsia="Times New Roman"/>
      <w:b/>
      <w:bCs/>
      <w:kern w:val="2"/>
      <w:sz w:val="24"/>
      <w:szCs w:val="22"/>
    </w:rPr>
  </w:style>
  <w:style w:type="character" w:customStyle="1" w:styleId="28">
    <w:name w:val="Heading 3 Char"/>
    <w:basedOn w:val="15"/>
    <w:link w:val="4"/>
    <w:semiHidden/>
    <w:qFormat/>
    <w:uiPriority w:val="9"/>
    <w:rPr>
      <w:rFonts w:ascii="Times New Roman" w:hAnsi="Times New Roman" w:eastAsia="Times New Roman"/>
      <w:b/>
      <w:bCs/>
      <w:kern w:val="2"/>
      <w:sz w:val="32"/>
      <w:szCs w:val="32"/>
    </w:rPr>
  </w:style>
  <w:style w:type="character" w:customStyle="1" w:styleId="29">
    <w:name w:val="Heading 2 Char"/>
    <w:basedOn w:val="15"/>
    <w:link w:val="3"/>
    <w:qFormat/>
    <w:uiPriority w:val="9"/>
    <w:rPr>
      <w:rFonts w:eastAsiaTheme="majorEastAsia" w:cstheme="majorBidi"/>
      <w:b/>
      <w:bCs/>
      <w:color w:val="1A1A1A"/>
      <w:kern w:val="2"/>
      <w:sz w:val="30"/>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emf"/><Relationship Id="rId34" Type="http://schemas.openxmlformats.org/officeDocument/2006/relationships/oleObject" Target="embeddings/oleObject11.bin"/><Relationship Id="rId33" Type="http://schemas.openxmlformats.org/officeDocument/2006/relationships/image" Target="media/image12.emf"/><Relationship Id="rId32" Type="http://schemas.openxmlformats.org/officeDocument/2006/relationships/oleObject" Target="embeddings/oleObject10.bin"/><Relationship Id="rId31" Type="http://schemas.openxmlformats.org/officeDocument/2006/relationships/image" Target="media/image11.emf"/><Relationship Id="rId30" Type="http://schemas.openxmlformats.org/officeDocument/2006/relationships/oleObject" Target="embeddings/oleObject9.bin"/><Relationship Id="rId3" Type="http://schemas.openxmlformats.org/officeDocument/2006/relationships/footnotes" Target="footnotes.xml"/><Relationship Id="rId29" Type="http://schemas.openxmlformats.org/officeDocument/2006/relationships/image" Target="media/image10.emf"/><Relationship Id="rId28" Type="http://schemas.openxmlformats.org/officeDocument/2006/relationships/oleObject" Target="embeddings/oleObject8.bin"/><Relationship Id="rId27" Type="http://schemas.openxmlformats.org/officeDocument/2006/relationships/image" Target="media/image9.emf"/><Relationship Id="rId26" Type="http://schemas.openxmlformats.org/officeDocument/2006/relationships/oleObject" Target="embeddings/oleObject7.bin"/><Relationship Id="rId25" Type="http://schemas.openxmlformats.org/officeDocument/2006/relationships/image" Target="media/image8.png"/><Relationship Id="rId24" Type="http://schemas.openxmlformats.org/officeDocument/2006/relationships/image" Target="media/image7.wmf"/><Relationship Id="rId23" Type="http://schemas.openxmlformats.org/officeDocument/2006/relationships/oleObject" Target="embeddings/oleObject6.bin"/><Relationship Id="rId22" Type="http://schemas.openxmlformats.org/officeDocument/2006/relationships/image" Target="media/image6.wmf"/><Relationship Id="rId21" Type="http://schemas.openxmlformats.org/officeDocument/2006/relationships/oleObject" Target="embeddings/oleObject5.bin"/><Relationship Id="rId20" Type="http://schemas.openxmlformats.org/officeDocument/2006/relationships/image" Target="media/image5.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4.wmf"/><Relationship Id="rId17" Type="http://schemas.openxmlformats.org/officeDocument/2006/relationships/oleObject" Target="embeddings/oleObject3.bin"/><Relationship Id="rId16" Type="http://schemas.openxmlformats.org/officeDocument/2006/relationships/image" Target="media/image3.wmf"/><Relationship Id="rId15" Type="http://schemas.openxmlformats.org/officeDocument/2006/relationships/oleObject" Target="embeddings/oleObject2.bin"/><Relationship Id="rId14" Type="http://schemas.openxmlformats.org/officeDocument/2006/relationships/image" Target="media/image2.wmf"/><Relationship Id="rId13" Type="http://schemas.openxmlformats.org/officeDocument/2006/relationships/oleObject" Target="embeddings/oleObject1.bin"/><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17</Pages>
  <Words>4080</Words>
  <Characters>23215</Characters>
  <Lines>196</Lines>
  <Paragraphs>55</Paragraphs>
  <TotalTime>65</TotalTime>
  <ScaleCrop>false</ScaleCrop>
  <LinksUpToDate>false</LinksUpToDate>
  <CharactersWithSpaces>27073</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2022-02-26T02:27:00Z</dcterms:created>
  <dc:creator>Tencent</dc:creator>
  <cp:lastModifiedBy>木乃伊的心在跳</cp:lastModifiedBy>
  <dcterms:modified xsi:type="dcterms:W3CDTF">2022-05-09T02:33:01Z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04BE6448481F48079AC5176BC9C00F01</vt:lpwstr>
  </property>
</Properties>
</file>