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br w:type="textWrapping"/>
      </w:r>
      <w:r w:rsidDel="00000000" w:rsidR="00000000" w:rsidRPr="00000000">
        <w:rPr>
          <w:rFonts w:ascii="Amatic SC" w:cs="Amatic SC" w:eastAsia="Amatic SC" w:hAnsi="Amatic SC"/>
          <w:sz w:val="66"/>
          <w:szCs w:val="66"/>
          <w:rtl w:val="0"/>
        </w:rPr>
        <w:t xml:space="preserve">Short Story Terminology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Nunito" w:cs="Nunito" w:eastAsia="Nunito" w:hAnsi="Nunito"/>
          <w:b w:val="1"/>
          <w:bCs w:val="1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LITERARY DEVICES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Frame Story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Leads readers from a first story into another, smaller one (or several ones) within it. 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color w:val="191919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Theme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191919"/>
          <w:rtl w:val="0"/>
        </w:rPr>
        <w:t xml:space="preserve">The central or universal idea of a piece of fiction; it is a perception about life and the human condition.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color w:val="191919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Symbols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191919"/>
          <w:rtl w:val="0"/>
        </w:rPr>
        <w:t xml:space="preserve">Characters, settings, images, or other motifs that represent bigger ideas. Authors often use symbols (or symbolism) to give their work more meaning and to make a story be about more than the events it describes.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color w:val="191919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91919"/>
          <w:rtl w:val="0"/>
        </w:rPr>
        <w:t xml:space="preserve">Motif</w:t>
      </w:r>
      <w:r w:rsidDel="00000000" w:rsidR="00000000" w:rsidRPr="00000000">
        <w:rPr>
          <w:rFonts w:ascii="Nunito" w:cs="Nunito" w:eastAsia="Nunito" w:hAnsi="Nunito"/>
          <w:color w:val="191919"/>
          <w:rtl w:val="0"/>
        </w:rPr>
        <w:t xml:space="preserve">: A recurring symbol that has significance within a story.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91919"/>
          <w:rtl w:val="0"/>
        </w:rPr>
        <w:t xml:space="preserve">Setting</w:t>
      </w:r>
      <w:r w:rsidDel="00000000" w:rsidR="00000000" w:rsidRPr="00000000">
        <w:rPr>
          <w:rFonts w:ascii="Nunito" w:cs="Nunito" w:eastAsia="Nunito" w:hAnsi="Nunito"/>
          <w:color w:val="191919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 time and place in which it occurs. Elements of setting may include the physical, psychological, cultural, or historical background against which the story takes place.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Tone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The author’s attitude toward the subject.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Mood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How we are made to feel as readers, or the emotion evoked by the author.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Flashback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A literary device by which a work presents material that occurred prior to the opening scene.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Foreshadowing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The presentation of material in a work in such a way that later events are prepared for. The purpose of foreshadowing is to prepare the reader or viewer for action to come.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Verbal irony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unito" w:cs="Nunito" w:eastAsia="Nunito" w:hAnsi="Nunito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words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literally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state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opposite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of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writer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'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or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speaker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'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true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meaning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sarcasm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)‏.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Situational Irony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Events turn out the opposite of what was expected. What the characters and audience think should happen isn't what eventually happens.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Dramatic irony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The audience perceives something that a character in the story does not know.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Satire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A literary work in which human vice or folly is attacked through irony, mockery, or wit. Used to attack or expose folly (foolish behavior), vice (immoral behavior), or stupidity.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Allusion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A reference within a literary work to another work of literature, art, or real event. The reference is often brief and implied.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Paradox: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paradox is a statement or situation that appears self-contradictory, absurd, or impossible, but upon deeper inspection actually reveals a truth, insight, or valid logical premise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firstLine="0"/>
        <w:rPr>
          <w:rFonts w:ascii="Nunito" w:cs="Nunito" w:eastAsia="Nunito" w:hAnsi="Nunito"/>
          <w:b w:val="1"/>
          <w:bCs w:val="1"/>
          <w:u w:val="single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NARRATION AND POINT OF VIEW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Narrator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The teller of a story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Reliable narrator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The reader accepts the statements of fact and judgment without serious question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Unreliable narrator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The reader questions or seeks to qualify the statements of fact and judgment.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Point of View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Refers to who is telling or narrating a story (the story is not always told from the POV of the author). A story can be told from the first person, second person or third person point of view.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First person: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 main character is telling the story ("I," "me" or "we")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Second person: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Narrator is speaking to the reader ("you," "your," and "yours")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Third person: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External narrator telling the story ("he," "she," "it," or "they")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br w:type="textWrapping"/>
        <w:t xml:space="preserve">CHARACTERS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Characterization: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 description of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color w:val="000000"/>
          <w:sz w:val="22"/>
          <w:szCs w:val="22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character’s physical traits (how a character looks)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color w:val="000000"/>
          <w:sz w:val="22"/>
          <w:szCs w:val="22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character’s personality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color w:val="000000"/>
          <w:sz w:val="22"/>
          <w:szCs w:val="22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character’s thoughts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" w:cs="Nunito" w:eastAsia="Nunito" w:hAnsi="Nunito"/>
          <w:color w:val="000000"/>
          <w:sz w:val="22"/>
          <w:szCs w:val="22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character’s actions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Two types of characterization: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Indirect characterization: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Describes a character through their thoughts, actions, speech, and dialogue.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Direct characterization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Describes the character through their physical description, line of work, or passions and pursuits.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Dynamic character: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character which changes during the course of a story or novel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Static character: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character who remains primarily the same during the course of a story or novel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Round character: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well developed character who demonstrates varied and sometimes contradictory traits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Flat character: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two-dimensional and relatively uncomplicated character who does not change throughout a story or novel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Stock Character: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special kind of flat character who is instantly recognizable (stereotypical)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Protagonist: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 story’s main character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Antagonist: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character in opposition of the protagonist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Secondary Characters: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Sidekick/loyal friend, one who furthers the plot, the wise counsel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Character Foil: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secondary character who contrasts with the protagonist in order to highlight aspects of the main character’s personality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CONFLICT</w:t>
      </w:r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Conflict: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The opposition of persons or forces that brings about dramatic action central to the plot of a story.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Character versus Character: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conflict between one character and another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Character versus Nature: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conflict between a character and a force of nature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Character versus Society: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 conflict between a character and the values, beliefs, and/or customs of a </w:t>
        <w:br w:type="textWrapping"/>
        <w:tab/>
        <w:t xml:space="preserve">larger group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0" w:firstLine="72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Character versus Self: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An internal psychological conflict within a character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Nunito" w:cs="Nunito" w:eastAsia="Nunito" w:hAnsi="Nunito"/>
          <w:b w:val="1"/>
          <w:bCs w:val="1"/>
          <w:u w:val="single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PLOT ELEMENTS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Exposition: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Background information about the protagonist in normal life.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Inciting Incident (Conflict):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Something happens that creates a problem for the protagonist.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Rising Action: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 sequence of events that happen as a result of the conflict. These usually get more intense over time.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Climax: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The most exciting part of the story; the turning point.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Falling Action: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The events that happen after the climax.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Denouement (Resolution):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Loose ends tied up/ a peek at how things have changed.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88240</wp:posOffset>
            </wp:positionV>
            <wp:extent cx="4624388" cy="273622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736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576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matic SC">
    <w:embedRegular w:fontKey="{00000000-0000-0000-0000-000000000000}" r:id="rId5" w:subsetted="0"/>
    <w:embedBold w:fontKey="{00000000-0000-0000-0000-000000000000}" r:id="rId6" w:subsetted="0"/>
  </w:font>
  <w:font w:name="Poppi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Roboto Condensed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>
        <w:rFonts w:ascii="Nunito" w:cs="Nunito" w:eastAsia="Nunito" w:hAnsi="Nunito"/>
        <w:rtl w:val="0"/>
      </w:rPr>
      <w:t xml:space="preserve">Name:</w:t>
    </w:r>
    <w:r w:rsidDel="00000000" w:rsidR="00000000" w:rsidRPr="00000000">
      <w:rPr>
        <w:rtl w:val="0"/>
      </w:rPr>
      <w:t xml:space="preserve"> 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Roboto Condensed Light" w:cs="Roboto Condensed Light" w:eastAsia="Roboto Condensed Light" w:hAnsi="Roboto Condensed Light"/>
        <w:b w:val="0"/>
        <w:bCs w:val="0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CondensedLight-regular.ttf"/><Relationship Id="rId10" Type="http://schemas.openxmlformats.org/officeDocument/2006/relationships/font" Target="fonts/Poppins-boldItalic.ttf"/><Relationship Id="rId13" Type="http://schemas.openxmlformats.org/officeDocument/2006/relationships/font" Target="fonts/RobotoCondensedLight-italic.ttf"/><Relationship Id="rId12" Type="http://schemas.openxmlformats.org/officeDocument/2006/relationships/font" Target="fonts/RobotoCondensedLight-bold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Poppins-italic.ttf"/><Relationship Id="rId14" Type="http://schemas.openxmlformats.org/officeDocument/2006/relationships/font" Target="fonts/RobotoCondensedLight-boldItalic.ttf"/><Relationship Id="rId5" Type="http://schemas.openxmlformats.org/officeDocument/2006/relationships/font" Target="fonts/AmaticSC-regular.ttf"/><Relationship Id="rId6" Type="http://schemas.openxmlformats.org/officeDocument/2006/relationships/font" Target="fonts/AmaticSC-bold.ttf"/><Relationship Id="rId7" Type="http://schemas.openxmlformats.org/officeDocument/2006/relationships/font" Target="fonts/Poppins-regular.ttf"/><Relationship Id="rId8" Type="http://schemas.openxmlformats.org/officeDocument/2006/relationships/font" Target="fonts/Poppi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