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60" w:line="276"/>
        <w:jc w:val="center"/>
      </w:pPr>
      <w:r>
        <w:rPr>
          <w:rFonts w:ascii="Calibri" w:cs="Calibri" w:eastAsia="Calibri" w:hAnsi="Calibri"/>
          <w:b/>
          <w:bCs/>
          <w:color w:val="1F3864"/>
          <w:sz w:val="28"/>
          <w:szCs w:val="28"/>
        </w:rPr>
        <w:t xml:space="preserve">PROJECT BLUEPRINT</w:t>
      </w:r>
    </w:p>
    <w:p>
      <w:pPr>
        <w:spacing w:after="100" w:line="276"/>
        <w:jc w:val="center"/>
      </w:pPr>
      <w:r>
        <w:rPr>
          <w:rFonts w:ascii="Calibri" w:cs="Calibri" w:eastAsia="Calibri" w:hAnsi="Calibri"/>
          <w:b/>
          <w:bCs/>
          <w:color w:val="1F3864"/>
          <w:sz w:val="44"/>
          <w:szCs w:val="44"/>
        </w:rPr>
        <w:t xml:space="preserve">Two Research Projects for IEEE ICCE 2027</w:t>
      </w:r>
    </w:p>
    <w:p>
      <w:pPr>
        <w:spacing w:after="500" w:line="276"/>
        <w:jc w:val="center"/>
      </w:pPr>
      <w:r>
        <w:rPr>
          <w:rFonts w:ascii="Calibri" w:cs="Calibri" w:eastAsia="Calibri" w:hAnsi="Calibri"/>
          <w:color w:val="404040"/>
          <w:sz w:val="24"/>
          <w:szCs w:val="24"/>
        </w:rPr>
        <w:t xml:space="preserve">Special Session SS-02 — Cyber Resilience for Trustworthy Connected Consumer Mobility</w:t>
      </w:r>
    </w:p>
    <w:p>
      <w:pPr>
        <w:pBdr>
          <w:bottom w:val="single" w:color="BFBFBF" w:sz="6"/>
        </w:pBdr>
        <w:spacing w:after="120" w:before="120"/>
      </w:pPr>
    </w:p>
    <w:p>
      <w:pPr>
        <w:spacing w:after="60" w:line="276"/>
        <w:jc w:val="center"/>
      </w:pPr>
      <w:r>
        <w:rPr>
          <w:rFonts w:ascii="Calibri" w:cs="Calibri" w:eastAsia="Calibri" w:hAnsi="Calibri"/>
          <w:b/>
          <w:bCs/>
          <w:sz w:val="24"/>
          <w:szCs w:val="24"/>
        </w:rPr>
        <w:t xml:space="preserve">Project 1 — Payload Shortcuts in the ROAD Masquerade Benchmark</w:t>
      </w:r>
    </w:p>
    <w:p>
      <w:pPr>
        <w:spacing w:after="300" w:line="276"/>
        <w:jc w:val="center"/>
      </w:pPr>
      <w:r>
        <w:rPr>
          <w:rFonts w:ascii="Calibri" w:cs="Calibri" w:eastAsia="Calibri" w:hAnsi="Calibri"/>
          <w:b/>
          <w:bCs/>
          <w:sz w:val="24"/>
          <w:szCs w:val="24"/>
        </w:rPr>
        <w:t xml:space="preserve">Project 2 — Cross-Campaign Generalisation of MAVLink Intrusion Detection</w:t>
      </w:r>
    </w:p>
    <w:p>
      <w:pPr>
        <w:pBdr>
          <w:bottom w:val="single" w:color="BFBFBF" w:sz="6"/>
        </w:pBdr>
        <w:spacing w:after="120" w:before="120"/>
      </w:pPr>
    </w:p>
    <w:p>
      <w:pPr>
        <w:spacing w:after="40" w:line="276"/>
        <w:jc w:val="center"/>
      </w:pPr>
      <w:r>
        <w:rPr>
          <w:rFonts w:ascii="Calibri" w:cs="Calibri" w:eastAsia="Calibri" w:hAnsi="Calibri"/>
          <w:sz w:val="20"/>
          <w:szCs w:val="20"/>
        </w:rPr>
        <w:t xml:space="preserve">Prepared: 3 October 2026</w:t>
      </w:r>
    </w:p>
    <w:p>
      <w:pPr>
        <w:spacing w:after="40" w:line="276"/>
        <w:jc w:val="center"/>
      </w:pPr>
      <w:r>
        <w:rPr>
          <w:rFonts w:ascii="Calibri" w:cs="Calibri" w:eastAsia="Calibri" w:hAnsi="Calibri"/>
          <w:b/>
          <w:bCs/>
          <w:color w:val="C00000"/>
          <w:sz w:val="20"/>
          <w:szCs w:val="20"/>
        </w:rPr>
        <w:t xml:space="preserve">Submission deadline: 15 October 2026  (12 days)</w:t>
      </w:r>
    </w:p>
    <w:p>
      <w:pPr>
        <w:spacing w:after="40" w:line="276"/>
        <w:jc w:val="center"/>
      </w:pPr>
      <w:r>
        <w:rPr>
          <w:rFonts w:ascii="Calibri" w:cs="Calibri" w:eastAsia="Calibri" w:hAnsi="Calibri"/>
          <w:sz w:val="20"/>
          <w:szCs w:val="20"/>
        </w:rPr>
        <w:t xml:space="preserve">Target: IEEE ICCE 2027, 8–11 January 2027, Las Vegas, NV, USA</w:t>
      </w:r>
    </w:p>
    <w:p>
      <w:pPr>
        <w:spacing w:after="600" w:line="276"/>
        <w:jc w:val="center"/>
      </w:pPr>
      <w:r>
        <w:rPr>
          <w:rFonts w:ascii="Calibri" w:cs="Calibri" w:eastAsia="Calibri" w:hAnsi="Calibri"/>
          <w:sz w:val="20"/>
          <w:szCs w:val="20"/>
        </w:rPr>
        <w:t xml:space="preserve">Publication: IEEE Xplore</w:t>
      </w:r>
    </w:p>
    <w:p>
      <w:pPr>
        <w:pBdr>
          <w:left w:val="single" w:color="2E7D32" w:sz="18"/>
        </w:pBdr>
        <w:shd w:fill="E2EFDA" w:val="clear"/>
        <w:spacing w:after="160" w:before="120" w:line="276"/>
        <w:ind w:left="140" w:right="140"/>
      </w:pPr>
      <w:r>
        <w:rPr>
          <w:rFonts w:ascii="Calibri" w:cs="Calibri" w:eastAsia="Calibri" w:hAnsi="Calibri"/>
          <w:b/>
          <w:bCs/>
          <w:sz w:val="20"/>
          <w:szCs w:val="20"/>
        </w:rPr>
        <w:t xml:space="preserve">PURPOSE OF THIS DOCUMENT  </w:t>
      </w:r>
      <w:r>
        <w:rPr>
          <w:rFonts w:ascii="Calibri" w:cs="Calibri" w:eastAsia="Calibri" w:hAnsi="Calibri"/>
          <w:sz w:val="20"/>
          <w:szCs w:val="20"/>
        </w:rPr>
        <w:t xml:space="preserve">This blueprint is written to be handed directly to an AI coding assistant. Every dataset URL, file format, command, function name and experiment is specified concretely. Where a fact could not be verified, it is marked UNVERIFIED and listed as a Day-1 check rather than guessed.</w:t>
      </w:r>
    </w:p>
    <w:p>
      <w:r>
        <w:br w:type="page"/>
      </w:r>
    </w:p>
    <w:p>
      <w:pPr>
        <w:pStyle w:val="Heading1"/>
        <w:spacing w:after="160"/>
      </w:pPr>
      <w:r>
        <w:t xml:space="preserve">Table of Contents</w:t>
      </w:r>
    </w:p>
    <w:p>
      <w:pPr>
        <w:spacing w:after="120" w:line="276"/>
      </w:pPr>
      <w:r>
        <w:rPr>
          <w:rFonts w:ascii="Calibri" w:cs="Calibri" w:eastAsia="Calibri" w:hAnsi="Calibri"/>
          <w:i/>
          <w:iCs/>
          <w:color w:val="808080"/>
          <w:sz w:val="18"/>
          <w:szCs w:val="18"/>
        </w:rPr>
        <w:t xml:space="preserve">If the contents below appear blank, open the file in Word and press Ctrl+A then F9 (Cmd+A, fn+F9 on Mac) to populate the table of contents. Word builds it from the document’s headings on demand.</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How to Use This Document</w:t>
      </w:r>
    </w:p>
    <w:p>
      <w:pPr>
        <w:spacing w:after="120" w:line="276"/>
      </w:pPr>
      <w:r>
        <w:rPr>
          <w:rFonts w:ascii="Calibri" w:cs="Calibri" w:eastAsia="Calibri" w:hAnsi="Calibri"/>
          <w:sz w:val="20"/>
          <w:szCs w:val="20"/>
        </w:rPr>
        <w:t xml:space="preserve">This document contains two complete, independent project blueprints. They share nothing except the target conference, so they can be built in parallel or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If you are…</w:t>
            </w:r>
          </w:p>
        </w:tc>
        <w:tc>
          <w:tcPr>
            <w:tcW w:type="dxa" w:w="67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Read this</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researcher deciding what to do</w:t>
            </w:r>
          </w:p>
        </w:tc>
        <w:tc>
          <w:tcPr>
            <w:tcW w:type="dxa" w:w="6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Part 0 (Conference Brief), then §2 and §5B of each project</w:t>
            </w:r>
          </w:p>
        </w:tc>
      </w:tr>
      <w:tr>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An AI coding assistant implementing Project 1</w:t>
            </w:r>
          </w:p>
        </w:tc>
        <w:tc>
          <w:tcPr>
            <w:tcW w:type="dxa" w:w="6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Part 0 §0.4 (conventions), then Part I §7, §8, §9, §10 in order</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An AI coding assistant implementing Project 2</w:t>
            </w:r>
          </w:p>
        </w:tc>
        <w:tc>
          <w:tcPr>
            <w:tcW w:type="dxa" w:w="6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Part 0 §0.4, then Part II §7, §8, §9, §10 in order</w:t>
            </w:r>
          </w:p>
        </w:tc>
      </w:tr>
      <w:tr>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Writing the paper</w:t>
            </w:r>
          </w:p>
        </w:tc>
        <w:tc>
          <w:tcPr>
            <w:tcW w:type="dxa" w:w="6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§11 (figures/tables) and §12 (paper outline) of the relevant part</w:t>
            </w:r>
          </w:p>
        </w:tc>
      </w:tr>
      <w:tr>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Checking whether this is still novel</w:t>
            </w:r>
          </w:p>
        </w:tc>
        <w:tc>
          <w:tcPr>
            <w:tcW w:type="dxa" w:w="6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§5B of each part, and re-run the listed queries</w:t>
            </w:r>
          </w:p>
        </w:tc>
      </w:tr>
    </w:tbl>
    <w:p>
      <w:pPr>
        <w:pStyle w:val="Heading2"/>
        <w:spacing w:after="140" w:before="280"/>
      </w:pPr>
      <w:r>
        <w:t xml:space="preserve">0.4  Conventions used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Marker</w:t>
            </w:r>
          </w:p>
        </w:tc>
        <w:tc>
          <w:tcPr>
            <w:tcW w:type="dxa" w:w="74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Meaning</w:t>
            </w:r>
          </w:p>
        </w:tc>
      </w:tr>
      <w:tr>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w:t>
            </w:r>
          </w:p>
        </w:tc>
        <w:tc>
          <w:tcPr>
            <w:tcW w:type="dxa" w:w="7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 fetched the page or record and read this value directly. Safe to rely on.</w:t>
            </w:r>
          </w:p>
        </w:tc>
      </w:tr>
      <w:tr>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UNVERIFIED</w:t>
            </w:r>
          </w:p>
        </w:tc>
        <w:tc>
          <w:tcPr>
            <w:tcW w:type="dxa" w:w="7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Seen only in a search snippet, or inferred. MUST be checked before use.</w:t>
            </w:r>
          </w:p>
        </w:tc>
      </w:tr>
      <w:tr>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ESTIMATE</w:t>
            </w:r>
          </w:p>
        </w:tc>
        <w:tc>
          <w:tcPr>
            <w:tcW w:type="dxa" w:w="7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judgement about time, size or outcome. Not a measured fact.</w:t>
            </w:r>
          </w:p>
        </w:tc>
      </w:tr>
      <w:tr>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DAY-1 CHECK</w:t>
            </w:r>
          </w:p>
        </w:tc>
        <w:tc>
          <w:tcPr>
            <w:tcW w:type="dxa" w:w="7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blocking dependency. If it fails, the plan changes. Do these first.</w:t>
            </w:r>
          </w:p>
        </w:tc>
      </w:tr>
    </w:tbl>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INTEGRITY  </w:t>
      </w:r>
      <w:r>
        <w:rPr>
          <w:rFonts w:ascii="Calibri" w:cs="Calibri" w:eastAsia="Calibri" w:hAnsi="Calibri"/>
          <w:sz w:val="20"/>
          <w:szCs w:val="20"/>
        </w:rPr>
        <w:t xml:space="preserve">No citation, dataset, repository, filename or number in this document was invented. Every arXiv ID was confirmed against arxiv.org; every repository against github.com; every dataset against its host record. Numbers that are expectations rather than measurements are labelled ESTIMATE.</w:t>
      </w:r>
    </w:p>
    <w:p>
      <w:r>
        <w:br w:type="page"/>
      </w:r>
    </w:p>
    <w:p>
      <w:pPr>
        <w:pStyle w:val="Heading1"/>
        <w:spacing w:after="180" w:before="360"/>
      </w:pPr>
      <w:r>
        <w:t xml:space="preserve">Part 0 — Conference Brief</w:t>
      </w:r>
    </w:p>
    <w:p>
      <w:pPr>
        <w:spacing w:after="120" w:line="276"/>
      </w:pPr>
      <w:r>
        <w:rPr>
          <w:rFonts w:ascii="Calibri" w:cs="Calibri" w:eastAsia="Calibri" w:hAnsi="Calibri"/>
          <w:sz w:val="20"/>
          <w:szCs w:val="20"/>
        </w:rPr>
        <w:t xml:space="preserve">All facts below were taken from icce.org/2027 and the SS-02 call for papers on 29 September – 3 October 2026.</w:t>
      </w:r>
    </w:p>
    <w:p>
      <w:pPr>
        <w:pStyle w:val="Heading2"/>
        <w:spacing w:after="140" w:before="280"/>
      </w:pPr>
      <w:r>
        <w:t xml:space="preserve">0.1  Venue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3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Conference</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45th International Conference on Consumer Electronics (ICCE 2027)</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Organiser</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Consumer Technology Society (CTSoc) — annual flagship conference</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Dates</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8–11 January 2027 (tutorials 8 Jan; oral and poster sessions from 9 Jan)</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Venue</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Tuscany Suites and Casino, Las Vegas, NV, USA — in person</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Co-location</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Held in conjunction with CES</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Theme</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“Human-Centric AI for Intelligent Living: Trustworthy, Sustainable, and Adaptive Consumer Technologies”</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Publication</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Conference proceedings, indexed in IEEE Xplore</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Journal path</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Outstanding papers may be invited to extend to IEEE Trans. Consumer Electronics or IEEE Consumer Electronics Magazine special issues (separate submission; acceptance here does not guarantee acceptance there)</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Submission system</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EDAS — https://edas.info/N35272</w:t>
            </w:r>
          </w:p>
        </w:tc>
      </w:tr>
    </w:tbl>
    <w:p>
      <w:pPr>
        <w:pStyle w:val="Heading2"/>
        <w:spacing w:after="140" w:before="280"/>
      </w:pPr>
      <w:r>
        <w:t xml:space="preserve">0.2  Target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3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Session</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SS-02 — Cyber Resilience for Trustworthy Connected Consumer Mobility</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Chair</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 Muhammad Baqer Mollah, University of Houston (mmollah@uh.edu)</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Co-chairs</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Kyu In Lee (klee49@uh.edu); Yunpeng Zhang (yzhang119@uh.edu); Lu Gao (lgao5@uh.edu) — all University of Houston</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Scope</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Trustworthy, resilient and privacy-preserving mobility systems that can anticipate, withstand, respond to and recover from cyber threats — connected vehicles, consumer drones and UAVs, electric and autonomous platforms, shared mobility services</w:t>
            </w:r>
          </w:p>
        </w:tc>
      </w:tr>
      <w:tr>
        <w:tc>
          <w:tcPr>
            <w:tcW w:type="dxa" w:w="2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Project 1 topic fit</w:t>
            </w:r>
          </w:p>
        </w:tc>
        <w:tc>
          <w:tcPr>
            <w:tcW w:type="dxa" w:w="7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Topic 17 “In-vehicle network security (ECU, CAN, ADAS, Automotive Ethernet)” and Topic 5 “AI-based intrusion and anomaly detections in mobility systems”</w:t>
            </w:r>
          </w:p>
        </w:tc>
      </w:tr>
      <w:tr>
        <w:tc>
          <w:tcPr>
            <w:tcW w:type="dxa" w:w="2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Project 2 topic fit</w:t>
            </w:r>
          </w:p>
        </w:tc>
        <w:tc>
          <w:tcPr>
            <w:tcW w:type="dxa" w:w="7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Topic 3 “Cyber security and resilience of unmanned aerial vehicles” and Topic 5</w:t>
            </w:r>
          </w:p>
        </w:tc>
      </w:tr>
    </w:tbl>
    <w:p>
      <w:pPr>
        <w:pStyle w:val="Heading2"/>
        <w:spacing w:after="140" w:before="280"/>
      </w:pPr>
      <w:r>
        <w:t xml:space="preserve">0.3  Dates, format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Milestone</w:t>
            </w:r>
          </w:p>
        </w:tc>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Date</w:t>
            </w:r>
          </w:p>
        </w:tc>
        <w:tc>
          <w:tcPr>
            <w:tcW w:type="dxa" w:w="44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Note</w:t>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Paper submission</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15 October 2026</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Marked “(final extension)” on the site — do not expect another</w:t>
            </w:r>
          </w:p>
        </w:tc>
      </w:tr>
      <w:tr>
        <w:tc>
          <w:tcPr>
            <w:tcW w:type="dxa" w:w="2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Acceptance notification</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 November 2026</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Camera ready</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30 November 2026</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PDF eXpress required at this stage</w:t>
            </w:r>
          </w:p>
        </w:tc>
      </w:tr>
    </w:tbl>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CORRECTED DATE  </w:t>
      </w:r>
      <w:r>
        <w:rPr>
          <w:rFonts w:ascii="Calibri" w:cs="Calibri" w:eastAsia="Calibri" w:hAnsi="Calibri"/>
          <w:sz w:val="20"/>
          <w:szCs w:val="20"/>
        </w:rPr>
        <w:t xml:space="preserve">The downloadable CFP PDF (April 2026) lists submission 15 Aug 2026 / acceptance 31 Oct / camera-ready 15 Nov. Those are SUPERSEDED. The live site shows 15 Oct / 20 Nov / 30 Nov, matching the SS-02 poster. A consequence worth knowing: the 22 regular tracks are also still open under the same extended deadline.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Requirement</w:t>
            </w:r>
          </w:p>
        </w:tc>
        <w:tc>
          <w:tcPr>
            <w:tcW w:type="dxa" w:w="69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Specification</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Length</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 pages minimum, up to 6 pages maximum (initial AND final)</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4-page variant</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Limit to 4 pages ONLY if you intend to extend the paper to IEEE Trans. Consumer Electronics or an associated journal</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Template</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conference proceedings template (Word or LaTeX) — https://www.ieee.org/conferences/publishing/templates.html</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Page size</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US Letter (8.5 × 11 in)</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Author biography</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Must NOT be included, in either version</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File format</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PDF, uploaded to EDAS; a Track and keywords must be selected at submission</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PDF eXpress</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Not required for initial submission; required for camera ready</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Copyright</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Copyright Form via EDAS before camera-ready upload</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Reference style</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Not stated by ICCE — use the IEEE numbered [1] style built into the template</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Blind review</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NOT STATED anywhere on the ICCE 2027 site. The guidelines ask only to omit biographies, never to anonymise. Inference: single-blind (names visible). Confirm with the chairs before anonymising anything.</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Multiple papers</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Permitted. “Authors with multiple papers must register each paper separately with the requisite fee.” Two accepted papers means two registration fees.</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Plagiarism</w:t>
            </w:r>
          </w:p>
        </w:tc>
        <w:tc>
          <w:tcPr>
            <w:tcW w:type="dxa" w:w="6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ICCE-specific numeric threshold published. IEEE CrossCheck policy applies.</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Generative AI</w:t>
            </w:r>
          </w:p>
        </w:tc>
        <w:tc>
          <w:tcPr>
            <w:tcW w:type="dxa" w:w="6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ICCE-specific statement. IEEE policy applies: disclose AI use in the Acknowledgments, naming the tool and what it contributed; AI cannot be an author; authors are fully accountable for every citation and number.</w:t>
            </w:r>
          </w:p>
        </w:tc>
      </w:tr>
    </w:tbl>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ACTION  </w:t>
      </w:r>
      <w:r>
        <w:rPr>
          <w:rFonts w:ascii="Calibri" w:cs="Calibri" w:eastAsia="Calibri" w:hAnsi="Calibri"/>
          <w:sz w:val="20"/>
          <w:szCs w:val="20"/>
        </w:rPr>
        <w:t xml:space="preserve">Email Dr. Mollah to confirm (a) whether review is single- or double-blind, and (b) whether SS-02 has a cap on accepted papers. Both change how you submit. One short email, worth sending today.</w:t>
      </w:r>
    </w:p>
    <w:p>
      <w:r>
        <w:br w:type="page"/>
      </w:r>
    </w:p>
    <w:p>
      <w:pPr>
        <w:pStyle w:val="Heading1"/>
        <w:spacing w:after="180" w:before="360"/>
      </w:pPr>
      <w:r>
        <w:t xml:space="preserve">PART I — Project 1: Payload Shortcuts in the ROAD Masquerade Benchmark</w:t>
      </w:r>
    </w:p>
    <w:p>
      <w:pPr>
        <w:pStyle w:val="Heading2"/>
        <w:spacing w:after="140" w:before="280"/>
      </w:pPr>
      <w:r>
        <w:t xml:space="preserve">1.  Title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1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Working title</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How Much of the ROAD Masquerade Benchmark Is a Payload Shortcut?</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Target</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ICCE 2027 — Special Session SS-02, Cyber Resilience for Trustworthy Connected Consumer Mobility</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Exact track wording</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“In-vehicle network security (ECU, CAN, ADAS, Automotive Ethernet)” (SS-02 topic 17); secondary “AI-based intrusion and anomaly detections in mobility systems” (topic 5)</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Length</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6 pages (or 4 if you intend a later IEEE TCE extension)</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Date prepared</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 October 2026</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Build time</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5–6 person-days (ESTIMATE)</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GPU required</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None. Runs on CPU. The L4 is not needed for the core result.</w:t>
            </w:r>
          </w:p>
        </w:tc>
      </w:tr>
    </w:tbl>
    <w:p>
      <w:pPr>
        <w:pStyle w:val="Heading2"/>
        <w:spacing w:after="140" w:before="280"/>
      </w:pPr>
      <w:r>
        <w:t xml:space="preserve">2.  Executive Summary</w:t>
      </w:r>
    </w:p>
    <w:p>
      <w:pPr>
        <w:spacing w:after="120" w:line="276"/>
      </w:pPr>
      <w:r>
        <w:rPr>
          <w:rFonts w:ascii="Calibri" w:cs="Calibri" w:eastAsia="Calibri" w:hAnsi="Calibri"/>
          <w:sz w:val="20"/>
          <w:szCs w:val="20"/>
        </w:rPr>
        <w:t xml:space="preserve">Modern cars carry dozens of electronic control units that talk to each other over the Controller Area Network (CAN) bus. CAN has no authentication, so any compromised component can impersonate another. The research community builds intrusion detection systems (IDS) to catch this, and benchmarks them on public datasets.</w:t>
      </w:r>
    </w:p>
    <w:p>
      <w:pPr>
        <w:spacing w:after="120" w:line="276"/>
      </w:pPr>
      <w:r>
        <w:rPr>
          <w:rFonts w:ascii="Calibri" w:cs="Calibri" w:eastAsia="Calibri" w:hAnsi="Calibri"/>
          <w:sz w:val="20"/>
          <w:szCs w:val="20"/>
        </w:rPr>
        <w:t xml:space="preserve">The hardest attack class in that literature is the masquerade attack: the attacker silences a real ECU and transmits forged messages in its place, at the correct frequency. Because the timing looks normal, the whole family of timing-based detectors fails by construction. The ROAD dataset from Oak Ridge National Laboratory contains five masquerade captures that the field treats as its benchmark for this hard case.</w:t>
      </w:r>
    </w:p>
    <w:p>
      <w:pPr>
        <w:spacing w:after="120" w:line="276"/>
      </w:pPr>
      <w:r>
        <w:rPr>
          <w:rFonts w:ascii="Calibri" w:cs="Calibri" w:eastAsia="Calibri" w:hAnsi="Calibri"/>
          <w:b/>
          <w:bCs/>
          <w:sz w:val="20"/>
          <w:szCs w:val="20"/>
        </w:rPr>
        <w:t xml:space="preserve">The problem. </w:t>
      </w:r>
      <w:r>
        <w:rPr>
          <w:rFonts w:ascii="Calibri" w:cs="Calibri" w:eastAsia="Calibri" w:hAnsi="Calibri"/>
          <w:sz w:val="20"/>
          <w:szCs w:val="20"/>
        </w:rPr>
        <w:t xml:space="preserve">ROAD’s masquerade captures are not recorded attacks. They are produced by post-processing the fabrication attack captures — deleting the victim ECU’s original frames so that only the injected frames remain. The injected payloads are therefore unchanged from the fabrication attacks, and those payloads are by construction extreme: maximum speedometer value, maximum engine coolant temperature, reverse light in the wrong state.</w:t>
      </w:r>
    </w:p>
    <w:p>
      <w:pPr>
        <w:spacing w:after="120" w:line="276"/>
      </w:pPr>
      <w:r>
        <w:rPr>
          <w:rFonts w:ascii="Calibri" w:cs="Calibri" w:eastAsia="Calibri" w:hAnsi="Calibri"/>
          <w:b/>
          <w:bCs/>
          <w:sz w:val="20"/>
          <w:szCs w:val="20"/>
        </w:rPr>
        <w:t xml:space="preserve">The consequence nobody has measured. </w:t>
      </w:r>
      <w:r>
        <w:rPr>
          <w:rFonts w:ascii="Calibri" w:cs="Calibri" w:eastAsia="Calibri" w:hAnsi="Calibri"/>
          <w:sz w:val="20"/>
          <w:szCs w:val="20"/>
        </w:rPr>
        <w:t xml:space="preserve">If the payload values are extreme, then a rule as simple as “is this byte outside the range this CAN ID has ever shown in ambient traffic?” — learnable from attack-free data in a few lines of code — should detect several of these attacks. If that is true, then published masquerade detectors reporting high F1 on ROAD may be learning nothing more sophisticated than an out-of-range check, and the benchmark does not measure what the field believes it measures.</w:t>
      </w:r>
    </w:p>
    <w:p>
      <w:pPr>
        <w:spacing w:after="120" w:line="276"/>
      </w:pPr>
      <w:r>
        <w:rPr>
          <w:rFonts w:ascii="Calibri" w:cs="Calibri" w:eastAsia="Calibri" w:hAnsi="Calibri"/>
          <w:b/>
          <w:bCs/>
          <w:sz w:val="20"/>
          <w:szCs w:val="20"/>
        </w:rPr>
        <w:t xml:space="preserve">What we will do. </w:t>
      </w:r>
      <w:r>
        <w:rPr>
          <w:rFonts w:ascii="Calibri" w:cs="Calibri" w:eastAsia="Calibri" w:hAnsi="Calibri"/>
          <w:sz w:val="20"/>
          <w:szCs w:val="20"/>
        </w:rPr>
        <w:t xml:space="preserve">Establish a payload-level trivial-baseline floor for all five ROAD masquerade captures, using detectors fitted only to ambient traffic, and report a per-capture delta-over-trivial for published detectors. We predict a split result: the three extreme-value attacks fall to a trivial rule, while correlated-signal — in which four wheel-speed signals are made jointly inconsistent while each remains individually plausible — resists it. That split is the paper.</w:t>
      </w:r>
    </w:p>
    <w:p>
      <w:pPr>
        <w:spacing w:after="120" w:line="276"/>
      </w:pPr>
      <w:r>
        <w:rPr>
          <w:rFonts w:ascii="Calibri" w:cs="Calibri" w:eastAsia="Calibri" w:hAnsi="Calibri"/>
          <w:b/>
          <w:bCs/>
          <w:sz w:val="20"/>
          <w:szCs w:val="20"/>
        </w:rPr>
        <w:t xml:space="preserve">Why it is publishable at ICCE. </w:t>
      </w:r>
      <w:r>
        <w:rPr>
          <w:rFonts w:ascii="Calibri" w:cs="Calibri" w:eastAsia="Calibri" w:hAnsi="Calibri"/>
          <w:sz w:val="20"/>
          <w:szCs w:val="20"/>
        </w:rPr>
        <w:t xml:space="preserve">It speaks directly to SS-02’s framing: resilience claims for connected consumer vehicles are currently hard to falsify. It needs one 557 MB public dataset, no GPU, and no vehicle hardware. And it produces a usable artefact — a floor table future papers can report against.</w:t>
      </w:r>
    </w:p>
    <w:p>
      <w:pPr>
        <w:pBdr>
          <w:left w:val="single" w:color="2E7D32" w:sz="18"/>
        </w:pBdr>
        <w:shd w:fill="E2EFDA" w:val="clear"/>
        <w:spacing w:after="160" w:before="120" w:line="276"/>
        <w:ind w:left="140" w:right="140"/>
      </w:pPr>
      <w:r>
        <w:rPr>
          <w:rFonts w:ascii="Calibri" w:cs="Calibri" w:eastAsia="Calibri" w:hAnsi="Calibri"/>
          <w:b/>
          <w:bCs/>
          <w:sz w:val="20"/>
          <w:szCs w:val="20"/>
        </w:rPr>
        <w:t xml:space="preserve">BOTH OUTCOMES ARE PUBLISHABLE  </w:t>
      </w:r>
      <w:r>
        <w:rPr>
          <w:rFonts w:ascii="Calibri" w:cs="Calibri" w:eastAsia="Calibri" w:hAnsi="Calibri"/>
          <w:sz w:val="20"/>
          <w:szCs w:val="20"/>
        </w:rPr>
        <w:t xml:space="preserve">This is the single most important property of this project for a 12-day deadline. If the trivial rules SUCCEED, the benchmark has an artefact and that is an important negative result. If they FAIL, the masquerade floor is hardened with a detector class nobody has tried, and the difficulty of the benchmark is confirmed rather than assumed. There is no outcome in which you have nothing to write.</w:t>
      </w:r>
    </w:p>
    <w:p>
      <w:pPr>
        <w:pStyle w:val="Heading2"/>
        <w:spacing w:after="140" w:before="280"/>
      </w:pPr>
      <w:r>
        <w:t xml:space="preserve">3.  Background and Problem Context</w:t>
      </w:r>
    </w:p>
    <w:p>
      <w:pPr>
        <w:pStyle w:val="Heading3"/>
        <w:spacing w:after="120" w:before="220"/>
      </w:pPr>
      <w:r>
        <w:t xml:space="preserve">3.1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Term</w:t>
            </w:r>
          </w:p>
        </w:tc>
        <w:tc>
          <w:tcPr>
            <w:tcW w:type="dxa" w:w="7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Meaning</w:t>
            </w:r>
          </w:p>
        </w:tc>
      </w:tr>
      <w:tr>
        <w:tc>
          <w:tcPr>
            <w:tcW w:type="dxa" w:w="2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bus</w:t>
            </w:r>
          </w:p>
        </w:tc>
        <w:tc>
          <w:tcPr>
            <w:tcW w:type="dxa" w:w="7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Controller Area Network. The dominant in-vehicle serial bus. Broadcast, no authentication, no encryption. Every ECU sees every frame.</w:t>
            </w:r>
          </w:p>
        </w:tc>
      </w:tr>
      <w:tr>
        <w:tc>
          <w:tcPr>
            <w:tcW w:type="dxa" w:w="2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Arbitration ID (AID)</w:t>
            </w:r>
          </w:p>
        </w:tc>
        <w:tc>
          <w:tcPr>
            <w:tcW w:type="dxa" w:w="7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An 11- or 29-bit identifier at the start of each CAN frame. Identifies the message type and encodes bus priority. Not a sender address.</w:t>
            </w:r>
          </w:p>
        </w:tc>
      </w:tr>
      <w:tr>
        <w:tc>
          <w:tcPr>
            <w:tcW w:type="dxa" w:w="2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Payload / data field</w:t>
            </w:r>
          </w:p>
        </w:tc>
        <w:tc>
          <w:tcPr>
            <w:tcW w:type="dxa" w:w="7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Up to 8 bytes in classic CAN (up to 64 in CAN-FD). Contains one or more packed signals.</w:t>
            </w:r>
          </w:p>
        </w:tc>
      </w:tr>
      <w:tr>
        <w:tc>
          <w:tcPr>
            <w:tcW w:type="dxa" w:w="2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Signal</w:t>
            </w:r>
          </w:p>
        </w:tc>
        <w:tc>
          <w:tcPr>
            <w:tcW w:type="dxa" w:w="7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physical quantity (wheel speed, coolant temperature) packed into a bit range of a payload. Recovering signals from raw payloads is “signal translation”.</w:t>
            </w:r>
          </w:p>
        </w:tc>
      </w:tr>
      <w:tr>
        <w:tc>
          <w:tcPr>
            <w:tcW w:type="dxa" w:w="2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Fabrication attack</w:t>
            </w:r>
          </w:p>
        </w:tc>
        <w:tc>
          <w:tcPr>
            <w:tcW w:type="dxa" w:w="7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attacker injects extra frames with a target AID. The real ECU keeps transmitting, so that AID now appears at roughly double its normal rate — easy to detect from timing.</w:t>
            </w:r>
          </w:p>
        </w:tc>
      </w:tr>
      <w:tr>
        <w:tc>
          <w:tcPr>
            <w:tcW w:type="dxa" w:w="2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Masquerade attack</w:t>
            </w:r>
          </w:p>
        </w:tc>
        <w:tc>
          <w:tcPr>
            <w:tcW w:type="dxa" w:w="7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attacker suppresses the real ECU and transmits in its place at the correct frequency. Frame rate looks normal; only the payload content is wrong.</w:t>
            </w:r>
          </w:p>
        </w:tc>
      </w:tr>
      <w:tr>
        <w:tc>
          <w:tcPr>
            <w:tcW w:type="dxa" w:w="2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Trivial / naive baseline</w:t>
            </w:r>
          </w:p>
        </w:tc>
        <w:tc>
          <w:tcPr>
            <w:tcW w:type="dxa" w:w="7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detector so simple it embodies no learning worth the name — a threshold, a lookup, a range check. Used to measure how much of a benchmark is already solved before any model is applied.</w:t>
            </w:r>
          </w:p>
        </w:tc>
      </w:tr>
      <w:tr>
        <w:tc>
          <w:tcPr>
            <w:tcW w:type="dxa" w:w="2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Shortcut learning</w:t>
            </w:r>
          </w:p>
        </w:tc>
        <w:tc>
          <w:tcPr>
            <w:tcW w:type="dxa" w:w="7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When a model achieves high scores by exploiting an incidental artefact of the dataset rather than the phenomenon the dataset is meant to represent.</w:t>
            </w:r>
          </w:p>
        </w:tc>
      </w:tr>
    </w:tbl>
    <w:p>
      <w:pPr>
        <w:pStyle w:val="Heading3"/>
        <w:spacing w:after="120" w:before="220"/>
      </w:pPr>
      <w:r>
        <w:t xml:space="preserve">3.2  Why this matters</w:t>
      </w:r>
    </w:p>
    <w:p>
      <w:pPr>
        <w:pStyle w:val="ListParagraph"/>
        <w:numPr>
          <w:ilvl w:val="0"/>
          <w:numId w:val="2"/>
        </w:numPr>
        <w:spacing w:after="60" w:line="276"/>
      </w:pPr>
      <w:r>
        <w:t xml:space="preserve">Consumer vehicles ship with CAN buses today. An IDS that scores well on a flawed benchmark but fails in a real vehicle is a safety problem, not merely an academic one.</w:t>
      </w:r>
    </w:p>
    <w:p>
      <w:pPr>
        <w:pStyle w:val="ListParagraph"/>
        <w:numPr>
          <w:ilvl w:val="0"/>
          <w:numId w:val="2"/>
        </w:numPr>
        <w:spacing w:after="60" w:line="276"/>
      </w:pPr>
      <w:r>
        <w:t xml:space="preserve">The field is actively migrating from the older Car-Hacking dataset to ROAD, precisely because Car-Hacking was shown to be solvable from trivial features. If ROAD has its own artefact, that migration solves less than assumed.</w:t>
      </w:r>
    </w:p>
    <w:p>
      <w:pPr>
        <w:pStyle w:val="ListParagraph"/>
        <w:numPr>
          <w:ilvl w:val="0"/>
          <w:numId w:val="2"/>
        </w:numPr>
        <w:spacing w:after="60" w:line="276"/>
      </w:pPr>
      <w:r>
        <w:t xml:space="preserve">Benchmark auditing is cheap, reproducible, and disproportionately useful. It costs one researcher a week and can redirect the effort of many.</w:t>
      </w:r>
    </w:p>
    <w:p>
      <w:pPr>
        <w:pStyle w:val="Heading2"/>
        <w:spacing w:after="140" w:before="280"/>
      </w:pPr>
      <w:r>
        <w:t xml:space="preserve">4.  Literature Review</w:t>
      </w:r>
    </w:p>
    <w:p>
      <w:pPr>
        <w:pStyle w:val="Heading3"/>
        <w:spacing w:after="120" w:before="220"/>
      </w:pPr>
      <w:r>
        <w:t xml:space="preserve">4.1  Theme A — The ROAD dataset and its construction</w:t>
      </w:r>
    </w:p>
    <w:p>
      <w:pPr>
        <w:spacing w:after="120" w:line="276"/>
      </w:pPr>
      <w:r>
        <w:rPr>
          <w:rFonts w:ascii="Calibri" w:cs="Calibri" w:eastAsia="Calibri" w:hAnsi="Calibri"/>
          <w:sz w:val="20"/>
          <w:szCs w:val="20"/>
        </w:rPr>
        <w:t xml:space="preserve">Verma, Bridges, Iannacone, Hollifield, Moriano, Kay, Hespeler and Combs introduced ROAD to address the fact that existing CAN IDS datasets contained only simple injection attacks or low-fidelity synthetic data. ROAD contains 33 attack captures (~30 minutes total) and 12 ambient captures (~3 hours), recorded from a single real vehicle on a dynamometer, with the physical effect of each attack verified.</w:t>
      </w:r>
    </w:p>
    <w:p>
      <w:pPr>
        <w:spacing w:after="120" w:line="276"/>
      </w:pPr>
      <w:r>
        <w:rPr>
          <w:rFonts w:ascii="Calibri" w:cs="Calibri" w:eastAsia="Calibri" w:hAnsi="Calibri"/>
          <w:sz w:val="20"/>
          <w:szCs w:val="20"/>
        </w:rPr>
        <w:t xml:space="preserve">Critically, the authors are explicit that the masquerade captures are simulated, and they state the procedure.</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QUOTED FROM THE ROAD PAPER (VERIFIED)  </w:t>
      </w:r>
      <w:r>
        <w:rPr>
          <w:rFonts w:ascii="Calibri" w:cs="Calibri" w:eastAsia="Calibri" w:hAnsi="Calibri"/>
          <w:sz w:val="20"/>
          <w:szCs w:val="20"/>
        </w:rPr>
        <w:t xml:space="preserve">“Using the fabrication captures we produce simulated masquerade attacks by removing the legitimate target ID frames preceding each injected frame to provide more advanced versions.” And: “In effect, this removes message confliction in the data, making it appear as though only the spoofed messages are present during the injection interval.”</w:t>
      </w:r>
    </w:p>
    <w:p>
      <w:pPr>
        <w:spacing w:after="120" w:line="276"/>
      </w:pPr>
      <w:r>
        <w:rPr>
          <w:rFonts w:ascii="Calibri" w:cs="Calibri" w:eastAsia="Calibri" w:hAnsi="Calibri"/>
          <w:sz w:val="20"/>
          <w:szCs w:val="20"/>
        </w:rPr>
        <w:t xml:space="preserve">They also list it as a drawback: “ROAD’s masquerade attacks rely on a small amount of simulation. (To our knowledge no un-simulated masquerade attack data is available, and this gap is a hindrance for the community.)” That sentence is the single best citation for this paper’s motivation.</w:t>
      </w:r>
    </w:p>
    <w:p>
      <w:pPr>
        <w:pStyle w:val="Heading3"/>
        <w:spacing w:after="120" w:before="220"/>
      </w:pPr>
      <w:r>
        <w:t xml:space="preserve">4.2  Theme B — Trivial baselines and benchmark auditing</w:t>
      </w:r>
    </w:p>
    <w:p>
      <w:pPr>
        <w:spacing w:after="120" w:line="276"/>
      </w:pPr>
      <w:r>
        <w:rPr>
          <w:rFonts w:ascii="Calibri" w:cs="Calibri" w:eastAsia="Calibri" w:hAnsi="Calibri"/>
          <w:sz w:val="20"/>
          <w:szCs w:val="20"/>
        </w:rPr>
        <w:t xml:space="preserve">Blevins et al. benchmarked four time-based CAN IDS methods and showed that simple timing statistics perform strongly on injection attacks. Their work is timing-only; masquerade attacks preserve timing and are therefore outside its scope. That boundary is exactly where this project begins.</w:t>
      </w:r>
    </w:p>
    <w:p>
      <w:pPr>
        <w:spacing w:after="120" w:line="276"/>
      </w:pPr>
      <w:r>
        <w:rPr>
          <w:rFonts w:ascii="Calibri" w:cs="Calibri" w:eastAsia="Calibri" w:hAnsi="Calibri"/>
          <w:sz w:val="20"/>
          <w:szCs w:val="20"/>
        </w:rPr>
        <w:t xml:space="preserve">More recently, an audit in Array (2026) showed that on the Car-Hacking and Survival datasets a Random Forest reaches very high ROC-AUC from timing features alone, implying that headline results there are consistent with shortcut learning. The equivalent payload-level analysis has not been published for ROAD masquerade.</w:t>
      </w:r>
    </w:p>
    <w:p>
      <w:pPr>
        <w:pStyle w:val="Heading3"/>
        <w:spacing w:after="120" w:before="220"/>
      </w:pPr>
      <w:r>
        <w:t xml:space="preserve">4.3  Theme C — Masquerade detection methods</w:t>
      </w:r>
    </w:p>
    <w:p>
      <w:pPr>
        <w:spacing w:after="120" w:line="276"/>
      </w:pPr>
      <w:r>
        <w:rPr>
          <w:rFonts w:ascii="Calibri" w:cs="Calibri" w:eastAsia="Calibri" w:hAnsi="Calibri"/>
          <w:sz w:val="20"/>
          <w:szCs w:val="20"/>
        </w:rPr>
        <w:t xml:space="preserve">Moriano et al. benchmarked four unsupervised online methods for masquerade detection on ROAD and published both code and an AUC-ROC protocol. Subsequent work has applied graph machine learning (IEEE TIFS 2025), state-space models (MIDS, bidirectional Mamba, 2026) and per-ID behavioural residualisation (2026). None of these establishes what a trivial payload rule would achieve on the same captures.</w:t>
      </w:r>
    </w:p>
    <w:p>
      <w:pPr>
        <w:pStyle w:val="Heading3"/>
        <w:spacing w:after="120" w:before="220"/>
      </w:pPr>
      <w:r>
        <w:t xml:space="preserve">4.4  Theme D — Cross-dataset reliability</w:t>
      </w:r>
    </w:p>
    <w:p>
      <w:pPr>
        <w:spacing w:after="120" w:line="276"/>
      </w:pPr>
      <w:r>
        <w:rPr>
          <w:rFonts w:ascii="Calibri" w:cs="Calibri" w:eastAsia="Calibri" w:hAnsi="Calibri"/>
          <w:sz w:val="20"/>
          <w:szCs w:val="20"/>
        </w:rPr>
        <w:t xml:space="preserve">Koltai et al. normalised evaluation across seven public CAN datasets and five methods, and concluded that single-dataset results do not reliably predict performance elsewhere. They call for standardised reporting of runtime and resource consumption as future work. Their framework is a useful comparator source.</w:t>
      </w:r>
    </w:p>
    <w:p>
      <w:pPr>
        <w:pStyle w:val="Heading3"/>
        <w:spacing w:after="120" w:before="220"/>
      </w:pPr>
      <w:r>
        <w:t xml:space="preserve">4.5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620"/>
        <w:gridCol w:w="1200"/>
        <w:gridCol w:w="1000"/>
        <w:gridCol w:w="1400"/>
        <w:gridCol w:w="1650"/>
        <w:gridCol w:w="1540"/>
      </w:tblGrid>
      <w:tr>
        <w:trPr>
          <w:tblHeader/>
        </w:trPr>
        <w:tc>
          <w:tcPr>
            <w:tcW w:type="dxa" w:w="19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Paper</w:t>
            </w:r>
          </w:p>
        </w:tc>
        <w:tc>
          <w:tcPr>
            <w:tcW w:type="dxa" w:w="62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Yr</w:t>
            </w:r>
          </w:p>
        </w:tc>
        <w:tc>
          <w:tcPr>
            <w:tcW w:type="dxa" w:w="1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Method</w:t>
            </w:r>
          </w:p>
        </w:tc>
        <w:tc>
          <w:tcPr>
            <w:tcW w:type="dxa" w:w="10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Dataset</w:t>
            </w:r>
          </w:p>
        </w:tc>
        <w:tc>
          <w:tcPr>
            <w:tcW w:type="dxa" w:w="1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Metric / best result</w:t>
            </w:r>
          </w:p>
        </w:tc>
        <w:tc>
          <w:tcPr>
            <w:tcW w:type="dxa" w:w="16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Limitation</w:t>
            </w:r>
          </w:p>
        </w:tc>
        <w:tc>
          <w:tcPr>
            <w:tcW w:type="dxa" w:w="154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Code</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Verma et al., ROAD (PLOS ONE)</w:t>
            </w:r>
          </w:p>
          <w:p>
            <w:pPr>
              <w:spacing w:after="0" w:line="240"/>
            </w:pPr>
            <w:r>
              <w:rPr>
                <w:rFonts w:ascii="Calibri" w:cs="Calibri" w:eastAsia="Calibri" w:hAnsi="Calibri"/>
                <w:b w:val="false"/>
                <w:bCs w:val="false"/>
                <w:color w:val="000000"/>
                <w:sz w:val="17"/>
                <w:szCs w:val="17"/>
              </w:rPr>
              <w:t xml:space="preserve">doi 10.1371/journal.pone.0296879</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w:t>
            </w:r>
          </w:p>
        </w:tc>
        <w:tc>
          <w:tcPr>
            <w:tcW w:type="dxa" w:w="1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Dataset paper</w:t>
            </w:r>
          </w:p>
        </w:tc>
        <w:tc>
          <w:tcPr>
            <w:tcW w:type="dxa" w:w="1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w:t>
            </w:r>
          </w:p>
        </w:tc>
        <w:tc>
          <w:tcPr>
            <w:tcW w:type="dxa" w:w="1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n/a (dataset)</w:t>
            </w:r>
          </w:p>
        </w:tc>
        <w:tc>
          <w:tcPr>
            <w:tcW w:type="dxa" w:w="16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Masquerade attacks simulated by frame deletion; single vehicle; dynamometer only; interval-level labels</w:t>
            </w:r>
          </w:p>
        </w:tc>
        <w:tc>
          <w:tcPr>
            <w:tcW w:type="dxa" w:w="154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 Zenodo 10.5281/zenodo.10462796 (CC-BY-4.0)</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Blevins et al., Time-Based CAN IDS Benchmark</w:t>
            </w:r>
          </w:p>
          <w:p>
            <w:pPr>
              <w:spacing w:after="0" w:line="240"/>
            </w:pPr>
            <w:r>
              <w:rPr>
                <w:rFonts w:ascii="Calibri" w:cs="Calibri" w:eastAsia="Calibri" w:hAnsi="Calibri"/>
                <w:b w:val="false"/>
                <w:bCs w:val="false"/>
                <w:color w:val="000000"/>
                <w:sz w:val="17"/>
                <w:szCs w:val="17"/>
              </w:rPr>
              <w:t xml:space="preserve">arXiv:2101.05781</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2021</w:t>
            </w:r>
          </w:p>
        </w:tc>
        <w:tc>
          <w:tcPr>
            <w:tcW w:type="dxa" w:w="1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Four time-based IDS</w:t>
            </w:r>
          </w:p>
        </w:tc>
        <w:tc>
          <w:tcPr>
            <w:tcW w:type="dxa" w:w="1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w:t>
            </w:r>
          </w:p>
        </w:tc>
        <w:tc>
          <w:tcPr>
            <w:tcW w:type="dxa" w:w="1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per-capture (not re-verified here)</w:t>
            </w:r>
          </w:p>
        </w:tc>
        <w:tc>
          <w:tcPr>
            <w:tcW w:type="dxa" w:w="16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Timing-only; cannot address masquerade by construction</w:t>
            </w:r>
          </w:p>
        </w:tc>
        <w:tc>
          <w:tcPr>
            <w:tcW w:type="dxa" w:w="154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 (per our search)</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et al.</w:t>
            </w:r>
          </w:p>
          <w:p>
            <w:pPr>
              <w:spacing w:after="0" w:line="240"/>
            </w:pPr>
            <w:r>
              <w:rPr>
                <w:rFonts w:ascii="Calibri" w:cs="Calibri" w:eastAsia="Calibri" w:hAnsi="Calibri"/>
                <w:b w:val="false"/>
                <w:bCs w:val="false"/>
                <w:color w:val="000000"/>
                <w:sz w:val="17"/>
                <w:szCs w:val="17"/>
              </w:rPr>
              <w:t xml:space="preserve">arXiv:2406.13778</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w:t>
            </w:r>
          </w:p>
          <w:p>
            <w:pPr>
              <w:spacing w:after="0" w:line="240"/>
            </w:pPr>
            <w:r>
              <w:rPr>
                <w:rFonts w:ascii="Calibri" w:cs="Calibri" w:eastAsia="Calibri" w:hAnsi="Calibri"/>
                <w:b w:val="false"/>
                <w:bCs w:val="false"/>
                <w:color w:val="000000"/>
                <w:sz w:val="17"/>
                <w:szCs w:val="17"/>
              </w:rPr>
              <w:t xml:space="preserve">–26</w:t>
            </w:r>
          </w:p>
        </w:tc>
        <w:tc>
          <w:tcPr>
            <w:tcW w:type="dxa" w:w="1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Four unsupervised online methods</w:t>
            </w:r>
          </w:p>
        </w:tc>
        <w:tc>
          <w:tcPr>
            <w:tcW w:type="dxa" w:w="1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masquerade</w:t>
            </w:r>
          </w:p>
        </w:tc>
        <w:tc>
          <w:tcPr>
            <w:tcW w:type="dxa" w:w="1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AUC-ROC protocol</w:t>
            </w:r>
          </w:p>
        </w:tc>
        <w:tc>
          <w:tcPr>
            <w:tcW w:type="dxa" w:w="16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trivial/payload-rule baseline included</w:t>
            </w:r>
          </w:p>
        </w:tc>
        <w:tc>
          <w:tcPr>
            <w:tcW w:type="dxa" w:w="154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Y — github.com/pmoriano/benchmarking-unsupervised-online-IDS-masquerade-attacks (MIT)</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et al., graph ML</w:t>
            </w:r>
          </w:p>
          <w:p>
            <w:pPr>
              <w:spacing w:after="0" w:line="240"/>
            </w:pPr>
            <w:r>
              <w:rPr>
                <w:rFonts w:ascii="Calibri" w:cs="Calibri" w:eastAsia="Calibri" w:hAnsi="Calibri"/>
                <w:b w:val="false"/>
                <w:bCs w:val="false"/>
                <w:color w:val="000000"/>
                <w:sz w:val="17"/>
                <w:szCs w:val="17"/>
              </w:rPr>
              <w:t xml:space="preserve">arXiv:2408.05427 / IEEE TIFS</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dxa" w:w="1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Message Sequence Graphs + statistical node features</w:t>
            </w:r>
          </w:p>
        </w:tc>
        <w:tc>
          <w:tcPr>
            <w:tcW w:type="dxa" w:w="1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masquerade</w:t>
            </w:r>
          </w:p>
        </w:tc>
        <w:tc>
          <w:tcPr>
            <w:tcW w:type="dxa" w:w="1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 (not re-verified)</w:t>
            </w:r>
          </w:p>
        </w:tc>
        <w:tc>
          <w:tcPr>
            <w:tcW w:type="dxa" w:w="16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Method paper; no difficulty floor</w:t>
            </w:r>
          </w:p>
        </w:tc>
        <w:tc>
          <w:tcPr>
            <w:tcW w:type="dxa" w:w="154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See OSTI record</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MIDS (bidirectional Mamba)</w:t>
            </w:r>
          </w:p>
          <w:p>
            <w:pPr>
              <w:spacing w:after="0" w:line="240"/>
            </w:pPr>
            <w:r>
              <w:rPr>
                <w:rFonts w:ascii="Calibri" w:cs="Calibri" w:eastAsia="Calibri" w:hAnsi="Calibri"/>
                <w:b w:val="false"/>
                <w:bCs w:val="false"/>
                <w:color w:val="000000"/>
                <w:sz w:val="17"/>
                <w:szCs w:val="17"/>
              </w:rPr>
              <w:t xml:space="preserve">arXiv:2606.18599</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State-space sequence model</w:t>
            </w:r>
          </w:p>
        </w:tc>
        <w:tc>
          <w:tcPr>
            <w:tcW w:type="dxa" w:w="1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w:t>
            </w:r>
          </w:p>
        </w:tc>
        <w:tc>
          <w:tcPr>
            <w:tcW w:type="dxa" w:w="1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F1 ≈ 99.21 (UNVERIFIED — from secondary source)</w:t>
            </w:r>
          </w:p>
        </w:tc>
        <w:tc>
          <w:tcPr>
            <w:tcW w:type="dxa" w:w="16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Lists CAN-FD and Automotive Ethernet as its own future work</w:t>
            </w:r>
          </w:p>
        </w:tc>
        <w:tc>
          <w:tcPr>
            <w:tcW w:type="dxa" w:w="154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 repo</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Behavioral Residualization</w:t>
            </w:r>
          </w:p>
          <w:p>
            <w:pPr>
              <w:spacing w:after="0" w:line="240"/>
            </w:pPr>
            <w:r>
              <w:rPr>
                <w:rFonts w:ascii="Calibri" w:cs="Calibri" w:eastAsia="Calibri" w:hAnsi="Calibri"/>
                <w:b w:val="false"/>
                <w:bCs w:val="false"/>
                <w:color w:val="000000"/>
                <w:sz w:val="17"/>
                <w:szCs w:val="17"/>
              </w:rPr>
              <w:t xml:space="preserve">arXiv:2608.05548</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Per-ID residualisation, unsupervised</w:t>
            </w:r>
          </w:p>
        </w:tc>
        <w:tc>
          <w:tcPr>
            <w:tcW w:type="dxa" w:w="1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 HCRL</w:t>
            </w:r>
          </w:p>
        </w:tc>
        <w:tc>
          <w:tcPr>
            <w:tcW w:type="dxa" w:w="1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 (not re-verified)</w:t>
            </w:r>
          </w:p>
        </w:tc>
        <w:tc>
          <w:tcPr>
            <w:tcW w:type="dxa" w:w="16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Per-ID framing; no trivial floor</w:t>
            </w:r>
          </w:p>
        </w:tc>
        <w:tc>
          <w:tcPr>
            <w:tcW w:type="dxa" w:w="154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 repo</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Koltai et al., CAN We Trust Your Results?</w:t>
            </w:r>
          </w:p>
          <w:p>
            <w:pPr>
              <w:spacing w:after="0" w:line="240"/>
            </w:pPr>
            <w:r>
              <w:rPr>
                <w:rFonts w:ascii="Calibri" w:cs="Calibri" w:eastAsia="Calibri" w:hAnsi="Calibri"/>
                <w:b w:val="false"/>
                <w:bCs w:val="false"/>
                <w:color w:val="000000"/>
                <w:sz w:val="17"/>
                <w:szCs w:val="17"/>
              </w:rPr>
              <w:t xml:space="preserve">arXiv:2606.30430</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Cross-dataset harness, 7 datasets × 5 methods</w:t>
            </w:r>
          </w:p>
        </w:tc>
        <w:tc>
          <w:tcPr>
            <w:tcW w:type="dxa" w:w="1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+ 6 others</w:t>
            </w:r>
          </w:p>
        </w:tc>
        <w:tc>
          <w:tcPr>
            <w:tcW w:type="dxa" w:w="1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Normalised comparison</w:t>
            </w:r>
          </w:p>
        </w:tc>
        <w:tc>
          <w:tcPr>
            <w:tcW w:type="dxa" w:w="16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trivial baselines; no runtime/resource metrics (their own future work)</w:t>
            </w:r>
          </w:p>
        </w:tc>
        <w:tc>
          <w:tcPr>
            <w:tcW w:type="dxa" w:w="154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Y — github.com/CrySyS/Cross-Dataset-Study-of-Automotive-IDS-Evaluation (GPL-3.0)</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CANdito</w:t>
            </w:r>
          </w:p>
          <w:p>
            <w:pPr>
              <w:spacing w:after="0" w:line="240"/>
            </w:pPr>
            <w:r>
              <w:rPr>
                <w:rFonts w:ascii="Calibri" w:cs="Calibri" w:eastAsia="Calibri" w:hAnsi="Calibri"/>
                <w:b w:val="false"/>
                <w:bCs w:val="false"/>
                <w:color w:val="000000"/>
                <w:sz w:val="17"/>
                <w:szCs w:val="17"/>
              </w:rPr>
              <w:t xml:space="preserve">arXiv:2208.06628</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2022</w:t>
            </w:r>
          </w:p>
        </w:tc>
        <w:tc>
          <w:tcPr>
            <w:tcW w:type="dxa" w:w="1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LSTM autoencoder on payload signals</w:t>
            </w:r>
          </w:p>
        </w:tc>
        <w:tc>
          <w:tcPr>
            <w:tcW w:type="dxa" w:w="1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(see paper)</w:t>
            </w:r>
          </w:p>
        </w:tc>
        <w:tc>
          <w:tcPr>
            <w:tcW w:type="dxa" w:w="1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w:t>
            </w:r>
          </w:p>
        </w:tc>
        <w:tc>
          <w:tcPr>
            <w:tcW w:type="dxa" w:w="16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method, not a difficulty audit</w:t>
            </w:r>
          </w:p>
        </w:tc>
        <w:tc>
          <w:tcPr>
            <w:tcW w:type="dxa" w:w="154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 repo</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Shortcut-learning audit (Array)</w:t>
            </w:r>
          </w:p>
          <w:p>
            <w:pPr>
              <w:spacing w:after="0" w:line="240"/>
            </w:pPr>
            <w:r>
              <w:rPr>
                <w:rFonts w:ascii="Calibri" w:cs="Calibri" w:eastAsia="Calibri" w:hAnsi="Calibri"/>
                <w:b w:val="false"/>
                <w:bCs w:val="false"/>
                <w:color w:val="000000"/>
                <w:sz w:val="17"/>
                <w:szCs w:val="17"/>
              </w:rPr>
              <w:t xml:space="preserve">doi 10.1016/j.array.2026.101112</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Feature-ablation stress test</w:t>
            </w:r>
          </w:p>
        </w:tc>
        <w:tc>
          <w:tcPr>
            <w:tcW w:type="dxa" w:w="1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Car-Hacking, Survival</w:t>
            </w:r>
          </w:p>
        </w:tc>
        <w:tc>
          <w:tcPr>
            <w:tcW w:type="dxa" w:w="1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RF ROC-AUC ≈0.995 from timing alone (UNVERIFIED — secondary)</w:t>
            </w:r>
          </w:p>
        </w:tc>
        <w:tc>
          <w:tcPr>
            <w:tcW w:type="dxa" w:w="16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Does not cover ROAD masquerade with payload features</w:t>
            </w:r>
          </w:p>
        </w:tc>
        <w:tc>
          <w:tcPr>
            <w:tcW w:type="dxa" w:w="154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Unknown</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CAN-ODTL (Rajapaksha et al.)</w:t>
            </w:r>
          </w:p>
          <w:p>
            <w:pPr>
              <w:spacing w:after="0" w:line="240"/>
            </w:pPr>
            <w:r>
              <w:rPr>
                <w:rFonts w:ascii="Calibri" w:cs="Calibri" w:eastAsia="Calibri" w:hAnsi="Calibri"/>
                <w:b w:val="false"/>
                <w:bCs w:val="false"/>
                <w:color w:val="000000"/>
                <w:sz w:val="17"/>
                <w:szCs w:val="17"/>
              </w:rPr>
              <w:t xml:space="preserve">NDSS VehicleSec</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2023</w:t>
            </w:r>
          </w:p>
        </w:tc>
        <w:tc>
          <w:tcPr>
            <w:tcW w:type="dxa" w:w="1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On-device transfer learning + TFLite quantisation</w:t>
            </w:r>
          </w:p>
        </w:tc>
        <w:tc>
          <w:tcPr>
            <w:tcW w:type="dxa" w:w="1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w:t>
            </w:r>
          </w:p>
        </w:tc>
        <w:tc>
          <w:tcPr>
            <w:tcW w:type="dxa" w:w="1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Per-attack table in paper</w:t>
            </w:r>
          </w:p>
        </w:tc>
        <w:tc>
          <w:tcPr>
            <w:tcW w:type="dxa" w:w="16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Compression study, not a difficulty floor</w:t>
            </w:r>
          </w:p>
        </w:tc>
        <w:tc>
          <w:tcPr>
            <w:tcW w:type="dxa" w:w="154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 paper</w:t>
            </w:r>
          </w:p>
        </w:tc>
      </w:tr>
    </w:tbl>
    <w:p>
      <w:pPr>
        <w:spacing w:after="220" w:before="60"/>
      </w:pPr>
      <w:r>
        <w:rPr>
          <w:rFonts w:ascii="Calibri" w:cs="Calibri" w:eastAsia="Calibri" w:hAnsi="Calibri"/>
          <w:i/>
          <w:iCs/>
          <w:color w:val="595959"/>
          <w:sz w:val="17"/>
          <w:szCs w:val="17"/>
        </w:rPr>
        <w:t xml:space="preserve">Table I-1. Most relevant prior work. Numbers marked UNVERIFIED were seen only in secondary sources and must be read from the primary paper before being quoted in your submission.</w:t>
      </w:r>
    </w:p>
    <w:p>
      <w:pPr>
        <w:pStyle w:val="Heading2"/>
        <w:spacing w:after="140" w:before="280"/>
      </w:pPr>
      <w:r>
        <w:t xml:space="preserve">5.  The Research Gap</w:t>
      </w:r>
    </w:p>
    <w:p>
      <w:pPr>
        <w:spacing w:after="120" w:line="276"/>
      </w:pPr>
      <w:r>
        <w:rPr>
          <w:rFonts w:ascii="Calibri" w:cs="Calibri" w:eastAsia="Calibri" w:hAnsi="Calibri"/>
          <w:sz w:val="20"/>
          <w:szCs w:val="20"/>
        </w:rPr>
        <w:t xml:space="preserve">Gap statement, in one sentence: nobody has measured how much of the ROAD masquerade benchmark — the field’s reference hard case — is solvable by payload-level rules learned from ambient traffic alone, even though the dataset’s own construction procedure makes such a shortcut likely.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Aspect</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Detail</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Gap type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Evaluation gap (primary) with an empirical component</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1</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Blevins et al. (2021) established timing-only trivial baselines on ROAD. Masquerade preserves timing, so their analysis cannot reach it.</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2</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et al. benchmark four unsupervised methods on ROAD masquerade but include no trivial or payload-rule baseline.</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3</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Array (2026) shortcut audit performed the analogous payload analysis on Car-Hacking and Survival — not on ROAD masquerade.</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4</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ROAD authors themselves document the simulation procedure and flag it as a drawback, but do not analyse what it implies for detectability.</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Why unclosed</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construction detail is in the dataset paper, not in the papers that use it. Most users treat the masquerade captures as ground truth hard cases and move straight to modelling.</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Why now feasible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is one-click from Zenodo under CC-BY-4.0; a comparator implementation with a published protocol exists under MIT licence; the experiment is CPU-only.</w:t>
            </w:r>
          </w:p>
        </w:tc>
      </w:tr>
    </w:tbl>
    <w:p>
      <w:pPr>
        <w:pStyle w:val="Heading2"/>
        <w:spacing w:after="140" w:before="280"/>
      </w:pPr>
      <w:r>
        <w:t xml:space="preserve">5B.  Novelty Statement and Verification</w:t>
      </w:r>
    </w:p>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NOVELTY LEVEL: MEDIUM  </w:t>
      </w:r>
      <w:r>
        <w:rPr>
          <w:rFonts w:ascii="Calibri" w:cs="Calibri" w:eastAsia="Calibri" w:hAnsi="Calibri"/>
          <w:sz w:val="20"/>
          <w:szCs w:val="20"/>
        </w:rPr>
        <w:t xml:space="preserve">Close prior work exists and must be cited prominently. The contribution is a specific, untested cell: payload-level trivial detectors on ROAD masquerade, interpreted against the dataset’s documented construction procedure. Do NOT claim to be the first to audit CAN benchmarks — that claim is false and easily refuted.</w:t>
      </w:r>
    </w:p>
    <w:p>
      <w:pPr>
        <w:pStyle w:val="Heading3"/>
        <w:spacing w:after="120" w:before="220"/>
      </w:pPr>
      <w:r>
        <w:t xml:space="preserve">5B.1  Defensible novelty claim</w:t>
      </w:r>
    </w:p>
    <w:p>
      <w:pPr>
        <w:spacing w:after="120" w:line="276"/>
      </w:pPr>
      <w:r>
        <w:rPr>
          <w:rFonts w:ascii="Calibri" w:cs="Calibri" w:eastAsia="Calibri" w:hAnsi="Calibri"/>
          <w:i/>
          <w:iCs/>
          <w:sz w:val="20"/>
          <w:szCs w:val="20"/>
        </w:rPr>
        <w:t xml:space="preserve">“To the best of our knowledge, this is the first work to establish a payload-level trivial-baseline floor for the ROAD masquerade captures, and to connect that floor to the frame-deletion procedure by which those captures were simulated.”</w:t>
      </w:r>
    </w:p>
    <w:p>
      <w:pPr>
        <w:spacing w:after="120" w:line="276"/>
      </w:pPr>
      <w:r>
        <w:rPr>
          <w:rFonts w:ascii="Calibri" w:cs="Calibri" w:eastAsia="Calibri" w:hAnsi="Calibri"/>
          <w:sz w:val="20"/>
          <w:szCs w:val="20"/>
        </w:rPr>
        <w:t xml:space="preserve">Phrasing to AVOID, because each is refutable in one search: “first audit of CAN IDS benchmarks”; “first to show shortcut learning in CAN IDS”; “first trivial baseline on ROAD”.</w:t>
      </w:r>
    </w:p>
    <w:p>
      <w:pPr>
        <w:pStyle w:val="Heading3"/>
        <w:spacing w:after="120" w:before="220"/>
      </w:pPr>
      <w:r>
        <w:t xml:space="preserve">5B.2  Closest existing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560"/>
        <w:gridCol w:w="2300"/>
        <w:gridCol w:w="2250"/>
        <w:gridCol w:w="2500"/>
      </w:tblGrid>
      <w:tr>
        <w:trPr>
          <w:tblHeader/>
        </w:trPr>
        <w:tc>
          <w:tcPr>
            <w:tcW w:type="dxa" w:w="17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Closest paper</w:t>
            </w:r>
          </w:p>
        </w:tc>
        <w:tc>
          <w:tcPr>
            <w:tcW w:type="dxa" w:w="5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Yr</w:t>
            </w:r>
          </w:p>
        </w:tc>
        <w:tc>
          <w:tcPr>
            <w:tcW w:type="dxa" w:w="2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does</w:t>
            </w:r>
          </w:p>
        </w:tc>
        <w:tc>
          <w:tcPr>
            <w:tcW w:type="dxa" w:w="22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does NOT do</w:t>
            </w:r>
          </w:p>
        </w:tc>
        <w:tc>
          <w:tcPr>
            <w:tcW w:type="dxa" w:w="2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How ours differs</w:t>
            </w:r>
          </w:p>
        </w:tc>
      </w:tr>
      <w:tr>
        <w:tc>
          <w:tcPr>
            <w:tcW w:type="dxa" w:w="17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Blevins et al., arXiv:2101.05781</w:t>
            </w:r>
          </w:p>
        </w:tc>
        <w:tc>
          <w:tcPr>
            <w:tcW w:type="dxa" w:w="5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2021</w:t>
            </w:r>
          </w:p>
        </w:tc>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Benchmarks four time-based IDS on ROAD; establishes that timing statistics do well on injection attacks</w:t>
            </w:r>
          </w:p>
        </w:tc>
        <w:tc>
          <w:tcPr>
            <w:tcW w:type="dxa" w:w="22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Timing features only; cannot address masquerade, which preserves timing</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use PAYLOAD-level rules and target precisely the captures timing cannot reach. We cite this as the methodology we extend.</w:t>
            </w:r>
          </w:p>
        </w:tc>
      </w:tr>
      <w:tr>
        <w:tc>
          <w:tcPr>
            <w:tcW w:type="dxa" w:w="17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Array shortcut audit, doi 10.1016/j.array.2026.101112</w:t>
            </w:r>
          </w:p>
        </w:tc>
        <w:tc>
          <w:tcPr>
            <w:tcW w:type="dxa" w:w="5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Shows high ROC-AUC from restricted feature sets on Car-Hacking and Survival</w:t>
            </w:r>
          </w:p>
        </w:tc>
        <w:tc>
          <w:tcPr>
            <w:tcW w:type="dxa" w:w="22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Different datasets; does not cover ROAD masquerade</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Same question, different and harder corpus, with a construction-based explanation for the result</w:t>
            </w:r>
          </w:p>
        </w:tc>
      </w:tr>
      <w:tr>
        <w:tc>
          <w:tcPr>
            <w:tcW w:type="dxa" w:w="17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et al., arXiv:2406.13778 + repo</w:t>
            </w:r>
          </w:p>
        </w:tc>
        <w:tc>
          <w:tcPr>
            <w:tcW w:type="dxa" w:w="5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2024–26</w:t>
            </w:r>
          </w:p>
        </w:tc>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Benchmarks four unsupervised online methods on ROAD masquerade with a published AUC-ROC protocol</w:t>
            </w:r>
          </w:p>
        </w:tc>
        <w:tc>
          <w:tcPr>
            <w:tcW w:type="dxa" w:w="22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trivial or payload-rule baseline; reports method performance in absolute terms</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supply the floor their numbers should be read against, and reuse their protocol for comparability</w:t>
            </w:r>
          </w:p>
        </w:tc>
      </w:tr>
      <w:tr>
        <w:tc>
          <w:tcPr>
            <w:tcW w:type="dxa" w:w="17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Koltai et al., arXiv:2606.30430</w:t>
            </w:r>
          </w:p>
        </w:tc>
        <w:tc>
          <w:tcPr>
            <w:tcW w:type="dxa" w:w="5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Cross-dataset normalised comparison, 7 datasets × 5 methods</w:t>
            </w:r>
          </w:p>
        </w:tc>
        <w:tc>
          <w:tcPr>
            <w:tcW w:type="dxa" w:w="22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 trivial baselines; no per-capture masquerade difficulty analysis</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go deep on one corpus’ hard captures rather than broad across corpora</w:t>
            </w:r>
          </w:p>
        </w:tc>
      </w:tr>
      <w:tr>
        <w:tc>
          <w:tcPr>
            <w:tcW w:type="dxa" w:w="17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Verma et al., ROAD paper</w:t>
            </w:r>
          </w:p>
        </w:tc>
        <w:tc>
          <w:tcPr>
            <w:tcW w:type="dxa" w:w="5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w:t>
            </w:r>
          </w:p>
        </w:tc>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Documents the masquerade simulation procedure and lists it as a drawback</w:t>
            </w:r>
          </w:p>
        </w:tc>
        <w:tc>
          <w:tcPr>
            <w:tcW w:type="dxa" w:w="22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Does not analyse what the procedure implies for detectability</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turn their documented caveat into a measured result</w:t>
            </w:r>
          </w:p>
        </w:tc>
      </w:tr>
    </w:tbl>
    <w:p>
      <w:pPr>
        <w:pStyle w:val="Heading3"/>
        <w:spacing w:after="120" w:before="220"/>
      </w:pPr>
      <w:r>
        <w:t xml:space="preserve">5B.3  Search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Date of search</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29 September – 3 October 2026</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Databases</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arXiv, Semantic Scholar, Papers with Code, GitHub, IEEE Xplore, ACM DL, MDPI, ScienceDirect, PLOS, Zenodo, OSTI, general web search</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Representative queries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dataset CAN masquerade payload value-set rule”; “trivial baseline CAN intrusion detection ROAD”; “shortcut learning CAN IDS”; “masquerade attack detection ROAD benchmark 2026”; “per-ID payload range check CAN anomaly”; “CAN IDS benchmark audit naive baseline”; “ROAD dataset simulated masquerade construction”; “delta over trivial baseline intrusion detection”; plus year-restricted variants for 2025 and 2026</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Rounds run</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Three rounds of adversarial verification across 19 candidate topics; this topic is the survivor of that process</w:t>
            </w:r>
          </w:p>
        </w:tc>
      </w:tr>
    </w:tbl>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REMAINING NOVELTY RISK  </w:t>
      </w:r>
      <w:r>
        <w:rPr>
          <w:rFonts w:ascii="Calibri" w:cs="Calibri" w:eastAsia="Calibri" w:hAnsi="Calibri"/>
          <w:sz w:val="20"/>
          <w:szCs w:val="20"/>
        </w:rPr>
        <w:t xml:space="preserve">A preprint could appear before 15 October 2026. The groups most likely to pre-empt this are the ORNL team (Moriano, Bridges) and the CrySyS Lab (Koltai, Acs, Gazdag). RE-RUN the queries above on 13 October and check arXiv cs.CR listings. If pre-empted, pivot to the mitigation framing in §14.</w:t>
      </w:r>
    </w:p>
    <w:p>
      <w:pPr>
        <w:pStyle w:val="Heading2"/>
        <w:spacing w:after="140" w:before="280"/>
      </w:pPr>
      <w:r>
        <w:t xml:space="preserve">6.  Research Questions, Hypotheses and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w:trPr>
          <w:tblHeader/>
        </w:trPr>
        <w:tc>
          <w:tcPr>
            <w:tcW w:type="dxa" w:w="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t>
            </w:r>
          </w:p>
        </w:tc>
        <w:tc>
          <w:tcPr>
            <w:tcW w:type="dxa" w:w="3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Research question</w:t>
            </w:r>
          </w:p>
        </w:tc>
        <w:tc>
          <w:tcPr>
            <w:tcW w:type="dxa" w:w="48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Hypothesis</w:t>
            </w:r>
          </w:p>
        </w:tc>
      </w:tr>
      <w:tr>
        <w:tc>
          <w:tcPr>
            <w:tcW w:type="dxa" w:w="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RQ1</w:t>
            </w:r>
          </w:p>
        </w:tc>
        <w:tc>
          <w:tcPr>
            <w:tcW w:type="dxa" w:w="3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What detection performance do payload-level trivial rules, fitted only on ambient traffic, achieve on each of ROAD’s five masquerade captures?</w:t>
            </w:r>
          </w:p>
        </w:tc>
        <w:tc>
          <w:tcPr>
            <w:tcW w:type="dxa" w:w="4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H1: The three extreme-value attacks (max speedometer, max engine coolant, reverse light) are detected at high rates, because the frame-deletion construction preserves the fabrication attacks’ out-of-range payloads.</w:t>
            </w:r>
          </w:p>
        </w:tc>
      </w:tr>
      <w:tr>
        <w:tc>
          <w:tcPr>
            <w:tcW w:type="dxa" w:w="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RQ2</w:t>
            </w:r>
          </w:p>
        </w:tc>
        <w:tc>
          <w:tcPr>
            <w:tcW w:type="dxa" w:w="3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Does the trivial floor differ systematically across masquerade captures, and can that difference be explained by attack semantics?</w:t>
            </w:r>
          </w:p>
        </w:tc>
        <w:tc>
          <w:tcPr>
            <w:tcW w:type="dxa" w:w="4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H2: Correlated-signal resists trivial rules, because it manipulates the joint consistency of four wheel-speed signals while each stays individually within its ambient range.</w:t>
            </w:r>
          </w:p>
        </w:tc>
      </w:tr>
      <w:tr>
        <w:tc>
          <w:tcPr>
            <w:tcW w:type="dxa" w:w="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RQ3</w:t>
            </w:r>
          </w:p>
        </w:tc>
        <w:tc>
          <w:tcPr>
            <w:tcW w:type="dxa" w:w="3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How much of the performance reported by published masquerade detectors on ROAD exceeds this floor?</w:t>
            </w:r>
          </w:p>
        </w:tc>
        <w:tc>
          <w:tcPr>
            <w:tcW w:type="dxa" w:w="4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H3: The delta-over-trivial is small for the extreme-value captures and substantial only for correlated-signal.</w:t>
            </w:r>
          </w:p>
        </w:tc>
      </w:tr>
    </w:tbl>
    <w:p>
      <w:pPr>
        <w:pStyle w:val="Heading3"/>
        <w:spacing w:after="120" w:before="220"/>
      </w:pPr>
      <w:r>
        <w:t xml:space="preserve">6.1  Contributions, as they would appear in the introduction</w:t>
      </w:r>
    </w:p>
    <w:p>
      <w:pPr>
        <w:pStyle w:val="ListParagraph"/>
        <w:numPr>
          <w:ilvl w:val="0"/>
          <w:numId w:val="2"/>
        </w:numPr>
        <w:spacing w:after="60" w:line="276"/>
      </w:pPr>
      <w:r>
        <w:t xml:space="preserve">We establish the first payload-level trivial-baseline floor for the five masquerade captures of the ROAD dataset, using detectors fitted exclusively on attack-free ambient traffic.</w:t>
      </w:r>
    </w:p>
    <w:p>
      <w:pPr>
        <w:pStyle w:val="ListParagraph"/>
        <w:numPr>
          <w:ilvl w:val="0"/>
          <w:numId w:val="2"/>
        </w:numPr>
        <w:spacing w:after="60" w:line="276"/>
      </w:pPr>
      <w:r>
        <w:t xml:space="preserve">We connect that floor to the documented frame-deletion procedure by which ROAD’s masquerade captures were simulated, giving a mechanistic explanation rather than an empirical curiosity.</w:t>
      </w:r>
    </w:p>
    <w:p>
      <w:pPr>
        <w:pStyle w:val="ListParagraph"/>
        <w:numPr>
          <w:ilvl w:val="0"/>
          <w:numId w:val="2"/>
        </w:numPr>
        <w:spacing w:after="60" w:line="276"/>
      </w:pPr>
      <w:r>
        <w:t xml:space="preserve">We report a per-capture delta-over-trivial for published detectors, and argue it should accompany absolute scores in future CAN IDS papers.</w:t>
      </w:r>
    </w:p>
    <w:p>
      <w:pPr>
        <w:pStyle w:val="ListParagraph"/>
        <w:numPr>
          <w:ilvl w:val="0"/>
          <w:numId w:val="2"/>
        </w:numPr>
        <w:spacing w:after="60" w:line="276"/>
      </w:pPr>
      <w:r>
        <w:t xml:space="preserve">We identify correlated-signal as the only ROAD masquerade capture that resists payload-level shortcuts, and therefore the most informative of the five.</w:t>
      </w:r>
    </w:p>
    <w:p>
      <w:pPr>
        <w:pStyle w:val="ListParagraph"/>
        <w:numPr>
          <w:ilvl w:val="0"/>
          <w:numId w:val="2"/>
        </w:numPr>
        <w:spacing w:after="60" w:line="276"/>
      </w:pPr>
      <w:r>
        <w:t xml:space="preserve">We release the evaluation code and the floor table so that subsequent work can report against them.</w:t>
      </w:r>
    </w:p>
    <w:p>
      <w:pPr>
        <w:pStyle w:val="Heading2"/>
        <w:spacing w:after="140" w:before="280"/>
      </w:pPr>
      <w:r>
        <w:t xml:space="preserve">7.  Resources Required</w:t>
      </w:r>
    </w:p>
    <w:p>
      <w:pPr>
        <w:pStyle w:val="Heading3"/>
        <w:spacing w:after="120" w:before="220"/>
      </w:pPr>
      <w:r>
        <w:t xml:space="preserve">7.1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Name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Real ORNL Automotive Dynamometer (ROAD) CAN Intrusion Dataset  [VERIFIED]</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DOI</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10.5281/zenodo.10462796</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URL</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https://zenodo.org/records/10462796</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Licence</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CC-BY-4.0  [VERIFIED] — attribution required; commercial use permitted</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Archive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single file, road.zip, 556.7 MB  [VERIFIED]</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Published</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2020-12-28  [VERIFIED]</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Contents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33 attack captures (~30 min total) and 12 ambient captures (~3 h)  [VERIFIED from the paper]</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Signal format</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Signal-translated time series provided for 17 of the 33 attack captures and ALL ambient captures, produced with the CAN-D algorithm  [VERIFIED]</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Labels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Attack INTERVALS are labelled, not individual messages  [VERIFIED] — this materially affects metric computation; see §9.2</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Timestamps</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Accurate to 100 µs  [VERIFIED]</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Known caveats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Single vehicle; dynamometer only; AID order obfuscated so bus priority is NOT preserved; no physical-layer data  [all VERIFIED from the paper’s drawbacks section]</w:t>
            </w:r>
          </w:p>
        </w:tc>
      </w:tr>
    </w:tbl>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DAY-1 CHECK  </w:t>
      </w:r>
      <w:r>
        <w:rPr>
          <w:rFonts w:ascii="Calibri" w:cs="Calibri" w:eastAsia="Calibri" w:hAnsi="Calibri"/>
          <w:sz w:val="20"/>
          <w:szCs w:val="20"/>
        </w:rPr>
        <w:t xml:space="preserve">Download road.zip and confirm the internal directory layout and exact capture filenames. The paper references Table 5 and an appendix for the itemised capture list, which I could not fully transcribe from the web version. Your first task is to list the archive and write the real filenames into a config file. Do NOT hard-code filenames guessed from this document.</w:t>
      </w:r>
    </w:p>
    <w:p>
      <w:pPr>
        <w:pStyle w:val="Heading3"/>
        <w:spacing w:after="120" w:before="220"/>
      </w:pPr>
      <w:r>
        <w:t xml:space="preserve">7.2  Comparator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1100"/>
        <w:gridCol w:w="2200"/>
        <w:gridCol w:w="2010"/>
      </w:tblGrid>
      <w:tr>
        <w:trPr>
          <w:tblHeader/>
        </w:trPr>
        <w:tc>
          <w:tcPr>
            <w:tcW w:type="dxa" w:w="2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Repo</w:t>
            </w:r>
          </w:p>
        </w:tc>
        <w:tc>
          <w:tcPr>
            <w:tcW w:type="dxa" w:w="11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Licence</w:t>
            </w:r>
          </w:p>
        </w:tc>
        <w:tc>
          <w:tcPr>
            <w:tcW w:type="dxa" w:w="1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Last push</w:t>
            </w:r>
          </w:p>
        </w:tc>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Use</w:t>
            </w:r>
          </w:p>
        </w:tc>
        <w:tc>
          <w:tcPr>
            <w:tcW w:type="dxa" w:w="201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Caveat</w:t>
            </w:r>
          </w:p>
        </w:tc>
      </w:tr>
      <w:tr>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github.com/pmoriano/benchmarking-unsupervised-online-IDS-masquerade-attacks</w:t>
            </w:r>
          </w:p>
        </w:tc>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MIT  [VERIFIED]</w:t>
            </w:r>
          </w:p>
        </w:tc>
        <w:tc>
          <w:tcPr>
            <w:tcW w:type="dxa" w:w="1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2024-08-23  [VERIFIED]</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Four unsupervised masquerade methods + published AUC-ROC protocol. PRIMARY comparator.</w:t>
            </w:r>
          </w:p>
        </w:tc>
        <w:tc>
          <w:tcPr>
            <w:tcW w:type="dxa" w:w="20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Two years since last push; expect dependency pinning work. MIT is permissive — safe to reuse and redistribute with attribution.</w:t>
            </w:r>
          </w:p>
        </w:tc>
      </w:tr>
      <w:tr>
        <w:tc>
          <w:tcPr>
            <w:tcW w:type="dxa" w:w="2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github.com/CrySyS/Cross-Dataset-Study-of-Automotive-IDS-Evaluation</w:t>
            </w:r>
          </w:p>
        </w:tc>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GPL-3.0  [VERIFIED]</w:t>
            </w:r>
          </w:p>
        </w:tc>
        <w:tc>
          <w:tcPr>
            <w:tcW w:type="dxa" w:w="1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2026-07-14  [VERIFIED]</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Dataset adapters and five learned methods incl. a ROAD adapter. Secondary comparator.</w:t>
            </w:r>
          </w:p>
        </w:tc>
        <w:tc>
          <w:tcPr>
            <w:tcW w:type="dxa" w:w="20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GPL-3.0 is COPYLEFT. If you import this code into your release, your release must also be GPL-3.0. If you want a permissive licence, keep it as a separate optional module or reimplement.</w:t>
            </w:r>
          </w:p>
        </w:tc>
      </w:tr>
    </w:tbl>
    <w:p>
      <w:pPr>
        <w:pStyle w:val="Heading3"/>
        <w:spacing w:after="120" w:before="220"/>
      </w:pPr>
      <w:r>
        <w:t xml:space="preserve">7.3  Software environment</w:t>
      </w:r>
    </w:p>
    <rootKey>w:p</rootKey>
    <rootKey>w:p</rootKey>
    <rootKey>w:p</rootKey>
    <rootKey>w:p</rootKey>
    <rootKey>w:p</rootKey>
    <rootKey>w:p</rootKey>
    <rootKey>w:p</rootKey>
    <rootKey>w:p</rootKey>
    <rootKey>w:p</rootKey>
    <rootKey>w:p</rootKey>
    <rootKey>w:p</rootKey>
    <w:p>
      <w:pPr>
        <w:pStyle w:val="Heading3"/>
        <w:spacing w:after="120" w:before="220"/>
      </w:pPr>
      <w:r>
        <w:t xml:space="preserve">7.4  Hardware and compute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Experiment</w:t>
            </w:r>
          </w:p>
        </w:tc>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Hardware</w:t>
            </w:r>
          </w:p>
        </w:tc>
        <w:tc>
          <w:tcPr>
            <w:tcW w:type="dxa" w:w="27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Est. time</w:t>
            </w:r>
          </w:p>
        </w:tc>
      </w:tr>
      <w:tr>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Parse + cache all captures to parquet</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CPU</w:t>
            </w:r>
          </w:p>
        </w:tc>
        <w:tc>
          <w:tcPr>
            <w:tcW w:type="dxa" w:w="2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10–20 min (ESTIMATE)</w:t>
            </w:r>
          </w:p>
        </w:tc>
      </w:tr>
      <w:tr>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Fit trivial detectors on ambient</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CPU</w:t>
            </w:r>
          </w:p>
        </w:tc>
        <w:tc>
          <w:tcPr>
            <w:tcW w:type="dxa" w:w="2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&lt; 2 min (ESTIMATE)</w:t>
            </w:r>
          </w:p>
        </w:tc>
      </w:tr>
      <w:tr>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Score all 5 masquerade + 5 fabrication captures</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CPU</w:t>
            </w:r>
          </w:p>
        </w:tc>
        <w:tc>
          <w:tcPr>
            <w:tcW w:type="dxa" w:w="2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&lt; 5 min (ESTIMATE)</w:t>
            </w:r>
          </w:p>
        </w:tc>
      </w:tr>
      <w:tr>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Sensitivity sweep (percentile thresholds × window sizes)</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CPU</w:t>
            </w:r>
          </w:p>
        </w:tc>
        <w:tc>
          <w:tcPr>
            <w:tcW w:type="dxa" w:w="2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20–40 min (ESTIMATE)</w:t>
            </w:r>
          </w:p>
        </w:tc>
      </w:tr>
      <w:tr>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comparator reproduction</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CPU</w:t>
            </w:r>
          </w:p>
        </w:tc>
        <w:tc>
          <w:tcPr>
            <w:tcW w:type="dxa" w:w="2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1–3 h (ESTIMATE; depends on method)</w:t>
            </w:r>
          </w:p>
        </w:tc>
      </w:tr>
      <w:tr>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Optional learned comparator</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L4 GPU</w:t>
            </w:r>
          </w:p>
        </w:tc>
        <w:tc>
          <w:tcPr>
            <w:tcW w:type="dxa" w:w="2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&lt; 1 h (ESTIMATE)</w:t>
            </w:r>
          </w:p>
        </w:tc>
      </w:tr>
    </w:tbl>
    <w:p>
      <w:pPr>
        <w:spacing w:after="120" w:line="276"/>
      </w:pPr>
      <w:r>
        <w:rPr>
          <w:rFonts w:ascii="Calibri" w:cs="Calibri" w:eastAsia="Calibri" w:hAnsi="Calibri"/>
          <w:sz w:val="20"/>
          <w:szCs w:val="20"/>
        </w:rPr>
        <w:t xml:space="preserve">Total GPU requirement: effectively zero. This project is deliberately insulated from GPU contention on the shared node.</w:t>
      </w:r>
    </w:p>
    <w:p>
      <w:pPr>
        <w:pStyle w:val="Heading3"/>
        <w:spacing w:after="120" w:before="220"/>
      </w:pPr>
      <w:r>
        <w:t xml:space="preserve">7.5  Backups if a dependency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If this fails</w:t>
            </w:r>
          </w:p>
        </w:tc>
        <w:tc>
          <w:tcPr>
            <w:tcW w:type="dxa" w:w="6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Fallback</w:t>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Zenodo download is slow or blocked</w:t>
            </w:r>
          </w:p>
        </w:tc>
        <w:tc>
          <w:tcPr>
            <w:tcW w:type="dxa" w:w="6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is also mirrored via the ORNL/OSTI record; and the signal CSVs alone are a small subset of the archive</w:t>
            </w:r>
          </w:p>
        </w:tc>
      </w:tr>
      <w:tr>
        <w:tc>
          <w:tcPr>
            <w:tcW w:type="dxa" w:w="2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repo will not run</w:t>
            </w:r>
          </w:p>
        </w:tc>
        <w:tc>
          <w:tcPr>
            <w:tcW w:type="dxa" w:w="6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Implement the comparison against published numbers from the papers instead, and state clearly that comparators are quoted rather than re-run</w:t>
            </w:r>
          </w:p>
        </w:tc>
      </w:tr>
      <w:tr>
        <w:tc>
          <w:tcPr>
            <w:tcW w:type="dxa" w:w="2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Signal-translated CSVs missing for a capture</w:t>
            </w:r>
          </w:p>
        </w:tc>
        <w:tc>
          <w:tcPr>
            <w:tcW w:type="dxa" w:w="6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Fall back to raw-payload byte-level rules, which need no signal translation. The byte value-set detector is designed to work without signal definitions precisely for this reason.</w:t>
            </w:r>
          </w:p>
        </w:tc>
      </w:tr>
      <w:tr>
        <w:tc>
          <w:tcPr>
            <w:tcW w:type="dxa" w:w="2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CrySyS harness has dependency rot</w:t>
            </w:r>
          </w:p>
        </w:tc>
        <w:tc>
          <w:tcPr>
            <w:tcW w:type="dxa" w:w="6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Drop it. It is a secondary comparator only, and its GPL-3.0 licence is a complication you do not need.</w:t>
            </w:r>
          </w:p>
        </w:tc>
      </w:tr>
    </w:tbl>
    <w:p>
      <w:pPr>
        <w:pStyle w:val="Heading2"/>
        <w:spacing w:after="140" w:before="280"/>
      </w:pPr>
      <w:r>
        <w:t xml:space="preserve">8.  Methodology</w:t>
      </w:r>
    </w:p>
    <w:p>
      <w:pPr>
        <w:pStyle w:val="Heading3"/>
        <w:spacing w:after="120" w:before="220"/>
      </w:pPr>
      <w:r>
        <w:t xml:space="preserve">8.1  Core idea</w:t>
      </w:r>
    </w:p>
    <w:p>
      <w:pPr>
        <w:spacing w:after="120" w:line="276"/>
      </w:pPr>
      <w:r>
        <w:rPr>
          <w:rFonts w:ascii="Calibri" w:cs="Calibri" w:eastAsia="Calibri" w:hAnsi="Calibri"/>
          <w:sz w:val="20"/>
          <w:szCs w:val="20"/>
        </w:rPr>
        <w:t xml:space="preserve">Fit a per-AID model of “what payload values this ID has ever legitimately shown” using ONLY ambient captures. Then score attack captures by how often frames violate that model. No attack data is used for fitting — this is essential to the argument, because a detector that has seen attacks is not trivial.</w:t>
      </w:r>
    </w:p>
    <w:p>
      <w:pPr>
        <w:pStyle w:val="Heading3"/>
        <w:spacing w:after="120" w:before="220"/>
      </w:pPr>
      <w:r>
        <w:t xml:space="preserve">8.2  The four trivial detectors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260"/>
        <w:gridCol w:w="1700"/>
      </w:tblGrid>
      <w:tr>
        <w:trPr>
          <w:tblHeader/>
        </w:trPr>
        <w:tc>
          <w:tcPr>
            <w:tcW w:type="dxa" w:w="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dxa" w:w="1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Detector</w:t>
            </w:r>
          </w:p>
        </w:tc>
        <w:tc>
          <w:tcPr>
            <w:tcW w:type="dxa" w:w="5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Definition</w:t>
            </w:r>
          </w:p>
        </w:tc>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Fitted on</w:t>
            </w:r>
          </w:p>
        </w:tc>
      </w:tr>
      <w:tr>
        <w:tc>
          <w:tcPr>
            <w:tcW w:type="dxa" w:w="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T1</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Per-AID byte value-set membership</w:t>
            </w:r>
          </w:p>
        </w:tc>
        <w:tc>
          <w:tcPr>
            <w:tcW w:type="dxa" w:w="5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For each AID and each byte position b, record the SET of values observed in ambient. Flag a frame if any byte takes a value never seen for that (AID, b).</w:t>
            </w:r>
          </w:p>
        </w:tc>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Ambient only</w:t>
            </w:r>
          </w:p>
        </w:tc>
      </w:tr>
      <w:tr>
        <w:tc>
          <w:tcPr>
            <w:tcW w:type="dxa" w:w="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T2</w:t>
            </w:r>
          </w:p>
        </w:tc>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Per-AID byte range check</w:t>
            </w:r>
          </w:p>
        </w:tc>
        <w:tc>
          <w:tcPr>
            <w:tcW w:type="dxa" w:w="5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For each (AID, b), record [min, max] over ambient. Flag if any byte falls outside. Strictly weaker than T1 but robust to sparse ambient coverage.</w:t>
            </w:r>
          </w:p>
        </w:tc>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Ambient only</w:t>
            </w:r>
          </w:p>
        </w:tc>
      </w:tr>
      <w:tr>
        <w:tc>
          <w:tcPr>
            <w:tcW w:type="dxa" w:w="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T3</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Per-signal envelope</w:t>
            </w:r>
          </w:p>
        </w:tc>
        <w:tc>
          <w:tcPr>
            <w:tcW w:type="dxa" w:w="5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 signal-translated captures: for each (AID, signal), record [p0, p100] (and a percentile variant [p0.1, p99.9]). Flag if any signal leaves the envelope.</w:t>
            </w:r>
          </w:p>
        </w:tc>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Ambient only</w:t>
            </w:r>
          </w:p>
        </w:tc>
      </w:tr>
      <w:tr>
        <w:tc>
          <w:tcPr>
            <w:tcW w:type="dxa" w:w="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T4</w:t>
            </w:r>
          </w:p>
        </w:tc>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Per-AID payload novelty</w:t>
            </w:r>
          </w:p>
        </w:tc>
        <w:tc>
          <w:tcPr>
            <w:tcW w:type="dxa" w:w="5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Treat the full payload as a tuple; flag if the exact payload tuple for that AID was never seen in ambient. An upper bound on memorisation-style detection.</w:t>
            </w:r>
          </w:p>
        </w:tc>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Ambient only</w:t>
            </w:r>
          </w:p>
        </w:tc>
      </w:tr>
    </w:tbl>
    <w:p>
      <w:pPr>
        <w:spacing w:after="120" w:line="276"/>
      </w:pPr>
      <w:r>
        <w:rPr>
          <w:rFonts w:ascii="Calibri" w:cs="Calibri" w:eastAsia="Calibri" w:hAnsi="Calibri"/>
          <w:sz w:val="20"/>
          <w:szCs w:val="20"/>
        </w:rPr>
        <w:t xml:space="preserve">T1 and T2 require no signal definitions and work on raw payloads. T3 requires the signal-translated CSVs and is the most interpretable. T4 is deliberately extreme and is included to bound the effect.</w:t>
      </w:r>
    </w:p>
    <w:p>
      <w:pPr>
        <w:pStyle w:val="Heading3"/>
        <w:spacing w:after="120" w:before="220"/>
      </w:pPr>
      <w:r>
        <w:t xml:space="preserve">8.3  Method diagram (for Figure 1)</w:t>
      </w:r>
    </w:p>
    <w:p>
      <w:pPr>
        <w:spacing w:after="120" w:line="276"/>
      </w:pPr>
      <w:r>
        <w:rPr>
          <w:rFonts w:ascii="Calibri" w:cs="Calibri" w:eastAsia="Calibri" w:hAnsi="Calibri"/>
          <w:sz w:val="20"/>
          <w:szCs w:val="20"/>
        </w:rPr>
        <w:t xml:space="preserve">Draw a left-to-right pipeline with three bands:</w:t>
      </w:r>
    </w:p>
    <w:p>
      <w:pPr>
        <w:pStyle w:val="ListParagraph"/>
        <w:numPr>
          <w:ilvl w:val="0"/>
          <w:numId w:val="3"/>
        </w:numPr>
        <w:spacing w:after="60" w:line="276"/>
      </w:pPr>
      <w:r>
        <w:t xml:space="preserve">Band 1 — FIT (top, green). Box “ROAD ambient captures (12, ~3 h)” → box “Group by AID” → box “Per-AID statistics: value sets, ranges, signal envelopes” → cylinder “Trivial detector parameters”. Label the band “attack-free data only”.</w:t>
      </w:r>
    </w:p>
    <w:p>
      <w:pPr>
        <w:pStyle w:val="ListParagraph"/>
        <w:numPr>
          <w:ilvl w:val="0"/>
          <w:numId w:val="3"/>
        </w:numPr>
        <w:spacing w:after="60" w:line="276"/>
      </w:pPr>
      <w:r>
        <w:t xml:space="preserve">Band 2 — SCORE (middle, blue). Box “ROAD attack capture” → box “Group by AID” → diamond “violates per-AID model?” → box “Per-frame flags” → box “Aggregate to attack interval”. An arrow comes down from the cylinder in Band 1 into the diamond.</w:t>
      </w:r>
    </w:p>
    <w:p>
      <w:pPr>
        <w:pStyle w:val="ListParagraph"/>
        <w:numPr>
          <w:ilvl w:val="0"/>
          <w:numId w:val="3"/>
        </w:numPr>
        <w:spacing w:after="60" w:line="276"/>
      </w:pPr>
      <w:r>
        <w:t xml:space="preserve">Band 3 — COMPARE (bottom, grey). Box “Published detector scores (Moriano protocol)” and box “Trivial floor” both → box “Delta-over-trivial per capture” → output “Table II and Figure 2”.</w:t>
      </w:r>
    </w:p>
    <w:p>
      <w:pPr>
        <w:pStyle w:val="ListParagraph"/>
        <w:numPr>
          <w:ilvl w:val="0"/>
          <w:numId w:val="3"/>
        </w:numPr>
        <w:spacing w:after="60" w:line="276"/>
      </w:pPr>
      <w:r>
        <w:t xml:space="preserve">Annotate the join between the fabrication and masquerade captures with the construction note: “masquerade = fabrication with victim frames deleted”, since that is the paper’s explanatory mechanism.</w:t>
      </w:r>
    </w:p>
    <w:p>
      <w:pPr>
        <w:pStyle w:val="Heading3"/>
        <w:spacing w:after="120" w:before="220"/>
      </w:pPr>
      <w:r>
        <w:t xml:space="preserve">8.4  Pseudocode</w:t>
      </w:r>
    </w:p>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rootKey>w:p</rootKey>
    <w:p>
      <w:pPr>
        <w:pStyle w:val="Heading3"/>
        <w:spacing w:after="120" w:before="220"/>
      </w:pPr>
      <w:r>
        <w:t xml:space="preserve">8.5  How this differs from the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Baseline</w:t>
            </w:r>
          </w:p>
        </w:tc>
        <w:tc>
          <w:tcPr>
            <w:tcW w:type="dxa" w:w="3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uses</w:t>
            </w:r>
          </w:p>
        </w:tc>
        <w:tc>
          <w:tcPr>
            <w:tcW w:type="dxa" w:w="38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we do differently</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Blevins et al. (2021)</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Inter-arrival times and message counts</w:t>
            </w:r>
          </w:p>
        </w:tc>
        <w:tc>
          <w:tcPr>
            <w:tcW w:type="dxa" w:w="3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use payload content; we target the captures they excluded</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et al.</w:t>
            </w:r>
          </w:p>
        </w:tc>
        <w:tc>
          <w:tcPr>
            <w:tcW w:type="dxa" w:w="3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Learned unsupervised models over signal time series</w:t>
            </w:r>
          </w:p>
        </w:tc>
        <w:tc>
          <w:tcPr>
            <w:tcW w:type="dxa" w:w="3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use non-learned rules fitted on ambient only, as a floor beneath their numbers</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MIDS / graph ML / residualisation</w:t>
            </w:r>
          </w:p>
        </w:tc>
        <w:tc>
          <w:tcPr>
            <w:tcW w:type="dxa" w:w="3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Deep or structural models</w:t>
            </w:r>
          </w:p>
        </w:tc>
        <w:tc>
          <w:tcPr>
            <w:tcW w:type="dxa" w:w="3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ask what score is reachable with no model at all</w:t>
            </w:r>
          </w:p>
        </w:tc>
      </w:tr>
    </w:tbl>
    <w:p>
      <w:pPr>
        <w:pStyle w:val="Heading2"/>
        <w:spacing w:after="140" w:before="280"/>
      </w:pPr>
      <w:r>
        <w:t xml:space="preserve">9.  Experimental Design</w:t>
      </w:r>
    </w:p>
    <w:p>
      <w:pPr>
        <w:pStyle w:val="Heading3"/>
        <w:spacing w:after="120" w:before="220"/>
      </w:pPr>
      <w:r>
        <w:t xml:space="preserve">9.1  Baselines to compare against and why</w:t>
      </w:r>
    </w:p>
    <w:p>
      <w:pPr>
        <w:pStyle w:val="ListParagraph"/>
        <w:numPr>
          <w:ilvl w:val="0"/>
          <w:numId w:val="2"/>
        </w:numPr>
        <w:spacing w:after="60" w:line="276"/>
      </w:pPr>
      <w:r>
        <w:t xml:space="preserve">T1–T4 trivial detectors — the floor itself. This is the contribution, not a comparator.</w:t>
      </w:r>
    </w:p>
    <w:p>
      <w:pPr>
        <w:pStyle w:val="ListParagraph"/>
        <w:numPr>
          <w:ilvl w:val="0"/>
          <w:numId w:val="2"/>
        </w:numPr>
        <w:spacing w:after="60" w:line="276"/>
      </w:pPr>
      <w:r>
        <w:t xml:space="preserve">Moriano et al.’s four unsupervised online methods — the published state of the art on exactly these captures, with a published protocol. Primary comparator.</w:t>
      </w:r>
    </w:p>
    <w:p>
      <w:pPr>
        <w:pStyle w:val="ListParagraph"/>
        <w:numPr>
          <w:ilvl w:val="0"/>
          <w:numId w:val="2"/>
        </w:numPr>
        <w:spacing w:after="60" w:line="276"/>
      </w:pPr>
      <w:r>
        <w:t xml:space="preserve">IsolationForest on per-AID payload features — a cheap “real ML” control, to show the floor is not an artefact of comparing against nothing.</w:t>
      </w:r>
    </w:p>
    <w:p>
      <w:pPr>
        <w:pStyle w:val="ListParagraph"/>
        <w:numPr>
          <w:ilvl w:val="0"/>
          <w:numId w:val="2"/>
        </w:numPr>
        <w:spacing w:after="60" w:line="276"/>
      </w:pPr>
      <w:r>
        <w:t xml:space="preserve">Published numbers from MIDS and the residualisation paper — quoted, not re-run, and clearly labelled as quoted.</w:t>
      </w:r>
    </w:p>
    <w:p>
      <w:pPr>
        <w:pStyle w:val="Heading3"/>
        <w:spacing w:after="120" w:before="220"/>
      </w:pPr>
      <w:r>
        <w:t xml:space="preserve">9.2  Metrics and a critical caveat</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LABEL GRANULARITY — READ THIS BEFORE COMPUTING ANY METRIC  </w:t>
      </w:r>
      <w:r>
        <w:rPr>
          <w:rFonts w:ascii="Calibri" w:cs="Calibri" w:eastAsia="Calibri" w:hAnsi="Calibri"/>
          <w:sz w:val="20"/>
          <w:szCs w:val="20"/>
        </w:rPr>
        <w:t xml:space="preserve">ROAD labels attack INTERVALS, not individual messages [VERIFIED from the paper]. Computing per-frame F1 against interval labels silently mislabels every benign frame that falls inside an attack window, and inflates or deflates results unpredictably. Use the windowed aggregation in §8.4 and report AUC-ROC over windows, matching Moriano et al.’s protocol so your numbers are comparable to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Metric</w:t>
            </w:r>
          </w:p>
        </w:tc>
        <w:tc>
          <w:tcPr>
            <w:tcW w:type="dxa" w:w="6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Why</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AUC-ROC over sliding windows</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Threshold-free; matches the published comparator protocol; robust to the heavy class imbalance of short attack intervals</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Precision–recall AUC</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More informative than ROC under strong imbalance; report both</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Per-capture detection rate at a fixed low false-positive rate (e.g. 1% FPR on ambient)</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This is the operationally meaningful number and is easy for a reviewer to interpret</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Delta-over-trivial (ours)</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AUC(published) − AUC(best trivial). The quantity the paper argues should be reported.</w:t>
            </w:r>
          </w:p>
        </w:tc>
      </w:tr>
    </w:tbl>
    <w:p>
      <w:pPr>
        <w:pStyle w:val="Heading3"/>
        <w:spacing w:after="120" w:before="220"/>
      </w:pPr>
      <w:r>
        <w:t xml:space="preserve">9.3  Full experiment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3100"/>
        <w:gridCol w:w="2960"/>
      </w:tblGrid>
      <w:tr>
        <w:trPr>
          <w:tblHeader/>
        </w:trPr>
        <w:tc>
          <w:tcPr>
            <w:tcW w:type="dxa" w:w="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t>
            </w:r>
          </w:p>
        </w:tc>
        <w:tc>
          <w:tcPr>
            <w:tcW w:type="dxa" w:w="2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Experiment</w:t>
            </w:r>
          </w:p>
        </w:tc>
        <w:tc>
          <w:tcPr>
            <w:tcW w:type="dxa" w:w="3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Purpose</w:t>
            </w:r>
          </w:p>
        </w:tc>
        <w:tc>
          <w:tcPr>
            <w:tcW w:type="dxa" w:w="29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Output</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w:t>
            </w:r>
          </w:p>
        </w:tc>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Baseline reproduction: run Moriano et al.’s methods on ROAD masquerade using their repo and protocol</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Confirm we can reproduce published comparator numbers before claiming anything about them</w:t>
            </w:r>
          </w:p>
        </w:tc>
        <w:tc>
          <w:tcPr>
            <w:tcW w:type="dxa" w:w="2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of reproduced vs published AUC. If they differ, say so plainly.</w:t>
            </w:r>
          </w:p>
        </w:tc>
      </w:tr>
      <w:tr>
        <w:tc>
          <w:tcPr>
            <w:tcW w:type="dxa" w:w="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w:t>
            </w:r>
          </w:p>
        </w:tc>
        <w:tc>
          <w:tcPr>
            <w:tcW w:type="dxa" w:w="2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Main comparison: T1–T4 on all 5 masquerade + 5 fabrication captures</w:t>
            </w:r>
          </w:p>
        </w:tc>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floor itself, and the fabrication contrast that shows the construction link</w:t>
            </w:r>
          </w:p>
        </w:tc>
        <w:tc>
          <w:tcPr>
            <w:tcW w:type="dxa" w:w="2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 Figure 2</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w:t>
            </w:r>
          </w:p>
        </w:tc>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Ablation: which component of the trivial rule carries the result — byte sets vs ranges vs signal envelopes vs full-tuple novelty; and per-byte position analysis</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Shows the result is not an artefact of one arbitrary rule choice</w:t>
            </w:r>
          </w:p>
        </w:tc>
        <w:tc>
          <w:tcPr>
            <w:tcW w:type="dxa" w:w="2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III</w:t>
            </w:r>
          </w:p>
        </w:tc>
      </w:tr>
      <w:tr>
        <w:tc>
          <w:tcPr>
            <w:tcW w:type="dxa" w:w="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w:t>
            </w:r>
          </w:p>
        </w:tc>
        <w:tc>
          <w:tcPr>
            <w:tcW w:type="dxa" w:w="2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Sensitivity: percentile threshold (p100 vs p99.9 vs p99), window length (0.25/0.5/1/2 s), amount of ambient used for fitting (10%…100%)</w:t>
            </w:r>
          </w:p>
        </w:tc>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Demonstrates robustness and tells future users how much ambient data is needed</w:t>
            </w:r>
          </w:p>
        </w:tc>
        <w:tc>
          <w:tcPr>
            <w:tcW w:type="dxa" w:w="2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Figure 3</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w:t>
            </w:r>
          </w:p>
        </w:tc>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Generalisation: apply the identical trivial detectors to the CrySyS masquerade captures (a second, independent corpus)</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Tests whether the shortcut is specific to ROAD’s construction or general to simulated masquerade data. This is the strongest single addition to the paper.</w:t>
            </w:r>
          </w:p>
        </w:tc>
        <w:tc>
          <w:tcPr>
            <w:tcW w:type="dxa" w:w="2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IV</w:t>
            </w:r>
          </w:p>
        </w:tc>
      </w:tr>
    </w:tbl>
    <w:p>
      <w:pPr>
        <w:pStyle w:val="Heading3"/>
        <w:spacing w:after="120" w:before="220"/>
      </w:pPr>
      <w:r>
        <w:t xml:space="preserve">9.4  Reproducibility plan</w:t>
      </w:r>
    </w:p>
    <w:p>
      <w:pPr>
        <w:pStyle w:val="ListParagraph"/>
        <w:numPr>
          <w:ilvl w:val="0"/>
          <w:numId w:val="2"/>
        </w:numPr>
        <w:spacing w:after="60" w:line="276"/>
      </w:pPr>
      <w:r>
        <w:t xml:space="preserve">Fixed seeds for every stochastic component (IsolationForest, any sampling). Seeds recorded in the config file, not in code.</w:t>
      </w:r>
    </w:p>
    <w:p>
      <w:pPr>
        <w:pStyle w:val="ListParagraph"/>
        <w:numPr>
          <w:ilvl w:val="0"/>
          <w:numId w:val="2"/>
        </w:numPr>
        <w:spacing w:after="60" w:line="276"/>
      </w:pPr>
      <w:r>
        <w:t xml:space="preserve">Minimum 3 runs wherever randomness is present; report mean ± standard deviation. The trivial detectors are deterministic, so for those a single run is correct and should be stated as such rather than faked into a mean.</w:t>
      </w:r>
    </w:p>
    <w:p>
      <w:pPr>
        <w:pStyle w:val="ListParagraph"/>
        <w:numPr>
          <w:ilvl w:val="0"/>
          <w:numId w:val="2"/>
        </w:numPr>
        <w:spacing w:after="60" w:line="276"/>
      </w:pPr>
      <w:r>
        <w:t xml:space="preserve">Significance: for comparisons between detectors on the same capture, use a bootstrap over windows (10,000 resamples) and report 95% confidence intervals on AUC differences. Avoid a t-test over 5 captures — n=5 is too small and reviewers notice.</w:t>
      </w:r>
    </w:p>
    <w:p>
      <w:pPr>
        <w:pStyle w:val="ListParagraph"/>
        <w:numPr>
          <w:ilvl w:val="0"/>
          <w:numId w:val="2"/>
        </w:numPr>
        <w:spacing w:after="60" w:line="276"/>
      </w:pPr>
      <w:r>
        <w:t xml:space="preserve">Every figure regenerable by a single command from cached parquet files. Commit the config, not the data.</w:t>
      </w:r>
    </w:p>
    <w:p>
      <w:pPr>
        <w:pStyle w:val="ListParagraph"/>
        <w:numPr>
          <w:ilvl w:val="0"/>
          <w:numId w:val="2"/>
        </w:numPr>
        <w:spacing w:after="60" w:line="276"/>
      </w:pPr>
      <w:r>
        <w:t xml:space="preserve">Record library versions with `pip freeze &gt; requirements.lock` at the end, and the exact ROAD archive checksum.</w:t>
      </w:r>
    </w:p>
    <w:p>
      <w:pPr>
        <w:pStyle w:val="Heading2"/>
        <w:spacing w:after="140" w:before="280"/>
      </w:pPr>
      <w:r>
        <w:t xml:space="preserve">10.  Step-by-Step Build Roadmap</w:t>
      </w:r>
    </w:p>
    <w:p>
      <w:pPr>
        <w:pBdr>
          <w:left w:val="single" w:color="2E7D32" w:sz="18"/>
        </w:pBdr>
        <w:shd w:fill="E2EFDA" w:val="clear"/>
        <w:spacing w:after="160" w:before="120" w:line="276"/>
        <w:ind w:left="140" w:right="140"/>
      </w:pPr>
      <w:r>
        <w:rPr>
          <w:rFonts w:ascii="Calibri" w:cs="Calibri" w:eastAsia="Calibri" w:hAnsi="Calibri"/>
          <w:b/>
          <w:bCs/>
          <w:sz w:val="20"/>
          <w:szCs w:val="20"/>
        </w:rPr>
        <w:t xml:space="preserve">THIS IS THE SECTION TO HAND TO THE AI CODER  </w:t>
      </w:r>
      <w:r>
        <w:rPr>
          <w:rFonts w:ascii="Calibri" w:cs="Calibri" w:eastAsia="Calibri" w:hAnsi="Calibri"/>
          <w:sz w:val="20"/>
          <w:szCs w:val="20"/>
        </w:rPr>
        <w:t xml:space="preserve">Steps are ordered and each one is independently verifiable. Do not skip ahead. If a step’s success criterion is not met, stop and fix it — later steps assume it passed.</w:t>
      </w:r>
    </w:p>
    <w:p>
      <w:pPr>
        <w:pStyle w:val="Heading3"/>
        <w:spacing w:after="120" w:before="220"/>
      </w:pPr>
      <w:r>
        <w:t xml:space="preserve">Stage A — Environment setup</w:t>
      </w:r>
    </w:p>
    <w:p>
      <w:pPr>
        <w:pStyle w:val="Heading3"/>
        <w:spacing w:after="120" w:before="220"/>
      </w:pPr>
      <w:r>
        <w:t xml:space="preserve">Step A1 — Create the environment</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reproducible Python environment that does not disturb the existing `iccfi` conda env.</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 On the lab node (ailab@node1)</w:t>
      </w:r>
    </w:p>
    <w:p>
      <w:pPr>
        <w:shd w:fill="F2F2F2" w:val="clear"/>
        <w:spacing w:after="0" w:line="240"/>
        <w:ind w:left="180"/>
      </w:pPr>
      <w:r>
        <w:rPr>
          <w:rFonts w:ascii="Consolas" w:cs="Consolas" w:eastAsia="Consolas" w:hAnsi="Consolas"/>
          <w:sz w:val="17"/>
          <w:szCs w:val="17"/>
        </w:rPr>
        <w:t xml:space="preserve">conda create -n roadmasq python=3.11 -y</w:t>
      </w:r>
    </w:p>
    <w:p>
      <w:pPr>
        <w:shd w:fill="F2F2F2" w:val="clear"/>
        <w:spacing w:after="0" w:line="240"/>
        <w:ind w:left="180"/>
      </w:pPr>
      <w:r>
        <w:rPr>
          <w:rFonts w:ascii="Consolas" w:cs="Consolas" w:eastAsia="Consolas" w:hAnsi="Consolas"/>
          <w:sz w:val="17"/>
          <w:szCs w:val="17"/>
        </w:rPr>
        <w:t xml:space="preserve">conda activate roadmasq</w:t>
      </w:r>
    </w:p>
    <w:p>
      <w:pPr>
        <w:shd w:fill="F2F2F2" w:val="clear"/>
        <w:spacing w:after="0" w:line="240"/>
        <w:ind w:left="180"/>
      </w:pPr>
      <w:r>
        <w:rPr>
          <w:rFonts w:ascii="Consolas" w:cs="Consolas" w:eastAsia="Consolas" w:hAnsi="Consolas"/>
          <w:sz w:val="17"/>
          <w:szCs w:val="17"/>
        </w:rPr>
        <w:t xml:space="preserve">pip install numpy==1.26.4 pandas==2.2.2 scipy==1.13.1 scikit-learn==1.5.1 \</w:t>
      </w:r>
    </w:p>
    <w:p>
      <w:pPr>
        <w:shd w:fill="F2F2F2" w:val="clear"/>
        <w:spacing w:after="0" w:line="240"/>
        <w:ind w:left="180"/>
      </w:pPr>
      <w:r>
        <w:rPr>
          <w:rFonts w:ascii="Consolas" w:cs="Consolas" w:eastAsia="Consolas" w:hAnsi="Consolas"/>
          <w:sz w:val="17"/>
          <w:szCs w:val="17"/>
        </w:rPr>
        <w:t xml:space="preserve">            matplotlib==3.9.2 pyarrow==16.1.0 tqdm==4.66.4 pytest==8.3.2</w:t>
      </w:r>
    </w:p>
    <w:p>
      <w:pPr>
        <w:shd w:fill="F2F2F2" w:val="clear"/>
        <w:spacing w:after="140" w:line="240"/>
        <w:ind w:left="180"/>
      </w:pPr>
      <w:r>
        <w:rPr>
          <w:rFonts w:ascii="Consolas" w:cs="Consolas" w:eastAsia="Consolas" w:hAnsi="Consolas"/>
          <w:sz w:val="17"/>
          <w:szCs w:val="17"/>
        </w:rPr>
        <w:t xml:space="preserve">python -c "import numpy, pandas, sklearn; print(numpy.__version__, pandas.__version__)"</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The import line prints version numbers without error.</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conda is slow to solve, use `conda create -n roadmasq python=3.11 -y` then pip only — do not mix conda-forge and pip for these packages.</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15 minutes.</w:t>
      </w:r>
    </w:p>
    <w:p>
      <w:pPr>
        <w:pStyle w:val="Heading3"/>
        <w:spacing w:after="120" w:before="220"/>
      </w:pPr>
      <w:r>
        <w:t xml:space="preserve">Step A2 — Confirm you do NOT need the GPU</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Avoid being blocked by GPU contention on the shared node.</w:t>
      </w:r>
    </w:p>
    <w:p>
      <w:pPr>
        <w:spacing w:after="120" w:line="276"/>
      </w:pPr>
      <w:r>
        <w:rPr>
          <w:rFonts w:ascii="Calibri" w:cs="Calibri" w:eastAsia="Calibri" w:hAnsi="Calibri"/>
          <w:b/>
          <w:bCs/>
          <w:sz w:val="20"/>
          <w:szCs w:val="20"/>
        </w:rPr>
        <w:t xml:space="preserve">Actions:</w:t>
      </w:r>
    </w:p>
    <w:p>
      <w:pPr>
        <w:shd w:fill="F2F2F2" w:val="clear"/>
        <w:spacing w:after="140" w:line="240"/>
        <w:ind w:left="180"/>
      </w:pPr>
      <w:r>
        <w:rPr>
          <w:rFonts w:ascii="Consolas" w:cs="Consolas" w:eastAsia="Consolas" w:hAnsi="Consolas"/>
          <w:sz w:val="17"/>
          <w:szCs w:val="17"/>
        </w:rPr>
        <w:t xml:space="preserve">nvidia-smi   # informational only — this project does not use the GPU</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Nothing in Stage C–G imports torch. The project runs if the GPU is fully occupied by someone else.</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you later add the optional learned comparator, install the CPU build of torch to stay insulated.</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 minutes.</w:t>
      </w:r>
    </w:p>
    <w:p>
      <w:pPr>
        <w:pStyle w:val="Heading3"/>
        <w:spacing w:after="120" w:before="220"/>
      </w:pPr>
      <w:r>
        <w:t xml:space="preserve">Stage B — Project structure</w:t>
      </w:r>
    </w:p>
    <w:p>
      <w:pPr>
        <w:pStyle w:val="Heading3"/>
        <w:spacing w:after="120" w:before="220"/>
      </w:pPr>
      <w:r>
        <w:t xml:space="preserve">Step B1 — Create the folder tree</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layout that separates immutable data from generated artefacts, so results are always reproducible.</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road-masquerade-floor/</w:t>
      </w:r>
    </w:p>
    <w:p>
      <w:pPr>
        <w:shd w:fill="F2F2F2" w:val="clear"/>
        <w:spacing w:after="0" w:line="240"/>
        <w:ind w:left="180"/>
      </w:pPr>
      <w:r>
        <w:rPr>
          <w:rFonts w:ascii="Consolas" w:cs="Consolas" w:eastAsia="Consolas" w:hAnsi="Consolas"/>
          <w:sz w:val="17"/>
          <w:szCs w:val="17"/>
        </w:rPr>
        <w:t xml:space="preserve">├── README.md</w:t>
      </w:r>
    </w:p>
    <w:p>
      <w:pPr>
        <w:shd w:fill="F2F2F2" w:val="clear"/>
        <w:spacing w:after="0" w:line="240"/>
        <w:ind w:left="180"/>
      </w:pPr>
      <w:r>
        <w:rPr>
          <w:rFonts w:ascii="Consolas" w:cs="Consolas" w:eastAsia="Consolas" w:hAnsi="Consolas"/>
          <w:sz w:val="17"/>
          <w:szCs w:val="17"/>
        </w:rPr>
        <w:t xml:space="preserve">├── requirements.txt</w:t>
      </w:r>
    </w:p>
    <w:p>
      <w:pPr>
        <w:shd w:fill="F2F2F2" w:val="clear"/>
        <w:spacing w:after="0" w:line="240"/>
        <w:ind w:left="180"/>
      </w:pPr>
      <w:r>
        <w:rPr>
          <w:rFonts w:ascii="Consolas" w:cs="Consolas" w:eastAsia="Consolas" w:hAnsi="Consolas"/>
          <w:sz w:val="17"/>
          <w:szCs w:val="17"/>
        </w:rPr>
        <w:t xml:space="preserve">├── configs/</w:t>
      </w:r>
    </w:p>
    <w:p>
      <w:pPr>
        <w:shd w:fill="F2F2F2" w:val="clear"/>
        <w:spacing w:after="0" w:line="240"/>
        <w:ind w:left="180"/>
      </w:pPr>
      <w:r>
        <w:rPr>
          <w:rFonts w:ascii="Consolas" w:cs="Consolas" w:eastAsia="Consolas" w:hAnsi="Consolas"/>
          <w:sz w:val="17"/>
          <w:szCs w:val="17"/>
        </w:rPr>
        <w:t xml:space="preserve">│   ├── captures.yaml        # REAL capture filenames, filled in Step C2</w:t>
      </w:r>
    </w:p>
    <w:p>
      <w:pPr>
        <w:shd w:fill="F2F2F2" w:val="clear"/>
        <w:spacing w:after="0" w:line="240"/>
        <w:ind w:left="180"/>
      </w:pPr>
      <w:r>
        <w:rPr>
          <w:rFonts w:ascii="Consolas" w:cs="Consolas" w:eastAsia="Consolas" w:hAnsi="Consolas"/>
          <w:sz w:val="17"/>
          <w:szCs w:val="17"/>
        </w:rPr>
        <w:t xml:space="preserve">│   └── experiment.yaml      # thresholds, window sizes, seeds</w:t>
      </w:r>
    </w:p>
    <w:p>
      <w:pPr>
        <w:shd w:fill="F2F2F2" w:val="clear"/>
        <w:spacing w:after="0" w:line="240"/>
        <w:ind w:left="180"/>
      </w:pPr>
      <w:r>
        <w:rPr>
          <w:rFonts w:ascii="Consolas" w:cs="Consolas" w:eastAsia="Consolas" w:hAnsi="Consolas"/>
          <w:sz w:val="17"/>
          <w:szCs w:val="17"/>
        </w:rPr>
        <w:t xml:space="preserve">├── data/</w:t>
      </w:r>
    </w:p>
    <w:p>
      <w:pPr>
        <w:shd w:fill="F2F2F2" w:val="clear"/>
        <w:spacing w:after="0" w:line="240"/>
        <w:ind w:left="180"/>
      </w:pPr>
      <w:r>
        <w:rPr>
          <w:rFonts w:ascii="Consolas" w:cs="Consolas" w:eastAsia="Consolas" w:hAnsi="Consolas"/>
          <w:sz w:val="17"/>
          <w:szCs w:val="17"/>
        </w:rPr>
        <w:t xml:space="preserve">│   ├── raw/                 # road.zip and its extraction — NEVER edited</w:t>
      </w:r>
    </w:p>
    <w:p>
      <w:pPr>
        <w:shd w:fill="F2F2F2" w:val="clear"/>
        <w:spacing w:after="0" w:line="240"/>
        <w:ind w:left="180"/>
      </w:pPr>
      <w:r>
        <w:rPr>
          <w:rFonts w:ascii="Consolas" w:cs="Consolas" w:eastAsia="Consolas" w:hAnsi="Consolas"/>
          <w:sz w:val="17"/>
          <w:szCs w:val="17"/>
        </w:rPr>
        <w:t xml:space="preserve">│   └── interim/             # parquet caches — regenerable, git-ignored</w:t>
      </w:r>
    </w:p>
    <w:p>
      <w:pPr>
        <w:shd w:fill="F2F2F2" w:val="clear"/>
        <w:spacing w:after="0" w:line="240"/>
        <w:ind w:left="180"/>
      </w:pPr>
      <w:r>
        <w:rPr>
          <w:rFonts w:ascii="Consolas" w:cs="Consolas" w:eastAsia="Consolas" w:hAnsi="Consolas"/>
          <w:sz w:val="17"/>
          <w:szCs w:val="17"/>
        </w:rPr>
        <w:t xml:space="preserve">├── src/</w:t>
      </w:r>
    </w:p>
    <w:p>
      <w:pPr>
        <w:shd w:fill="F2F2F2" w:val="clear"/>
        <w:spacing w:after="0" w:line="240"/>
        <w:ind w:left="180"/>
      </w:pPr>
      <w:r>
        <w:rPr>
          <w:rFonts w:ascii="Consolas" w:cs="Consolas" w:eastAsia="Consolas" w:hAnsi="Consolas"/>
          <w:sz w:val="17"/>
          <w:szCs w:val="17"/>
        </w:rPr>
        <w:t xml:space="preserve">│   ├── __init__.py</w:t>
      </w:r>
    </w:p>
    <w:p>
      <w:pPr>
        <w:shd w:fill="F2F2F2" w:val="clear"/>
        <w:spacing w:after="0" w:line="240"/>
        <w:ind w:left="180"/>
      </w:pPr>
      <w:r>
        <w:rPr>
          <w:rFonts w:ascii="Consolas" w:cs="Consolas" w:eastAsia="Consolas" w:hAnsi="Consolas"/>
          <w:sz w:val="17"/>
          <w:szCs w:val="17"/>
        </w:rPr>
        <w:t xml:space="preserve">│   ├── io_road.py           # parsing ROAD logs + signal CSVs</w:t>
      </w:r>
    </w:p>
    <w:p>
      <w:pPr>
        <w:shd w:fill="F2F2F2" w:val="clear"/>
        <w:spacing w:after="0" w:line="240"/>
        <w:ind w:left="180"/>
      </w:pPr>
      <w:r>
        <w:rPr>
          <w:rFonts w:ascii="Consolas" w:cs="Consolas" w:eastAsia="Consolas" w:hAnsi="Consolas"/>
          <w:sz w:val="17"/>
          <w:szCs w:val="17"/>
        </w:rPr>
        <w:t xml:space="preserve">│   ├── detectors.py         # T1–T4 trivial detectors</w:t>
      </w:r>
    </w:p>
    <w:p>
      <w:pPr>
        <w:shd w:fill="F2F2F2" w:val="clear"/>
        <w:spacing w:after="0" w:line="240"/>
        <w:ind w:left="180"/>
      </w:pPr>
      <w:r>
        <w:rPr>
          <w:rFonts w:ascii="Consolas" w:cs="Consolas" w:eastAsia="Consolas" w:hAnsi="Consolas"/>
          <w:sz w:val="17"/>
          <w:szCs w:val="17"/>
        </w:rPr>
        <w:t xml:space="preserve">│   ├── evaluate.py          # windowing, AUC, bootstrap CIs</w:t>
      </w:r>
    </w:p>
    <w:p>
      <w:pPr>
        <w:shd w:fill="F2F2F2" w:val="clear"/>
        <w:spacing w:after="0" w:line="240"/>
        <w:ind w:left="180"/>
      </w:pPr>
      <w:r>
        <w:rPr>
          <w:rFonts w:ascii="Consolas" w:cs="Consolas" w:eastAsia="Consolas" w:hAnsi="Consolas"/>
          <w:sz w:val="17"/>
          <w:szCs w:val="17"/>
        </w:rPr>
        <w:t xml:space="preserve">│   ├── comparators.py       # Moriano wrapper, IsolationForest control</w:t>
      </w:r>
    </w:p>
    <w:p>
      <w:pPr>
        <w:shd w:fill="F2F2F2" w:val="clear"/>
        <w:spacing w:after="0" w:line="240"/>
        <w:ind w:left="180"/>
      </w:pPr>
      <w:r>
        <w:rPr>
          <w:rFonts w:ascii="Consolas" w:cs="Consolas" w:eastAsia="Consolas" w:hAnsi="Consolas"/>
          <w:sz w:val="17"/>
          <w:szCs w:val="17"/>
        </w:rPr>
        <w:t xml:space="preserve">│   └── cli.py               # entry point</w:t>
      </w:r>
    </w:p>
    <w:p>
      <w:pPr>
        <w:shd w:fill="F2F2F2" w:val="clear"/>
        <w:spacing w:after="0" w:line="240"/>
        <w:ind w:left="180"/>
      </w:pPr>
      <w:r>
        <w:rPr>
          <w:rFonts w:ascii="Consolas" w:cs="Consolas" w:eastAsia="Consolas" w:hAnsi="Consolas"/>
          <w:sz w:val="17"/>
          <w:szCs w:val="17"/>
        </w:rPr>
        <w:t xml:space="preserve">├── experiments/</w:t>
      </w:r>
    </w:p>
    <w:p>
      <w:pPr>
        <w:shd w:fill="F2F2F2" w:val="clear"/>
        <w:spacing w:after="0" w:line="240"/>
        <w:ind w:left="180"/>
      </w:pPr>
      <w:r>
        <w:rPr>
          <w:rFonts w:ascii="Consolas" w:cs="Consolas" w:eastAsia="Consolas" w:hAnsi="Consolas"/>
          <w:sz w:val="17"/>
          <w:szCs w:val="17"/>
        </w:rPr>
        <w:t xml:space="preserve">│   ├── run_floor.py         # experiment (b)</w:t>
      </w:r>
    </w:p>
    <w:p>
      <w:pPr>
        <w:shd w:fill="F2F2F2" w:val="clear"/>
        <w:spacing w:after="0" w:line="240"/>
        <w:ind w:left="180"/>
      </w:pPr>
      <w:r>
        <w:rPr>
          <w:rFonts w:ascii="Consolas" w:cs="Consolas" w:eastAsia="Consolas" w:hAnsi="Consolas"/>
          <w:sz w:val="17"/>
          <w:szCs w:val="17"/>
        </w:rPr>
        <w:t xml:space="preserve">│   ├── run_ablation.py      # experiment (c)</w:t>
      </w:r>
    </w:p>
    <w:p>
      <w:pPr>
        <w:shd w:fill="F2F2F2" w:val="clear"/>
        <w:spacing w:after="0" w:line="240"/>
        <w:ind w:left="180"/>
      </w:pPr>
      <w:r>
        <w:rPr>
          <w:rFonts w:ascii="Consolas" w:cs="Consolas" w:eastAsia="Consolas" w:hAnsi="Consolas"/>
          <w:sz w:val="17"/>
          <w:szCs w:val="17"/>
        </w:rPr>
        <w:t xml:space="preserve">│   ├── run_sensitivity.py   # experiment (d)</w:t>
      </w:r>
    </w:p>
    <w:p>
      <w:pPr>
        <w:shd w:fill="F2F2F2" w:val="clear"/>
        <w:spacing w:after="0" w:line="240"/>
        <w:ind w:left="180"/>
      </w:pPr>
      <w:r>
        <w:rPr>
          <w:rFonts w:ascii="Consolas" w:cs="Consolas" w:eastAsia="Consolas" w:hAnsi="Consolas"/>
          <w:sz w:val="17"/>
          <w:szCs w:val="17"/>
        </w:rPr>
        <w:t xml:space="preserve">│   └── run_crysys.py        # experiment (e)</w:t>
      </w:r>
    </w:p>
    <w:p>
      <w:pPr>
        <w:shd w:fill="F2F2F2" w:val="clear"/>
        <w:spacing w:after="0" w:line="240"/>
        <w:ind w:left="180"/>
      </w:pPr>
      <w:r>
        <w:rPr>
          <w:rFonts w:ascii="Consolas" w:cs="Consolas" w:eastAsia="Consolas" w:hAnsi="Consolas"/>
          <w:sz w:val="17"/>
          <w:szCs w:val="17"/>
        </w:rPr>
        <w:t xml:space="preserve">├── results/                 # CSV outputs, one per experiment</w:t>
      </w:r>
    </w:p>
    <w:p>
      <w:pPr>
        <w:shd w:fill="F2F2F2" w:val="clear"/>
        <w:spacing w:after="0" w:line="240"/>
        <w:ind w:left="180"/>
      </w:pPr>
      <w:r>
        <w:rPr>
          <w:rFonts w:ascii="Consolas" w:cs="Consolas" w:eastAsia="Consolas" w:hAnsi="Consolas"/>
          <w:sz w:val="17"/>
          <w:szCs w:val="17"/>
        </w:rPr>
        <w:t xml:space="preserve">├── figures/                 # PDF/PNG figures for the paper</w:t>
      </w:r>
    </w:p>
    <w:p>
      <w:pPr>
        <w:shd w:fill="F2F2F2" w:val="clear"/>
        <w:spacing w:after="0" w:line="240"/>
        <w:ind w:left="180"/>
      </w:pPr>
      <w:r>
        <w:rPr>
          <w:rFonts w:ascii="Consolas" w:cs="Consolas" w:eastAsia="Consolas" w:hAnsi="Consolas"/>
          <w:sz w:val="17"/>
          <w:szCs w:val="17"/>
        </w:rPr>
        <w:t xml:space="preserve">├── tests/                   # pytest unit tests</w:t>
      </w:r>
    </w:p>
    <w:p>
      <w:pPr>
        <w:shd w:fill="F2F2F2" w:val="clear"/>
        <w:spacing w:after="140" w:line="240"/>
        <w:ind w:left="180"/>
      </w:pPr>
      <w:r>
        <w:rPr>
          <w:rFonts w:ascii="Consolas" w:cs="Consolas" w:eastAsia="Consolas" w:hAnsi="Consolas"/>
          <w:sz w:val="17"/>
          <w:szCs w:val="17"/>
        </w:rPr>
        <w:t xml:space="preserve">└── paper/                   # IEEE template, .tex or .docx</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`tree -L 2` shows the structure and `pytest` collects zero tests without error.</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Add data/ and results/ to .gitignore immediately. Committing a 557 MB zip to git is painful to undo.</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20 minutes.</w:t>
      </w:r>
    </w:p>
    <w:p>
      <w:pPr>
        <w:pStyle w:val="Heading3"/>
        <w:spacing w:after="120" w:before="220"/>
      </w:pPr>
      <w:r>
        <w:t xml:space="preserve">Stage C — Getting the data</w:t>
      </w:r>
    </w:p>
    <w:p>
      <w:pPr>
        <w:pStyle w:val="Heading3"/>
        <w:spacing w:after="120" w:before="220"/>
      </w:pPr>
      <w:r>
        <w:t xml:space="preserve">Step C1 — Download and verify ROAD</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local, checksummed copy of the dataset.</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cd road-masquerade-floor/data/raw</w:t>
      </w:r>
    </w:p>
    <w:p>
      <w:pPr>
        <w:shd w:fill="F2F2F2" w:val="clear"/>
        <w:spacing w:after="0" w:line="240"/>
        <w:ind w:left="180"/>
      </w:pPr>
      <w:r>
        <w:rPr>
          <w:rFonts w:ascii="Consolas" w:cs="Consolas" w:eastAsia="Consolas" w:hAnsi="Consolas"/>
          <w:sz w:val="17"/>
          <w:szCs w:val="17"/>
        </w:rPr>
        <w:t xml:space="preserve">curl -L -o road.zip "https://zenodo.org/records/10462796/files/road.zip?download=1"</w:t>
      </w:r>
    </w:p>
    <w:p>
      <w:pPr>
        <w:shd w:fill="F2F2F2" w:val="clear"/>
        <w:spacing w:after="0" w:line="240"/>
        <w:ind w:left="180"/>
      </w:pPr>
      <w:r>
        <w:rPr>
          <w:rFonts w:ascii="Consolas" w:cs="Consolas" w:eastAsia="Consolas" w:hAnsi="Consolas"/>
          <w:sz w:val="17"/>
          <w:szCs w:val="17"/>
        </w:rPr>
        <w:t xml:space="preserve">ls -la road.zip                 # expect ~556.7 MB</w:t>
      </w:r>
    </w:p>
    <w:p>
      <w:pPr>
        <w:shd w:fill="F2F2F2" w:val="clear"/>
        <w:spacing w:after="0" w:line="240"/>
        <w:ind w:left="180"/>
      </w:pPr>
      <w:r>
        <w:rPr>
          <w:rFonts w:ascii="Consolas" w:cs="Consolas" w:eastAsia="Consolas" w:hAnsi="Consolas"/>
          <w:sz w:val="17"/>
          <w:szCs w:val="17"/>
        </w:rPr>
        <w:t xml:space="preserve">shasum -a 256 road.zip | tee road.zip.sha256</w:t>
      </w:r>
    </w:p>
    <w:p>
      <w:pPr>
        <w:shd w:fill="F2F2F2" w:val="clear"/>
        <w:spacing w:after="0" w:line="240"/>
        <w:ind w:left="180"/>
      </w:pPr>
      <w:r>
        <w:rPr>
          <w:rFonts w:ascii="Consolas" w:cs="Consolas" w:eastAsia="Consolas" w:hAnsi="Consolas"/>
          <w:sz w:val="17"/>
          <w:szCs w:val="17"/>
        </w:rPr>
        <w:t xml:space="preserve">unzip -q road.zip -d road/</w:t>
      </w:r>
    </w:p>
    <w:p>
      <w:pPr>
        <w:shd w:fill="F2F2F2" w:val="clear"/>
        <w:spacing w:after="0" w:line="240"/>
        <w:ind w:left="180"/>
      </w:pPr>
      <w:r>
        <w:rPr>
          <w:rFonts w:ascii="Consolas" w:cs="Consolas" w:eastAsia="Consolas" w:hAnsi="Consolas"/>
          <w:sz w:val="17"/>
          <w:szCs w:val="17"/>
        </w:rPr>
        <w:t xml:space="preserve">find road/ -maxdepth 2 -type d | head -50</w:t>
      </w:r>
    </w:p>
    <w:p>
      <w:pPr>
        <w:shd w:fill="F2F2F2" w:val="clear"/>
        <w:spacing w:after="0" w:line="240"/>
        <w:ind w:left="180"/>
      </w:pPr>
      <w:r>
        <w:rPr>
          <w:rFonts w:ascii="Consolas" w:cs="Consolas" w:eastAsia="Consolas" w:hAnsi="Consolas"/>
          <w:sz w:val="17"/>
          <w:szCs w:val="17"/>
        </w:rPr>
        <w:t xml:space="preserve">find road/ -name "*.csv" | head -40</w:t>
      </w:r>
    </w:p>
    <w:p>
      <w:pPr>
        <w:shd w:fill="F2F2F2" w:val="clear"/>
        <w:spacing w:after="140" w:line="240"/>
        <w:ind w:left="180"/>
      </w:pPr>
      <w:r>
        <w:rPr>
          <w:rFonts w:ascii="Consolas" w:cs="Consolas" w:eastAsia="Consolas" w:hAnsi="Consolas"/>
          <w:sz w:val="17"/>
          <w:szCs w:val="17"/>
        </w:rPr>
        <w:t xml:space="preserve">find road/ -name "*.log" | head -40</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The archive is ~556.7 MB, extracts without error, and you can see directories separating ambient from attack captures, and raw logs from signal-translated CSVs.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Zenodo occasionally rate-limits — if you get HTTP 403, wait and retry, or use the record page in a browser. If the size differs materially from 556.7 MB the download truncated; delete and retry.</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20–40 minutes depending on bandwidth.</w:t>
      </w:r>
    </w:p>
    <w:p>
      <w:pPr>
        <w:pStyle w:val="Heading3"/>
        <w:spacing w:after="120" w:before="220"/>
      </w:pPr>
      <w:r>
        <w:t xml:space="preserve">Step C2 — Build the capture inventory — DAY-1 CHECK</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Write the REAL filenames into configs/captures.yaml. Everything downstream reads this file.</w:t>
      </w:r>
    </w:p>
    <w:p>
      <w:pPr>
        <w:spacing w:after="120" w:line="276"/>
      </w:pPr>
      <w:r>
        <w:rPr>
          <w:rFonts w:ascii="Calibri" w:cs="Calibri" w:eastAsia="Calibri" w:hAnsi="Calibri"/>
          <w:b/>
          <w:bCs/>
          <w:sz w:val="20"/>
          <w:szCs w:val="20"/>
        </w:rPr>
        <w:t xml:space="preserve">Actions:</w:t>
      </w:r>
    </w:p>
    <w:p>
      <w:pPr>
        <w:spacing w:after="120" w:line="276"/>
      </w:pPr>
      <w:r>
        <w:rPr>
          <w:rFonts w:ascii="Calibri" w:cs="Calibri" w:eastAsia="Calibri" w:hAnsi="Calibri"/>
          <w:sz w:val="20"/>
          <w:szCs w:val="20"/>
        </w:rPr>
        <w:t xml:space="preserve">Enumerate every capture and classify it. You are looking for: 12 ambient captures; 1 fuzzing capture; fabrication/masquerade PAIRS for correlated-signal, max-speedometer, max-engine-coolant-temperature, reverse-light-off and reverse-light-on; and the accelerator attack.</w:t>
      </w:r>
    </w:p>
    <w:p>
      <w:pPr>
        <w:shd w:fill="F2F2F2" w:val="clear"/>
        <w:spacing w:after="0" w:line="240"/>
        <w:ind w:left="180"/>
      </w:pPr>
      <w:r>
        <w:rPr>
          <w:rFonts w:ascii="Consolas" w:cs="Consolas" w:eastAsia="Consolas" w:hAnsi="Consolas"/>
          <w:sz w:val="17"/>
          <w:szCs w:val="17"/>
        </w:rPr>
        <w:t xml:space="preserve">python - &lt;&lt;'PY'</w:t>
      </w:r>
    </w:p>
    <w:p>
      <w:pPr>
        <w:shd w:fill="F2F2F2" w:val="clear"/>
        <w:spacing w:after="0" w:line="240"/>
        <w:ind w:left="180"/>
      </w:pPr>
      <w:r>
        <w:rPr>
          <w:rFonts w:ascii="Consolas" w:cs="Consolas" w:eastAsia="Consolas" w:hAnsi="Consolas"/>
          <w:sz w:val="17"/>
          <w:szCs w:val="17"/>
        </w:rPr>
        <w:t xml:space="preserve">import pathlib, collections</w:t>
      </w:r>
    </w:p>
    <w:p>
      <w:pPr>
        <w:shd w:fill="F2F2F2" w:val="clear"/>
        <w:spacing w:after="0" w:line="240"/>
        <w:ind w:left="180"/>
      </w:pPr>
      <w:r>
        <w:rPr>
          <w:rFonts w:ascii="Consolas" w:cs="Consolas" w:eastAsia="Consolas" w:hAnsi="Consolas"/>
          <w:sz w:val="17"/>
          <w:szCs w:val="17"/>
        </w:rPr>
        <w:t xml:space="preserve">root = pathlib.Path("data/raw/road")</w:t>
      </w:r>
    </w:p>
    <w:p>
      <w:pPr>
        <w:shd w:fill="F2F2F2" w:val="clear"/>
        <w:spacing w:after="0" w:line="240"/>
        <w:ind w:left="180"/>
      </w:pPr>
      <w:r>
        <w:rPr>
          <w:rFonts w:ascii="Consolas" w:cs="Consolas" w:eastAsia="Consolas" w:hAnsi="Consolas"/>
          <w:sz w:val="17"/>
          <w:szCs w:val="17"/>
        </w:rPr>
        <w:t xml:space="preserve">for p in sorted(root.rglob("*")):</w:t>
      </w:r>
    </w:p>
    <w:p>
      <w:pPr>
        <w:shd w:fill="F2F2F2" w:val="clear"/>
        <w:spacing w:after="0" w:line="240"/>
        <w:ind w:left="180"/>
      </w:pPr>
      <w:r>
        <w:rPr>
          <w:rFonts w:ascii="Consolas" w:cs="Consolas" w:eastAsia="Consolas" w:hAnsi="Consolas"/>
          <w:sz w:val="17"/>
          <w:szCs w:val="17"/>
        </w:rPr>
        <w:t xml:space="preserve">    if p.is_file() and p.suffix in {".csv", ".log", ".txt", ".json"}:</w:t>
      </w:r>
    </w:p>
    <w:p>
      <w:pPr>
        <w:shd w:fill="F2F2F2" w:val="clear"/>
        <w:spacing w:after="0" w:line="240"/>
        <w:ind w:left="180"/>
      </w:pPr>
      <w:r>
        <w:rPr>
          <w:rFonts w:ascii="Consolas" w:cs="Consolas" w:eastAsia="Consolas" w:hAnsi="Consolas"/>
          <w:sz w:val="17"/>
          <w:szCs w:val="17"/>
        </w:rPr>
        <w:t xml:space="preserve">        print(f"{p.relative_to(root)}  {p.stat().st_size/1e6:.2f} MB")</w:t>
      </w:r>
    </w:p>
    <w:p>
      <w:pPr>
        <w:shd w:fill="F2F2F2" w:val="clear"/>
        <w:spacing w:after="140" w:line="240"/>
        <w:ind w:left="180"/>
      </w:pPr>
      <w:r>
        <w:rPr>
          <w:rFonts w:ascii="Consolas" w:cs="Consolas" w:eastAsia="Consolas" w:hAnsi="Consolas"/>
          <w:sz w:val="17"/>
          <w:szCs w:val="17"/>
        </w:rPr>
        <w:t xml:space="preserve">PY</w:t>
      </w:r>
    </w:p>
    <w:p>
      <w:pPr>
        <w:spacing w:after="120" w:line="276"/>
      </w:pPr>
      <w:r>
        <w:rPr>
          <w:rFonts w:ascii="Calibri" w:cs="Calibri" w:eastAsia="Calibri" w:hAnsi="Calibri"/>
          <w:sz w:val="20"/>
          <w:szCs w:val="20"/>
        </w:rPr>
        <w:t xml:space="preserve">Then hand-write configs/captures.yaml in this shape:</w:t>
      </w:r>
    </w:p>
    <w:p>
      <w:pPr>
        <w:shd w:fill="F2F2F2" w:val="clear"/>
        <w:spacing w:after="0" w:line="240"/>
        <w:ind w:left="180"/>
      </w:pPr>
      <w:r>
        <w:rPr>
          <w:rFonts w:ascii="Consolas" w:cs="Consolas" w:eastAsia="Consolas" w:hAnsi="Consolas"/>
          <w:sz w:val="17"/>
          <w:szCs w:val="17"/>
        </w:rPr>
        <w:t xml:space="preserve">ambient:</w:t>
      </w:r>
    </w:p>
    <w:p>
      <w:pPr>
        <w:shd w:fill="F2F2F2" w:val="clear"/>
        <w:spacing w:after="0" w:line="240"/>
        <w:ind w:left="180"/>
      </w:pPr>
      <w:r>
        <w:rPr>
          <w:rFonts w:ascii="Consolas" w:cs="Consolas" w:eastAsia="Consolas" w:hAnsi="Consolas"/>
          <w:sz w:val="17"/>
          <w:szCs w:val="17"/>
        </w:rPr>
        <w:t xml:space="preserve">  - {name: ambient_dyno_drive_basic_long, path: "...", kind: ambient}</w:t>
      </w:r>
    </w:p>
    <w:p>
      <w:pPr>
        <w:shd w:fill="F2F2F2" w:val="clear"/>
        <w:spacing w:after="0" w:line="240"/>
        <w:ind w:left="180"/>
      </w:pPr>
      <w:r>
        <w:rPr>
          <w:rFonts w:ascii="Consolas" w:cs="Consolas" w:eastAsia="Consolas" w:hAnsi="Consolas"/>
          <w:sz w:val="17"/>
          <w:szCs w:val="17"/>
        </w:rPr>
        <w:t xml:space="preserve">  # ... all 12</w:t>
      </w:r>
    </w:p>
    <w:p>
      <w:pPr>
        <w:shd w:fill="F2F2F2" w:val="clear"/>
        <w:spacing w:after="0" w:line="240"/>
        <w:ind w:left="180"/>
      </w:pPr>
      <w:r>
        <w:rPr>
          <w:rFonts w:ascii="Consolas" w:cs="Consolas" w:eastAsia="Consolas" w:hAnsi="Consolas"/>
          <w:sz w:val="17"/>
          <w:szCs w:val="17"/>
        </w:rPr>
        <w:t xml:space="preserve">attacks:</w:t>
      </w:r>
    </w:p>
    <w:p>
      <w:pPr>
        <w:shd w:fill="F2F2F2" w:val="clear"/>
        <w:spacing w:after="0" w:line="240"/>
        <w:ind w:left="180"/>
      </w:pPr>
      <w:r>
        <w:rPr>
          <w:rFonts w:ascii="Consolas" w:cs="Consolas" w:eastAsia="Consolas" w:hAnsi="Consolas"/>
          <w:sz w:val="17"/>
          <w:szCs w:val="17"/>
        </w:rPr>
        <w:t xml:space="preserve">  - name: correlated_signal_attack_1</w:t>
      </w:r>
    </w:p>
    <w:p>
      <w:pPr>
        <w:shd w:fill="F2F2F2" w:val="clear"/>
        <w:spacing w:after="0" w:line="240"/>
        <w:ind w:left="180"/>
      </w:pPr>
      <w:r>
        <w:rPr>
          <w:rFonts w:ascii="Consolas" w:cs="Consolas" w:eastAsia="Consolas" w:hAnsi="Consolas"/>
          <w:sz w:val="17"/>
          <w:szCs w:val="17"/>
        </w:rPr>
        <w:t xml:space="preserve">    path: "..."</w:t>
      </w:r>
    </w:p>
    <w:p>
      <w:pPr>
        <w:shd w:fill="F2F2F2" w:val="clear"/>
        <w:spacing w:after="0" w:line="240"/>
        <w:ind w:left="180"/>
      </w:pPr>
      <w:r>
        <w:rPr>
          <w:rFonts w:ascii="Consolas" w:cs="Consolas" w:eastAsia="Consolas" w:hAnsi="Consolas"/>
          <w:sz w:val="17"/>
          <w:szCs w:val="17"/>
        </w:rPr>
        <w:t xml:space="preserve">    family: masquerade          # masquerade | fabrication | fuzzing | accelerator</w:t>
      </w:r>
    </w:p>
    <w:p>
      <w:pPr>
        <w:shd w:fill="F2F2F2" w:val="clear"/>
        <w:spacing w:after="0" w:line="240"/>
        <w:ind w:left="180"/>
      </w:pPr>
      <w:r>
        <w:rPr>
          <w:rFonts w:ascii="Consolas" w:cs="Consolas" w:eastAsia="Consolas" w:hAnsi="Consolas"/>
          <w:sz w:val="17"/>
          <w:szCs w:val="17"/>
        </w:rPr>
        <w:t xml:space="preserve">    pair_with: correlated_signal_attack_1_fabrication</w:t>
      </w:r>
    </w:p>
    <w:p>
      <w:pPr>
        <w:shd w:fill="F2F2F2" w:val="clear"/>
        <w:spacing w:after="0" w:line="240"/>
        <w:ind w:left="180"/>
      </w:pPr>
      <w:r>
        <w:rPr>
          <w:rFonts w:ascii="Consolas" w:cs="Consolas" w:eastAsia="Consolas" w:hAnsi="Consolas"/>
          <w:sz w:val="17"/>
          <w:szCs w:val="17"/>
        </w:rPr>
        <w:t xml:space="preserve">    target_aid: null            # fill from the metadata file</w:t>
      </w:r>
    </w:p>
    <w:p>
      <w:pPr>
        <w:shd w:fill="F2F2F2" w:val="clear"/>
        <w:spacing w:after="0" w:line="240"/>
        <w:ind w:left="180"/>
      </w:pPr>
      <w:r>
        <w:rPr>
          <w:rFonts w:ascii="Consolas" w:cs="Consolas" w:eastAsia="Consolas" w:hAnsi="Consolas"/>
          <w:sz w:val="17"/>
          <w:szCs w:val="17"/>
        </w:rPr>
        <w:t xml:space="preserve">    interval_start_s: null      # fill from the metadata file</w:t>
      </w:r>
    </w:p>
    <w:p>
      <w:pPr>
        <w:shd w:fill="F2F2F2" w:val="clear"/>
        <w:spacing w:after="0" w:line="240"/>
        <w:ind w:left="180"/>
      </w:pPr>
      <w:r>
        <w:rPr>
          <w:rFonts w:ascii="Consolas" w:cs="Consolas" w:eastAsia="Consolas" w:hAnsi="Consolas"/>
          <w:sz w:val="17"/>
          <w:szCs w:val="17"/>
        </w:rPr>
        <w:t xml:space="preserve">    interval_end_s: null</w:t>
      </w:r>
    </w:p>
    <w:p>
      <w:pPr>
        <w:shd w:fill="F2F2F2" w:val="clear"/>
        <w:spacing w:after="140" w:line="240"/>
        <w:ind w:left="180"/>
      </w:pPr>
      <w:r>
        <w:rPr>
          <w:rFonts w:ascii="Consolas" w:cs="Consolas" w:eastAsia="Consolas" w:hAnsi="Consolas"/>
          <w:sz w:val="17"/>
          <w:szCs w:val="17"/>
        </w:rPr>
        <w:t xml:space="preserve">  # ...</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captures.yaml lists every capture with its real path, family, and attack interval. The counts match the paper: 33 attack captures and 12 ambient captures.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The attack intervals come from the dataset’s own metadata/documentation files — find them rather than eyeballing the data. If a masquerade capture has no obvious fabrication partner, re-read the dataset documentation; the pairing is central to this paper’s argument.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2–3 hours. This is the most important step in Stage C — do not rush it.</w:t>
      </w:r>
    </w:p>
    <w:p>
      <w:pPr>
        <w:pStyle w:val="Heading3"/>
        <w:spacing w:after="120" w:before="220"/>
      </w:pPr>
      <w:r>
        <w:t xml:space="preserve">Step C3 — Parse and cache</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Fast, repeatable loading. Parse once, cache to parquet, never parse again.</w:t>
      </w:r>
    </w:p>
    <w:p>
      <w:pPr>
        <w:spacing w:after="120" w:line="276"/>
      </w:pPr>
      <w:r>
        <w:rPr>
          <w:rFonts w:ascii="Calibri" w:cs="Calibri" w:eastAsia="Calibri" w:hAnsi="Calibri"/>
          <w:b/>
          <w:bCs/>
          <w:sz w:val="20"/>
          <w:szCs w:val="20"/>
        </w:rPr>
        <w:t xml:space="preserve">Actions:</w:t>
      </w:r>
    </w:p>
    <w:p>
      <w:pPr>
        <w:spacing w:after="120" w:line="276"/>
      </w:pPr>
      <w:r>
        <w:rPr>
          <w:rFonts w:ascii="Calibri" w:cs="Calibri" w:eastAsia="Calibri" w:hAnsi="Calibri"/>
          <w:sz w:val="20"/>
          <w:szCs w:val="20"/>
        </w:rPr>
        <w:t xml:space="preserve">Implement src/io_road.py with two functions:</w:t>
      </w:r>
    </w:p>
    <w:p>
      <w:pPr>
        <w:shd w:fill="F2F2F2" w:val="clear"/>
        <w:spacing w:after="0" w:line="240"/>
        <w:ind w:left="180"/>
      </w:pPr>
      <w:r>
        <w:rPr>
          <w:rFonts w:ascii="Consolas" w:cs="Consolas" w:eastAsia="Consolas" w:hAnsi="Consolas"/>
          <w:sz w:val="17"/>
          <w:szCs w:val="17"/>
        </w:rPr>
        <w:t xml:space="preserve">def load_raw_capture(path) -&gt; pd.DataFrame:</w:t>
      </w:r>
    </w:p>
    <w:p>
      <w:pPr>
        <w:shd w:fill="F2F2F2" w:val="clear"/>
        <w:spacing w:after="0" w:line="240"/>
        <w:ind w:left="180"/>
      </w:pPr>
      <w:r>
        <w:rPr>
          <w:rFonts w:ascii="Consolas" w:cs="Consolas" w:eastAsia="Consolas" w:hAnsi="Consolas"/>
          <w:sz w:val="17"/>
          <w:szCs w:val="17"/>
        </w:rPr>
        <w:t xml:space="preserve">    """Columns: t (float seconds), aid (int), dlc (int), payload (bytes, len&lt;=8),</w:t>
      </w:r>
    </w:p>
    <w:p>
      <w:pPr>
        <w:shd w:fill="F2F2F2" w:val="clear"/>
        <w:spacing w:after="0" w:line="240"/>
        <w:ind w:left="180"/>
      </w:pPr>
      <w:r>
        <w:rPr>
          <w:rFonts w:ascii="Consolas" w:cs="Consolas" w:eastAsia="Consolas" w:hAnsi="Consolas"/>
          <w:sz w:val="17"/>
          <w:szCs w:val="17"/>
        </w:rPr>
        <w:t xml:space="preserve">    b0..b7 (uint8, NaN-filled if dlc&lt;8). Timestamps are 100 us resolution."""</w:t>
      </w:r>
    </w:p>
    <w:p>
      <w:pPr>
        <w:shd w:fill="F2F2F2" w:val="clear"/>
        <w:spacing w:after="0" w:line="240"/>
        <w:ind w:left="180"/>
      </w:pPr>
      <w:r>
        <w:rPr>
          <w:rFonts w:ascii="Consolas" w:cs="Consolas" w:eastAsia="Consolas" w:hAnsi="Consolas"/>
          <w:sz w:val="17"/>
          <w:szCs w:val="17"/>
        </w:rPr>
        <w:t xml:space="preserve"> </w:t>
      </w:r>
    </w:p>
    <w:p>
      <w:pPr>
        <w:shd w:fill="F2F2F2" w:val="clear"/>
        <w:spacing w:after="0" w:line="240"/>
        <w:ind w:left="180"/>
      </w:pPr>
      <w:r>
        <w:rPr>
          <w:rFonts w:ascii="Consolas" w:cs="Consolas" w:eastAsia="Consolas" w:hAnsi="Consolas"/>
          <w:sz w:val="17"/>
          <w:szCs w:val="17"/>
        </w:rPr>
        <w:t xml:space="preserve">def load_signal_capture(path) -&gt; pd.DataFrame:</w:t>
      </w:r>
    </w:p>
    <w:p>
      <w:pPr>
        <w:shd w:fill="F2F2F2" w:val="clear"/>
        <w:spacing w:after="0" w:line="240"/>
        <w:ind w:left="180"/>
      </w:pPr>
      <w:r>
        <w:rPr>
          <w:rFonts w:ascii="Consolas" w:cs="Consolas" w:eastAsia="Consolas" w:hAnsi="Consolas"/>
          <w:sz w:val="17"/>
          <w:szCs w:val="17"/>
        </w:rPr>
        <w:t xml:space="preserve">    """Columns: t (float), aid (int), signal_name (str), value (float).</w:t>
      </w:r>
    </w:p>
    <w:p>
      <w:pPr>
        <w:shd w:fill="F2F2F2" w:val="clear"/>
        <w:spacing w:after="0" w:line="240"/>
        <w:ind w:left="180"/>
      </w:pPr>
      <w:r>
        <w:rPr>
          <w:rFonts w:ascii="Consolas" w:cs="Consolas" w:eastAsia="Consolas" w:hAnsi="Consolas"/>
          <w:sz w:val="17"/>
          <w:szCs w:val="17"/>
        </w:rPr>
        <w:t xml:space="preserve">    Only available for 17 of 33 attack captures and ALL ambient captures."""</w:t>
      </w:r>
    </w:p>
    <w:p>
      <w:pPr>
        <w:shd w:fill="F2F2F2" w:val="clear"/>
        <w:spacing w:after="0" w:line="240"/>
        <w:ind w:left="180"/>
      </w:pPr>
      <w:r>
        <w:rPr>
          <w:rFonts w:ascii="Consolas" w:cs="Consolas" w:eastAsia="Consolas" w:hAnsi="Consolas"/>
          <w:sz w:val="17"/>
          <w:szCs w:val="17"/>
        </w:rPr>
        <w:t xml:space="preserve"> </w:t>
      </w:r>
    </w:p>
    <w:p>
      <w:pPr>
        <w:shd w:fill="F2F2F2" w:val="clear"/>
        <w:spacing w:after="0" w:line="240"/>
        <w:ind w:left="180"/>
      </w:pPr>
      <w:r>
        <w:rPr>
          <w:rFonts w:ascii="Consolas" w:cs="Consolas" w:eastAsia="Consolas" w:hAnsi="Consolas"/>
          <w:sz w:val="17"/>
          <w:szCs w:val="17"/>
        </w:rPr>
        <w:t xml:space="preserve">def cache_all(cfg) -&gt; None:</w:t>
      </w:r>
    </w:p>
    <w:p>
      <w:pPr>
        <w:shd w:fill="F2F2F2" w:val="clear"/>
        <w:spacing w:after="140" w:line="240"/>
        <w:ind w:left="180"/>
      </w:pPr>
      <w:r>
        <w:rPr>
          <w:rFonts w:ascii="Consolas" w:cs="Consolas" w:eastAsia="Consolas" w:hAnsi="Consolas"/>
          <w:sz w:val="17"/>
          <w:szCs w:val="17"/>
        </w:rPr>
        <w:t xml:space="preserve">    """Write data/interim/&lt;name&gt;.parquet for every capture in captures.yaml."""</w:t>
      </w:r>
    </w:p>
    <w:p>
      <w:pPr>
        <w:spacing w:after="120" w:line="276"/>
      </w:pPr>
      <w:r>
        <w:rPr>
          <w:rFonts w:ascii="Calibri" w:cs="Calibri" w:eastAsia="Calibri" w:hAnsi="Calibri"/>
          <w:sz w:val="20"/>
          <w:szCs w:val="20"/>
        </w:rPr>
        <w:t xml:space="preserve">Write a test that asserts: timestamps are monotonically non-decreasing; all AIDs are non-negative; byte columns are within 0–255; and the row count is non-zero.</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`python -m src.cli cache` produces one parquet per capture, and `pytest tests/test_io.py` passes.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CAN IDs may be stored as hex strings — convert consistently and record which representation you used. Remember AID order is obfuscated in ROAD, so never infer priority from the numeric value.</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3–4 hours.</w:t>
      </w:r>
    </w:p>
    <w:p>
      <w:pPr>
        <w:pStyle w:val="Heading3"/>
        <w:spacing w:after="120" w:before="220"/>
      </w:pPr>
      <w:r>
        <w:t xml:space="preserve">Stage D — Reproducing the comparator</w:t>
      </w:r>
    </w:p>
    <w:p>
      <w:pPr>
        <w:pStyle w:val="Heading3"/>
        <w:spacing w:after="120" w:before="220"/>
      </w:pPr>
      <w:r>
        <w:t xml:space="preserve">Step D1 — Run the Moriano benchmark</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Confirm you can reproduce published comparator numbers before you make claims about them.</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cd ~/work</w:t>
      </w:r>
    </w:p>
    <w:p>
      <w:pPr>
        <w:shd w:fill="F2F2F2" w:val="clear"/>
        <w:spacing w:after="0" w:line="240"/>
        <w:ind w:left="180"/>
      </w:pPr>
      <w:r>
        <w:rPr>
          <w:rFonts w:ascii="Consolas" w:cs="Consolas" w:eastAsia="Consolas" w:hAnsi="Consolas"/>
          <w:sz w:val="17"/>
          <w:szCs w:val="17"/>
        </w:rPr>
        <w:t xml:space="preserve">git clone https://github.com/pmoriano/benchmarking-unsupervised-online-IDS-masquerade-attacks</w:t>
      </w:r>
    </w:p>
    <w:p>
      <w:pPr>
        <w:shd w:fill="F2F2F2" w:val="clear"/>
        <w:spacing w:after="0" w:line="240"/>
        <w:ind w:left="180"/>
      </w:pPr>
      <w:r>
        <w:rPr>
          <w:rFonts w:ascii="Consolas" w:cs="Consolas" w:eastAsia="Consolas" w:hAnsi="Consolas"/>
          <w:sz w:val="17"/>
          <w:szCs w:val="17"/>
        </w:rPr>
        <w:t xml:space="preserve">cd benchmarking-unsupervised-online-IDS-masquerade-attacks</w:t>
      </w:r>
    </w:p>
    <w:p>
      <w:pPr>
        <w:shd w:fill="F2F2F2" w:val="clear"/>
        <w:spacing w:after="0" w:line="240"/>
        <w:ind w:left="180"/>
      </w:pPr>
      <w:r>
        <w:rPr>
          <w:rFonts w:ascii="Consolas" w:cs="Consolas" w:eastAsia="Consolas" w:hAnsi="Consolas"/>
          <w:sz w:val="17"/>
          <w:szCs w:val="17"/>
        </w:rPr>
        <w:t xml:space="preserve">cat README.md                 # follow its own instructions, not ours</w:t>
      </w:r>
    </w:p>
    <w:p>
      <w:pPr>
        <w:shd w:fill="F2F2F2" w:val="clear"/>
        <w:spacing w:after="0" w:line="240"/>
        <w:ind w:left="180"/>
      </w:pPr>
      <w:r>
        <w:rPr>
          <w:rFonts w:ascii="Consolas" w:cs="Consolas" w:eastAsia="Consolas" w:hAnsi="Consolas"/>
          <w:sz w:val="17"/>
          <w:szCs w:val="17"/>
        </w:rPr>
        <w:t xml:space="preserve"># create a SEPARATE env — its pins will likely conflict with yours</w:t>
      </w:r>
    </w:p>
    <w:p>
      <w:pPr>
        <w:shd w:fill="F2F2F2" w:val="clear"/>
        <w:spacing w:after="140" w:line="240"/>
        <w:ind w:left="180"/>
      </w:pPr>
      <w:r>
        <w:rPr>
          <w:rFonts w:ascii="Consolas" w:cs="Consolas" w:eastAsia="Consolas" w:hAnsi="Consolas"/>
          <w:sz w:val="17"/>
          <w:szCs w:val="17"/>
        </w:rPr>
        <w:t xml:space="preserve">conda create -n moriano python=3.10 -y &amp;&amp; conda activate moriano</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You obtain AUC-ROC numbers for at least two of the four methods on at least two masquerade captures, and they are close to the published values.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The repo has not been pushed since 2024-08-23, so expect dependency pinning problems — this is the single most likely time sink in the whole project. TIMEBOX IT TO ONE DAY. If it does not run in a day, switch to quoting published numbers and say so explicitly in the paper; that is an honest and acceptable fallback, and it does not weaken the contribution, because the floor is your result, not their reproduction.</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4–8 hours, hard-capped at 1 day.</w:t>
      </w:r>
    </w:p>
    <w:p>
      <w:pPr>
        <w:pStyle w:val="Heading3"/>
        <w:spacing w:after="120" w:before="220"/>
      </w:pPr>
      <w:r>
        <w:t xml:space="preserve">Stage E — Implementing the contribution</w:t>
      </w:r>
    </w:p>
    <w:p>
      <w:pPr>
        <w:pStyle w:val="Heading3"/>
        <w:spacing w:after="120" w:before="220"/>
      </w:pPr>
      <w:r>
        <w:t xml:space="preserve">Step E1 — Trivial detectors</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Implement T1–T4 exactly as defined in §8.2, fitted on ambient only.</w:t>
      </w:r>
    </w:p>
    <w:p>
      <w:pPr>
        <w:spacing w:after="120" w:line="276"/>
      </w:pPr>
      <w:r>
        <w:rPr>
          <w:rFonts w:ascii="Calibri" w:cs="Calibri" w:eastAsia="Calibri" w:hAnsi="Calibri"/>
          <w:b/>
          <w:bCs/>
          <w:sz w:val="20"/>
          <w:szCs w:val="20"/>
        </w:rPr>
        <w:t xml:space="preserve">Actions:</w:t>
      </w:r>
    </w:p>
    <w:p>
      <w:pPr>
        <w:spacing w:after="120" w:line="276"/>
      </w:pPr>
      <w:r>
        <w:rPr>
          <w:rFonts w:ascii="Calibri" w:cs="Calibri" w:eastAsia="Calibri" w:hAnsi="Calibri"/>
          <w:sz w:val="20"/>
          <w:szCs w:val="20"/>
        </w:rPr>
        <w:t xml:space="preserve">Implement src/detectors.py. After EACH detector, write and run a unit test before moving on:</w:t>
      </w:r>
    </w:p>
    <w:p>
      <w:pPr>
        <w:pStyle w:val="ListParagraph"/>
        <w:numPr>
          <w:ilvl w:val="0"/>
          <w:numId w:val="2"/>
        </w:numPr>
        <w:spacing w:after="60" w:line="276"/>
      </w:pPr>
      <w:r>
        <w:t xml:space="preserve">Fit on a synthetic ambient frame set where AID 0x100 byte 0 only ever takes {1,2,3}. Assert T1 flags a frame with byte 0 = 9 and does not flag byte 0 = 2.</w:t>
      </w:r>
    </w:p>
    <w:p>
      <w:pPr>
        <w:pStyle w:val="ListParagraph"/>
        <w:numPr>
          <w:ilvl w:val="0"/>
          <w:numId w:val="2"/>
        </w:numPr>
        <w:spacing w:after="60" w:line="276"/>
      </w:pPr>
      <w:r>
        <w:t xml:space="preserve">Assert T2 does NOT flag byte 0 = 2 (inside [1,3]) but does flag 0 and 4.</w:t>
      </w:r>
    </w:p>
    <w:p>
      <w:pPr>
        <w:pStyle w:val="ListParagraph"/>
        <w:numPr>
          <w:ilvl w:val="0"/>
          <w:numId w:val="2"/>
        </w:numPr>
        <w:spacing w:after="60" w:line="276"/>
      </w:pPr>
      <w:r>
        <w:t xml:space="preserve">Assert T1 is at least as sensitive as T2 on the same data (T1 ⊇ T2 by construction).</w:t>
      </w:r>
    </w:p>
    <w:p>
      <w:pPr>
        <w:pStyle w:val="ListParagraph"/>
        <w:numPr>
          <w:ilvl w:val="0"/>
          <w:numId w:val="2"/>
        </w:numPr>
        <w:spacing w:after="60" w:line="276"/>
      </w:pPr>
      <w:r>
        <w:t xml:space="preserve">Assert an unseen AID is flagged by every detector.</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THE MOST IMPORTANT INVARIANT  </w:t>
      </w:r>
      <w:r>
        <w:rPr>
          <w:rFonts w:ascii="Calibri" w:cs="Calibri" w:eastAsia="Calibri" w:hAnsi="Calibri"/>
          <w:sz w:val="20"/>
          <w:szCs w:val="20"/>
        </w:rPr>
        <w:t xml:space="preserve">No attack data may touch the fitting path. Add an assertion in fit_trivial() that raises if any capture marked family != "ambient" is passed in. If this invariant breaks, the entire paper is invalid, so enforce it in code rather than by discipline.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`pytest tests/test_detectors.py` passes, and fitting on all 12 ambient captures completes in under two minutes.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Sparse ambient coverage will make T1 over-flag: a byte value legitimately rare may be absent from ambient. That is why T2 and the percentile variant of T3 exist — report all of them rather than picking the flattering one.</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4–6 hours.</w:t>
      </w:r>
    </w:p>
    <w:p>
      <w:pPr>
        <w:pStyle w:val="Heading3"/>
        <w:spacing w:after="120" w:before="220"/>
      </w:pPr>
      <w:r>
        <w:t xml:space="preserve">Step E2 — Windowed evaluation</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Score captures correctly given INTERVAL-level labels.</w:t>
      </w:r>
    </w:p>
    <w:p>
      <w:pPr>
        <w:spacing w:after="120" w:line="276"/>
      </w:pPr>
      <w:r>
        <w:rPr>
          <w:rFonts w:ascii="Calibri" w:cs="Calibri" w:eastAsia="Calibri" w:hAnsi="Calibri"/>
          <w:b/>
          <w:bCs/>
          <w:sz w:val="20"/>
          <w:szCs w:val="20"/>
        </w:rPr>
        <w:t xml:space="preserve">Actions:</w:t>
      </w:r>
    </w:p>
    <w:p>
      <w:pPr>
        <w:spacing w:after="120" w:line="276"/>
      </w:pPr>
      <w:r>
        <w:rPr>
          <w:rFonts w:ascii="Calibri" w:cs="Calibri" w:eastAsia="Calibri" w:hAnsi="Calibri"/>
          <w:sz w:val="20"/>
          <w:szCs w:val="20"/>
        </w:rPr>
        <w:t xml:space="preserve">Implement src/evaluate.py with sliding-window aggregation (§8.4), AUC-ROC and PR-AUC over windows, detection rate at 1% FPR calibrated on held-out ambient, and a bootstrap CI over windows.</w:t>
      </w:r>
    </w:p>
    <w:p>
      <w:pPr>
        <w:pStyle w:val="ListParagraph"/>
        <w:numPr>
          <w:ilvl w:val="0"/>
          <w:numId w:val="2"/>
        </w:numPr>
        <w:spacing w:after="60" w:line="276"/>
      </w:pPr>
      <w:r>
        <w:t xml:space="preserve">Hold out 2 of the 12 ambient captures purely for FPR calibration. Never calibrate on the captures used for fitting.</w:t>
      </w:r>
    </w:p>
    <w:p>
      <w:pPr>
        <w:pStyle w:val="ListParagraph"/>
        <w:numPr>
          <w:ilvl w:val="0"/>
          <w:numId w:val="2"/>
        </w:numPr>
        <w:spacing w:after="60" w:line="276"/>
      </w:pPr>
      <w:r>
        <w:t xml:space="preserve">A window is positive if it overlaps the labelled attack interval. Document the overlap rule you chose — reviewers will ask.</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On a fabrication capture, T2 gives a high AUC (this is a sanity check — fabrication should be easy). On an ambient capture scored against itself, AUC is near 0.5 and the flag rate is near zero.</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the ambient self-test flags a lot, your fitting and scoring are using different preprocessing. Fix that before proceeding — it is the most common source of a silently wrong result.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4–5 hours.</w:t>
      </w:r>
    </w:p>
    <w:p>
      <w:pPr>
        <w:pStyle w:val="Heading3"/>
        <w:spacing w:after="120" w:before="220"/>
      </w:pPr>
      <w:r>
        <w:t xml:space="preserve">Stage F — Main experiments</w:t>
      </w:r>
    </w:p>
    <w:p>
      <w:pPr>
        <w:pStyle w:val="Heading3"/>
        <w:spacing w:after="120" w:before="220"/>
      </w:pPr>
      <w:r>
        <w:t xml:space="preserve">Step F1 — Run the floor</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Produce the central result: experiment (b).</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experiments/run_floor.py --config configs/experiment.yaml \</w:t>
      </w:r>
    </w:p>
    <w:p>
      <w:pPr>
        <w:shd w:fill="F2F2F2" w:val="clear"/>
        <w:spacing w:after="0" w:line="240"/>
        <w:ind w:left="180"/>
      </w:pPr>
      <w:r>
        <w:rPr>
          <w:rFonts w:ascii="Consolas" w:cs="Consolas" w:eastAsia="Consolas" w:hAnsi="Consolas"/>
          <w:sz w:val="17"/>
          <w:szCs w:val="17"/>
        </w:rPr>
        <w:t xml:space="preserve">       --out results/floor.csv</w:t>
      </w:r>
    </w:p>
    <w:p>
      <w:pPr>
        <w:shd w:fill="F2F2F2" w:val="clear"/>
        <w:spacing w:after="0" w:line="240"/>
        <w:ind w:left="180"/>
      </w:pPr>
      <w:r>
        <w:rPr>
          <w:rFonts w:ascii="Consolas" w:cs="Consolas" w:eastAsia="Consolas" w:hAnsi="Consolas"/>
          <w:sz w:val="17"/>
          <w:szCs w:val="17"/>
        </w:rPr>
        <w:t xml:space="preserve"># results/floor.csv columns:</w:t>
      </w:r>
    </w:p>
    <w:p>
      <w:pPr>
        <w:shd w:fill="F2F2F2" w:val="clear"/>
        <w:spacing w:after="140" w:line="240"/>
        <w:ind w:left="180"/>
      </w:pPr>
      <w:r>
        <w:rPr>
          <w:rFonts w:ascii="Consolas" w:cs="Consolas" w:eastAsia="Consolas" w:hAnsi="Consolas"/>
          <w:sz w:val="17"/>
          <w:szCs w:val="17"/>
        </w:rPr>
        <w:t xml:space="preserve"># capture, family, detector, auc_roc, pr_auc, det_rate_at_1pct_fpr, ci_low, ci_high</w:t>
      </w:r>
    </w:p>
    <w:p>
      <w:pPr>
        <w:spacing w:after="120" w:line="276"/>
      </w:pPr>
      <w:r>
        <w:rPr>
          <w:rFonts w:ascii="Calibri" w:cs="Calibri" w:eastAsia="Calibri" w:hAnsi="Calibri"/>
          <w:sz w:val="20"/>
          <w:szCs w:val="20"/>
        </w:rPr>
        <w:t xml:space="preserve">Then compute delta-over-trivial per capture against whatever comparator numbers you have (reproduced in D1, or quoted — label which).</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You have one row per (capture × detector), covering all 5 masquerade and all 5 fabrication captures.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every masquerade capture scores near 1.0, double-check the ambient self-test from E2 — a leak is more likely than a perfect result. If every capture scores near 0.5, check that payload bytes are being compared as integers, not strings.</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1–2 hours of compute, half a day with checking.</w:t>
      </w:r>
    </w:p>
    <w:p>
      <w:pPr>
        <w:pStyle w:val="Heading3"/>
        <w:spacing w:after="120" w:before="220"/>
      </w:pPr>
      <w:r>
        <w:t xml:space="preserve">Step F2 — Interpret the split</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Establish whether H2 holds — that correlated-signal resists while extreme-value attacks fall.</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Compare AUC for correlated-signal against the other four masquerade captures.</w:t>
      </w:r>
    </w:p>
    <w:p>
      <w:pPr>
        <w:pStyle w:val="ListParagraph"/>
        <w:numPr>
          <w:ilvl w:val="0"/>
          <w:numId w:val="2"/>
        </w:numPr>
        <w:spacing w:after="60" w:line="276"/>
      </w:pPr>
      <w:r>
        <w:t xml:space="preserve">For each capture, record WHICH byte positions or signals triggered the flags. This is the evidence that connects the result to attack semantics.</w:t>
      </w:r>
    </w:p>
    <w:p>
      <w:pPr>
        <w:pStyle w:val="ListParagraph"/>
        <w:numPr>
          <w:ilvl w:val="0"/>
          <w:numId w:val="2"/>
        </w:numPr>
        <w:spacing w:after="60" w:line="276"/>
      </w:pPr>
      <w:r>
        <w:t xml:space="preserve">Cross-check against the paired fabrication capture: if the same bytes trigger in both, that directly demonstrates the construction link, which is the paper’s mechanism.</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You can state, with numbers, which masquerade captures are solvable by a rule fitted on ambient only, and point to the specific bytes or signals responsible.</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correlated-signal ALSO falls to a trivial rule, the paper gets simpler, not weaker — the finding becomes that all five are shortcut-solvable. Reframe the title accordingly and do not force the predicted split.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Half a day.</w:t>
      </w:r>
    </w:p>
    <w:p>
      <w:pPr>
        <w:pStyle w:val="Heading3"/>
        <w:spacing w:after="120" w:before="220"/>
      </w:pPr>
      <w:r>
        <w:t xml:space="preserve">Stage G — Ablation and extra analyses</w:t>
      </w:r>
    </w:p>
    <w:p>
      <w:pPr>
        <w:pStyle w:val="Heading3"/>
        <w:spacing w:after="120" w:before="220"/>
      </w:pPr>
      <w:r>
        <w:t xml:space="preserve">Step G1 — Ablation and sensitivity</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Show the result is not an artefact of arbitrary choices — experiments (c) and (d).</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experiments/run_ablation.py    --out results/ablation.csv</w:t>
      </w:r>
    </w:p>
    <w:p>
      <w:pPr>
        <w:shd w:fill="F2F2F2" w:val="clear"/>
        <w:spacing w:after="140" w:line="240"/>
        <w:ind w:left="180"/>
      </w:pPr>
      <w:r>
        <w:rPr>
          <w:rFonts w:ascii="Consolas" w:cs="Consolas" w:eastAsia="Consolas" w:hAnsi="Consolas"/>
          <w:sz w:val="17"/>
          <w:szCs w:val="17"/>
        </w:rPr>
        <w:t xml:space="preserve">python experiments/run_sensitivity.py --out results/sensitivity.csv</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Ablation shows which detector component carries the result; sensitivity shows AUC is stable across window length and threshold percentile.</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results swing wildly with window length, report that honestly as a finding about evaluation protocol sensitivity — it is interesting in its own right.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4 hours.</w:t>
      </w:r>
    </w:p>
    <w:p>
      <w:pPr>
        <w:pStyle w:val="Heading3"/>
        <w:spacing w:after="120" w:before="220"/>
      </w:pPr>
      <w:r>
        <w:t xml:space="preserve">Step G2 — Cross-corpus check (experiment e)</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Test whether the shortcut is specific to ROAD or general to simulated masquerade data.</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Obtain the CrySyS CAN log dataset (Nature Scientific Data, 2023) which contains fabrication and masquerade attacks.</w:t>
      </w:r>
    </w:p>
    <w:p>
      <w:pPr>
        <w:pStyle w:val="ListParagraph"/>
        <w:numPr>
          <w:ilvl w:val="0"/>
          <w:numId w:val="2"/>
        </w:numPr>
        <w:spacing w:after="60" w:line="276"/>
      </w:pPr>
      <w:r>
        <w:t xml:space="preserve">Apply the IDENTICAL T1–T4 detectors with no retuning.</w:t>
      </w:r>
    </w:p>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THIS IS THE HIGHEST-VALUE OPTIONAL EXPERIMENT  </w:t>
      </w:r>
      <w:r>
        <w:rPr>
          <w:rFonts w:ascii="Calibri" w:cs="Calibri" w:eastAsia="Calibri" w:hAnsi="Calibri"/>
          <w:sz w:val="20"/>
          <w:szCs w:val="20"/>
        </w:rPr>
        <w:t xml:space="preserve">If the shortcut appears on a second, independently constructed corpus, the finding generalises and the paper is substantially stronger. If it does NOT appear, that is equally interesting — it isolates the effect to ROAD’s specific construction. Do this if you have the time; drop it first if you do not.</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A second results table with the same detectors on an independent corpus.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The CrySyS data uses a different format — budget time for an adapter. If time is short, cut this and say in Limitations that cross-corpus validation is future work.</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 day. CUT THIS FIRST if behind schedule.</w:t>
      </w:r>
    </w:p>
    <w:p>
      <w:pPr>
        <w:pStyle w:val="Heading3"/>
        <w:spacing w:after="120" w:before="220"/>
      </w:pPr>
      <w:r>
        <w:t xml:space="preserve">Stage H — Results into tables</w:t>
      </w:r>
    </w:p>
    <w:p>
      <w:pPr>
        <w:pStyle w:val="Heading3"/>
        <w:spacing w:after="120" w:before="220"/>
      </w:pPr>
      <w:r>
        <w:t xml:space="preserve">Step H1 — CSV to LaTeX/Word tables</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Turn results/*.csv into the paper’s tables with no manual copying.</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 &lt;&lt;'PY'</w:t>
      </w:r>
    </w:p>
    <w:p>
      <w:pPr>
        <w:shd w:fill="F2F2F2" w:val="clear"/>
        <w:spacing w:after="0" w:line="240"/>
        <w:ind w:left="180"/>
      </w:pPr>
      <w:r>
        <w:rPr>
          <w:rFonts w:ascii="Consolas" w:cs="Consolas" w:eastAsia="Consolas" w:hAnsi="Consolas"/>
          <w:sz w:val="17"/>
          <w:szCs w:val="17"/>
        </w:rPr>
        <w:t xml:space="preserve">import pandas as pd</w:t>
      </w:r>
    </w:p>
    <w:p>
      <w:pPr>
        <w:shd w:fill="F2F2F2" w:val="clear"/>
        <w:spacing w:after="0" w:line="240"/>
        <w:ind w:left="180"/>
      </w:pPr>
      <w:r>
        <w:rPr>
          <w:rFonts w:ascii="Consolas" w:cs="Consolas" w:eastAsia="Consolas" w:hAnsi="Consolas"/>
          <w:sz w:val="17"/>
          <w:szCs w:val="17"/>
        </w:rPr>
        <w:t xml:space="preserve">df = pd.read_csv("results/floor.csv")</w:t>
      </w:r>
    </w:p>
    <w:p>
      <w:pPr>
        <w:shd w:fill="F2F2F2" w:val="clear"/>
        <w:spacing w:after="0" w:line="240"/>
        <w:ind w:left="180"/>
      </w:pPr>
      <w:r>
        <w:rPr>
          <w:rFonts w:ascii="Consolas" w:cs="Consolas" w:eastAsia="Consolas" w:hAnsi="Consolas"/>
          <w:sz w:val="17"/>
          <w:szCs w:val="17"/>
        </w:rPr>
        <w:t xml:space="preserve">piv = df.pivot_table(index="capture", columns="detector", values="auc_roc")</w:t>
      </w:r>
    </w:p>
    <w:p>
      <w:pPr>
        <w:shd w:fill="F2F2F2" w:val="clear"/>
        <w:spacing w:after="0" w:line="240"/>
        <w:ind w:left="180"/>
      </w:pPr>
      <w:r>
        <w:rPr>
          <w:rFonts w:ascii="Consolas" w:cs="Consolas" w:eastAsia="Consolas" w:hAnsi="Consolas"/>
          <w:sz w:val="17"/>
          <w:szCs w:val="17"/>
        </w:rPr>
        <w:t xml:space="preserve">print(piv.round(3).to_latex(bold_rows=True))      # for LaTeX</w:t>
      </w:r>
    </w:p>
    <w:p>
      <w:pPr>
        <w:shd w:fill="F2F2F2" w:val="clear"/>
        <w:spacing w:after="0" w:line="240"/>
        <w:ind w:left="180"/>
      </w:pPr>
      <w:r>
        <w:rPr>
          <w:rFonts w:ascii="Consolas" w:cs="Consolas" w:eastAsia="Consolas" w:hAnsi="Consolas"/>
          <w:sz w:val="17"/>
          <w:szCs w:val="17"/>
        </w:rPr>
        <w:t xml:space="preserve">piv.round(3).to_csv("results/table2.csv")          # paste into Word</w:t>
      </w:r>
    </w:p>
    <w:p>
      <w:pPr>
        <w:shd w:fill="F2F2F2" w:val="clear"/>
        <w:spacing w:after="140" w:line="240"/>
        <w:ind w:left="180"/>
      </w:pPr>
      <w:r>
        <w:rPr>
          <w:rFonts w:ascii="Consolas" w:cs="Consolas" w:eastAsia="Consolas" w:hAnsi="Consolas"/>
          <w:sz w:val="17"/>
          <w:szCs w:val="17"/>
        </w:rPr>
        <w:t xml:space="preserve">PY</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Every number in the paper traces to a CSV produced by a script. Nothing is typed by hand.</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Never hand-edit a number into the paper. If you must adjust rounding, change it in the script.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 hours.</w:t>
      </w:r>
    </w:p>
    <w:p>
      <w:pPr>
        <w:pStyle w:val="Heading3"/>
        <w:spacing w:after="120" w:before="220"/>
      </w:pPr>
      <w:r>
        <w:t xml:space="preserve">Stage I — Figures</w:t>
      </w:r>
    </w:p>
    <w:p>
      <w:pPr>
        <w:pStyle w:val="Heading3"/>
        <w:spacing w:after="120" w:before="220"/>
      </w:pPr>
      <w:r>
        <w:t xml:space="preserve">Step I1 — Generate figures</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Produce the figures listed in §11, all from cached results.</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Use matplotlib with no seaborn dependency, vector PDF output, font size ≥ 8 pt at final column width.</w:t>
      </w:r>
    </w:p>
    <w:p>
      <w:pPr>
        <w:pStyle w:val="ListParagraph"/>
        <w:numPr>
          <w:ilvl w:val="0"/>
          <w:numId w:val="2"/>
        </w:numPr>
        <w:spacing w:after="60" w:line="276"/>
      </w:pPr>
      <w:r>
        <w:t xml:space="preserve">IEEE two-column width is 3.5 in per column; set figsize accordingly so text is not shrunk below legibility.</w:t>
      </w:r>
    </w:p>
    <w:p>
      <w:pPr>
        <w:pStyle w:val="ListParagraph"/>
        <w:numPr>
          <w:ilvl w:val="0"/>
          <w:numId w:val="2"/>
        </w:numPr>
        <w:spacing w:after="60" w:line="276"/>
      </w:pPr>
      <w:r>
        <w:t xml:space="preserve">Grayscale-safe: the paper may be printed in black and white, so distinguish series by marker and line style, not colour alone.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`python -m src.cli figures` regenerates every figure from results/ without re-running experiments.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Do not screenshot plots. Save PDF and include it directly.</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3 hours.</w:t>
      </w:r>
    </w:p>
    <w:p>
      <w:pPr>
        <w:pStyle w:val="Heading3"/>
        <w:spacing w:after="120" w:before="220"/>
      </w:pPr>
      <w:r>
        <w:t xml:space="preserve">Stage J — Writing</w:t>
      </w:r>
    </w:p>
    <w:p>
      <w:pPr>
        <w:pStyle w:val="Heading3"/>
        <w:spacing w:after="120" w:before="220"/>
      </w:pPr>
      <w:r>
        <w:t xml:space="preserve">Step J1 — Draft the paper</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6-page IEEE submission following §12.</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Download the IEEE conference template first and write INTO it — do not reformat at the end.</w:t>
      </w:r>
    </w:p>
    <w:p>
      <w:pPr>
        <w:pStyle w:val="ListParagraph"/>
        <w:numPr>
          <w:ilvl w:val="0"/>
          <w:numId w:val="2"/>
        </w:numPr>
        <w:spacing w:after="60" w:line="276"/>
      </w:pPr>
      <w:r>
        <w:t xml:space="preserve">Write Results before Introduction. The introduction should promise exactly what the results deliver.</w:t>
      </w:r>
    </w:p>
    <w:p>
      <w:pPr>
        <w:pStyle w:val="ListParagraph"/>
        <w:numPr>
          <w:ilvl w:val="0"/>
          <w:numId w:val="2"/>
        </w:numPr>
        <w:spacing w:after="60" w:line="276"/>
      </w:pPr>
      <w:r>
        <w:t xml:space="preserve">Cite Blevins et al. in the first paragraph as the work you extend, not as something you discovered.</w:t>
      </w:r>
    </w:p>
    <w:p>
      <w:pPr>
        <w:pStyle w:val="ListParagraph"/>
        <w:numPr>
          <w:ilvl w:val="0"/>
          <w:numId w:val="2"/>
        </w:numPr>
        <w:spacing w:after="60" w:line="276"/>
      </w:pPr>
      <w:r>
        <w:t xml:space="preserve">Quote the ROAD authors’ own construction sentence — it is the strongest evidence in the paper.</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A complete 6-page draft with every figure and table placed, under the page limit.</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Running over length is the usual failure. Cut Related Work first, never Results.</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 days, overlapping with F–I.</w:t>
      </w:r>
    </w:p>
    <w:p>
      <w:pPr>
        <w:pStyle w:val="Heading3"/>
        <w:spacing w:after="120" w:before="220"/>
      </w:pPr>
      <w:r>
        <w:t xml:space="preserve">Stage K — Final checks</w:t>
      </w:r>
    </w:p>
    <w:p>
      <w:pPr>
        <w:pStyle w:val="Heading3"/>
        <w:spacing w:after="120" w:before="220"/>
      </w:pPr>
      <w:r>
        <w:t xml:space="preserve">Step K1 — Pre-submission checklist</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Submit cleanly on EDAS.</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RE-RUN THE NOVELTY SEARCH from §5B.3. Check arXiv cs.CR for anything new. This is mandatory — one candidate in this project’s own search was pre-empted by a preprint revised two days earlier.</w:t>
      </w:r>
    </w:p>
    <w:p>
      <w:pPr>
        <w:pStyle w:val="ListParagraph"/>
        <w:numPr>
          <w:ilvl w:val="0"/>
          <w:numId w:val="2"/>
        </w:numPr>
        <w:spacing w:after="60" w:line="276"/>
      </w:pPr>
      <w:r>
        <w:t xml:space="preserve">Confirm page count ≤ 6 (or ≤ 4 if targeting IEEE TCE later).</w:t>
      </w:r>
    </w:p>
    <w:p>
      <w:pPr>
        <w:pStyle w:val="ListParagraph"/>
        <w:numPr>
          <w:ilvl w:val="0"/>
          <w:numId w:val="2"/>
        </w:numPr>
        <w:spacing w:after="60" w:line="276"/>
      </w:pPr>
      <w:r>
        <w:t xml:space="preserve">Confirm NO author biography is included.</w:t>
      </w:r>
    </w:p>
    <w:p>
      <w:pPr>
        <w:pStyle w:val="ListParagraph"/>
        <w:numPr>
          <w:ilvl w:val="0"/>
          <w:numId w:val="2"/>
        </w:numPr>
        <w:spacing w:after="60" w:line="276"/>
      </w:pPr>
      <w:r>
        <w:t xml:space="preserve">Confirm US Letter page size, not A4.</w:t>
      </w:r>
    </w:p>
    <w:p>
      <w:pPr>
        <w:pStyle w:val="ListParagraph"/>
        <w:numPr>
          <w:ilvl w:val="0"/>
          <w:numId w:val="2"/>
        </w:numPr>
        <w:spacing w:after="60" w:line="276"/>
      </w:pPr>
      <w:r>
        <w:t xml:space="preserve">Add the IEEE-required generative-AI disclosure in the Acknowledgments if AI assistance was used.</w:t>
      </w:r>
    </w:p>
    <w:p>
      <w:pPr>
        <w:pStyle w:val="ListParagraph"/>
        <w:numPr>
          <w:ilvl w:val="0"/>
          <w:numId w:val="2"/>
        </w:numPr>
        <w:spacing w:after="60" w:line="276"/>
      </w:pPr>
      <w:r>
        <w:t xml:space="preserve">Check every DOI and URL in the bibliography resolves.</w:t>
      </w:r>
    </w:p>
    <w:p>
      <w:pPr>
        <w:pStyle w:val="ListParagraph"/>
        <w:numPr>
          <w:ilvl w:val="0"/>
          <w:numId w:val="2"/>
        </w:numPr>
        <w:spacing w:after="60" w:line="276"/>
      </w:pPr>
      <w:r>
        <w:t xml:space="preserve">Submit via EDAS (https://edas.info/N35272), selecting SS-02 as the Track, with keywords.</w:t>
      </w:r>
    </w:p>
    <w:p>
      <w:pPr>
        <w:pStyle w:val="ListParagraph"/>
        <w:numPr>
          <w:ilvl w:val="0"/>
          <w:numId w:val="2"/>
        </w:numPr>
        <w:spacing w:after="60" w:line="276"/>
      </w:pPr>
      <w:r>
        <w:t xml:space="preserve">PDF eXpress is NOT needed now — only for camera-ready.</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EDAS accepts the PDF and shows it under SS-02.</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EDAS rejects PDFs with embedded-font problems — if that happens, re-export with fonts embedded.</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Half a day.</w:t>
      </w:r>
    </w:p>
    <w:p>
      <w:pPr>
        <w:pStyle w:val="Heading2"/>
        <w:spacing w:after="140" w:before="280"/>
      </w:pPr>
      <w:r>
        <w:t xml:space="preserve">11.  Planned Figures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350"/>
        <w:gridCol w:w="2500"/>
        <w:gridCol w:w="1300"/>
        <w:gridCol w:w="2010"/>
      </w:tblGrid>
      <w:tr>
        <w:trPr>
          <w:tblHeader/>
        </w:trPr>
        <w:tc>
          <w:tcPr>
            <w:tcW w:type="dxa" w:w="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dxa" w:w="1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Title</w:t>
            </w:r>
          </w:p>
        </w:tc>
        <w:tc>
          <w:tcPr>
            <w:tcW w:type="dxa" w:w="13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Type</w:t>
            </w:r>
          </w:p>
        </w:tc>
        <w:tc>
          <w:tcPr>
            <w:tcW w:type="dxa" w:w="2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Shows / why needed</w:t>
            </w:r>
          </w:p>
        </w:tc>
        <w:tc>
          <w:tcPr>
            <w:tcW w:type="dxa" w:w="1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Source</w:t>
            </w:r>
          </w:p>
        </w:tc>
        <w:tc>
          <w:tcPr>
            <w:tcW w:type="dxa" w:w="201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a good result looks like</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1</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Method overview</w:t>
            </w:r>
          </w:p>
        </w:tc>
        <w:tc>
          <w:tcPr>
            <w:tcW w:type="dxa" w:w="1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Architecture diagram (drawn, not plotted)</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fit-on-ambient / score-on-attack pipeline and the fabrication→masquerade construction link. Needed because the construction mechanism is the paper’s argument.</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Hand-drawn per §8.3</w:t>
            </w:r>
          </w:p>
        </w:tc>
        <w:tc>
          <w:tcPr>
            <w:tcW w:type="dxa" w:w="20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reader understands the method without the text</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Related work comparison</w:t>
            </w:r>
          </w:p>
        </w:tc>
        <w:tc>
          <w:tcPr>
            <w:tcW w:type="dxa" w:w="1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Positions us against Blevins, Moriano, Koltai etc.</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§4.5</w:t>
            </w:r>
          </w:p>
        </w:tc>
        <w:tc>
          <w:tcPr>
            <w:tcW w:type="dxa" w:w="20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Clear empty cell where our contribution sits</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Trivial-baseline floor</w:t>
            </w:r>
          </w:p>
        </w:tc>
        <w:tc>
          <w:tcPr>
            <w:tcW w:type="dxa" w:w="1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MAIN RESULT. AUC-ROC per masquerade capture × detector, with CIs</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results/floor.csv</w:t>
            </w:r>
          </w:p>
        </w:tc>
        <w:tc>
          <w:tcPr>
            <w:tcW w:type="dxa" w:w="20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 AUC for extreme-value captures, low for correlated-signal</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2</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Floor vs published</w:t>
            </w:r>
          </w:p>
        </w:tc>
        <w:tc>
          <w:tcPr>
            <w:tcW w:type="dxa" w:w="1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Grouped bar chart</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Per-capture trivial floor beside published detector scores; the gap is delta-over-trivial. x = capture, y = AUC-ROC, 0.5 reference line.</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results/floor.csv</w:t>
            </w:r>
          </w:p>
        </w:tc>
        <w:tc>
          <w:tcPr>
            <w:tcW w:type="dxa" w:w="20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Visibly small bars-gap for 3–4 captures, large for correlated-signal</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III</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Ablation</w:t>
            </w:r>
          </w:p>
        </w:tc>
        <w:tc>
          <w:tcPr>
            <w:tcW w:type="dxa" w:w="1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Which detector component carries the result</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results/ablation.csv</w:t>
            </w:r>
          </w:p>
        </w:tc>
        <w:tc>
          <w:tcPr>
            <w:tcW w:type="dxa" w:w="20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One component dominates, or they agree — either is reportable</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3</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Sensitivity</w:t>
            </w:r>
          </w:p>
        </w:tc>
        <w:tc>
          <w:tcPr>
            <w:tcW w:type="dxa" w:w="1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Line plot, 2 panels</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AUC vs window length; AUC vs threshold percentile. x = parameter, y = AUC, one line per capture.</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results/sensitivity.csv</w:t>
            </w:r>
          </w:p>
        </w:tc>
        <w:tc>
          <w:tcPr>
            <w:tcW w:type="dxa" w:w="20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Flat lines = robust conclusion</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4</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Which bytes fire</w:t>
            </w:r>
          </w:p>
        </w:tc>
        <w:tc>
          <w:tcPr>
            <w:tcW w:type="dxa" w:w="1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Heatmap</w:t>
            </w:r>
          </w:p>
        </w:tc>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Flag rate per (capture × byte position / signal). Explains WHY the shortcut works.</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Step F2</w:t>
            </w:r>
          </w:p>
        </w:tc>
        <w:tc>
          <w:tcPr>
            <w:tcW w:type="dxa" w:w="20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Bright cells on exactly the attacked signal</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IV</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Cross-corpus (optional)</w:t>
            </w:r>
          </w:p>
        </w:tc>
        <w:tc>
          <w:tcPr>
            <w:tcW w:type="dxa" w:w="1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Same detectors on CrySyS masquerade</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results/crysys.csv</w:t>
            </w:r>
          </w:p>
        </w:tc>
        <w:tc>
          <w:tcPr>
            <w:tcW w:type="dxa" w:w="20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Either generalises or isolates to ROAD — both publishable</w:t>
            </w:r>
          </w:p>
        </w:tc>
      </w:tr>
    </w:tbl>
    <w:p>
      <w:pPr>
        <w:pStyle w:val="Heading2"/>
        <w:spacing w:after="140" w:before="280"/>
      </w:pPr>
      <w:r>
        <w:t xml:space="preserve">12.  Proposed Paper Outline</w:t>
      </w:r>
    </w:p>
    <w:p>
      <w:pPr>
        <w:pStyle w:val="Heading3"/>
        <w:spacing w:after="120" w:before="220"/>
      </w:pPr>
      <w:r>
        <w:t xml:space="preserve">12.1  Titles</w:t>
      </w:r>
    </w:p>
    <w:p>
      <w:pPr>
        <w:pStyle w:val="ListParagraph"/>
        <w:numPr>
          <w:ilvl w:val="0"/>
          <w:numId w:val="2"/>
        </w:numPr>
        <w:spacing w:after="60" w:line="276"/>
      </w:pPr>
      <w:r>
        <w:t xml:space="preserve">Primary: “How Much of the ROAD Masquerade Benchmark Is a Payload Shortcut?”</w:t>
      </w:r>
    </w:p>
    <w:p>
      <w:pPr>
        <w:pStyle w:val="ListParagraph"/>
        <w:numPr>
          <w:ilvl w:val="0"/>
          <w:numId w:val="2"/>
        </w:numPr>
        <w:spacing w:after="60" w:line="276"/>
      </w:pPr>
      <w:r>
        <w:t xml:space="preserve">Alt 1: “A Payload-Level Difficulty Floor for CAN Masquerade Detection”</w:t>
      </w:r>
    </w:p>
    <w:p>
      <w:pPr>
        <w:pStyle w:val="ListParagraph"/>
        <w:numPr>
          <w:ilvl w:val="0"/>
          <w:numId w:val="2"/>
        </w:numPr>
        <w:spacing w:after="60" w:line="276"/>
      </w:pPr>
      <w:r>
        <w:t xml:space="preserve">Alt 2: “Simulated Masquerade Attacks Leave a Payload Signature: Re-examining the ROAD Benchmark”</w:t>
      </w:r>
    </w:p>
    <w:p>
      <w:pPr>
        <w:pStyle w:val="ListParagraph"/>
        <w:numPr>
          <w:ilvl w:val="0"/>
          <w:numId w:val="2"/>
        </w:numPr>
        <w:spacing w:after="60" w:line="276"/>
      </w:pPr>
      <w:r>
        <w:t xml:space="preserve">Alt 3: “What Does a CAN Masquerade Detector Actually Learn?”</w:t>
      </w:r>
    </w:p>
    <w:p>
      <w:pPr>
        <w:pStyle w:val="Heading3"/>
        <w:spacing w:after="120" w:before="220"/>
      </w:pPr>
      <w:r>
        <w:t xml:space="preserve">12.2  Draft abstract (placeholders in brackets)</w:t>
      </w:r>
    </w:p>
    <w:p>
      <w:pPr>
        <w:spacing w:after="120" w:line="276"/>
      </w:pPr>
      <w:r>
        <w:rPr>
          <w:rFonts w:ascii="Calibri" w:cs="Calibri" w:eastAsia="Calibri" w:hAnsi="Calibri"/>
          <w:i/>
          <w:iCs/>
          <w:sz w:val="20"/>
          <w:szCs w:val="20"/>
        </w:rPr>
        <w:t xml:space="preserve">Masquerade attacks, in which a compromised node suppresses a legitimate electronic control unit and transmits in its place at the correct frequency, are widely regarded as the hardest attack class for in-vehicle Controller Area Network intrusion detection, because they leave message timing unchanged. The ROAD dataset provides the community’s reference masquerade captures. We observe that those captures are not recorded attacks but are simulated by deleting the victim’s frames from the corresponding fabrication captures, which leaves the injected payloads unchanged. We therefore ask how much of the benchmark is solvable by payload rules that involve no learning at all. Using four trivial detectors fitted exclusively on attack-free ambient traffic — per-identifier byte value sets, byte ranges, signal envelopes and payload novelty — we establish a difficulty floor for all five ROAD masquerade captures. We find that [N of 5] captures are detected at [X]% at a 1% false-positive rate by rules expressible in a few lines of code, while [correlated-signal] resists them, because it perturbs the joint consistency of several signals that each remain individually plausible. Measured against this floor, the advantage of published detectors is [Y] AUC points on average. We argue that CAN intrusion detection papers should report performance relative to a trivial-baseline floor, and we release our floor and evaluation code. [150–250 words when filled.]</w:t>
      </w:r>
    </w:p>
    <w:p>
      <w:pPr>
        <w:pStyle w:val="Heading3"/>
        <w:spacing w:after="120" w:before="220"/>
      </w:pPr>
      <w:r>
        <w:t xml:space="preserve">12.3  Section plan and page budget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rPr>
          <w:tblHeader/>
        </w:trPr>
        <w:tc>
          <w:tcPr>
            <w:tcW w:type="dxa" w:w="2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Section</w:t>
            </w:r>
          </w:p>
        </w:tc>
        <w:tc>
          <w:tcPr>
            <w:tcW w:type="dxa" w:w="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Pages</w:t>
            </w:r>
          </w:p>
        </w:tc>
        <w:tc>
          <w:tcPr>
            <w:tcW w:type="dxa" w:w="6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Content</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 Introduction</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0.75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has no authentication; masquerade is the hard case; ROAD is the benchmark; the captures are simulated by frame deletion; therefore ask what a trivial payload rule achieves. State contributions as a bulleted list.</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II. Background and Related Work</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basics; fabrication vs masquerade; trivial-baseline auditing (Blevins; the Array shortcut audit); masquerade detection methods (Moriano, graph ML, MIDS, residualisation); cross-dataset reliability (Koltai). Include Table I.</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III. The ROAD Masquerade Construction</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Quote the construction procedure from the dataset paper. This short section is the paper’s hinge — give it its own heading so reviewers cannot miss it.</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IV. Method</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T1–T4 definitions; fit-on-ambient-only protocol; windowed evaluation under interval labels; delta-over-trivial. Figure 1.</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 Experimental Setup</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Dataset, captures used, ambient split, comparator protocol, metrics, seeds, hardware.</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 Results</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 Figure 2, Figure 4. The split between extreme-value and correlated-signal captures. Delta-over-trivial.</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VII. Ablation and Sensitivity</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III, Figure 3. Brief.</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VIII. Discussion and Limitations</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What this does and does NOT show. Explicitly: this is not a claim that masquerade detection is easy in real vehicles — it is a claim about this benchmark’s construction. Single vehicle, dynamometer, interval labels.</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IX. Conclusion</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0.25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 against the floor; the community needs un-simulated masquerade data (cite the ROAD authors saying exactly this).</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References</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15–20 entries, IEEE numbered style</w:t>
            </w:r>
          </w:p>
        </w:tc>
      </w:tr>
    </w:tbl>
    <w:p>
      <w:pPr>
        <w:pStyle w:val="Heading3"/>
        <w:spacing w:after="120" w:before="220"/>
      </w:pPr>
      <w:r>
        <w:t xml:space="preserve">12.4  Keywords</w:t>
      </w:r>
    </w:p>
    <w:p>
      <w:pPr>
        <w:spacing w:after="120" w:line="276"/>
      </w:pPr>
      <w:r>
        <w:rPr>
          <w:rFonts w:ascii="Calibri" w:cs="Calibri" w:eastAsia="Calibri" w:hAnsi="Calibri"/>
          <w:sz w:val="20"/>
          <w:szCs w:val="20"/>
        </w:rPr>
        <w:t xml:space="preserve">Controller Area Network; intrusion detection; masquerade attack; benchmark evaluation; shortcut learning; automotive cyber security</w:t>
      </w:r>
    </w:p>
    <w:p>
      <w:pPr>
        <w:pStyle w:val="Heading2"/>
        <w:spacing w:after="140" w:before="280"/>
      </w:pPr>
      <w:r>
        <w:t xml:space="preserve">13.  Timeline</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REALITY CHECK  </w:t>
      </w:r>
      <w:r>
        <w:rPr>
          <w:rFonts w:ascii="Calibri" w:cs="Calibri" w:eastAsia="Calibri" w:hAnsi="Calibri"/>
          <w:sz w:val="20"/>
          <w:szCs w:val="20"/>
        </w:rPr>
        <w:t xml:space="preserve">From 3 October to 15 October is 13 calendar days for TWO papers. This schedule assumes Project 1 and Project 2 overlap, which works only because neither needs sustained GPU time. If you fall behind, cut experiment (e) from Project 1 first, then reduce Project 2 to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500"/>
        <w:gridCol w:w="3500"/>
        <w:gridCol w:w="1210"/>
      </w:tblGrid>
      <w:tr>
        <w:trPr>
          <w:tblHeader/>
        </w:trPr>
        <w:tc>
          <w:tcPr>
            <w:tcW w:type="dxa" w:w="11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Date</w:t>
            </w:r>
          </w:p>
        </w:tc>
        <w:tc>
          <w:tcPr>
            <w:tcW w:type="dxa" w:w="3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Project 1 task</w:t>
            </w:r>
          </w:p>
        </w:tc>
        <w:tc>
          <w:tcPr>
            <w:tcW w:type="dxa" w:w="3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Deliverable</w:t>
            </w:r>
          </w:p>
        </w:tc>
        <w:tc>
          <w:tcPr>
            <w:tcW w:type="dxa" w:w="121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Done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Sat 3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Stage A + B; start C1 download; email chairs re blind review</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Env + repo skeleton; road.zip downloading</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Sun 4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C2 capture inventory (the critical step); begin C3</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configs/captures.yaml complete and correct</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 5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C3 parsing + caching; tests</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All captures cached to parquet; io tests pass</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Tue 6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E1 trivial detectors + unit tests; D1 comparator (timeboxed)</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T1–T4 implemented and tested</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Wed 7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E2 windowed evaluation; ambient self-test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Evaluation harness validated on fabrication captures</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Thu 8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F1 main run; F2 interpretation</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results/floor.csv — THE MAIN RESULT</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Fri 9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G1 ablation + sensitivity; H1 tables</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Tables II and III; Figures 2 and 3</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Sat 10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I1 figures; start J1 writing (Results first)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All figures final; Results section drafted</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Sun 11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J1 writing: Method, Setup, Background</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Full draft except Introduction</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 12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J1 Introduction + Conclusion; G2 if time allows</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Complete 6-page draft</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Tue 13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K1 novelty re-check; internal review; fix overlength</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Submission-ready PDF</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Wed 14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SUBMIT Project 1 via EDAS</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EDAS confirmation</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Thu 15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BUFFER — deadline day. Do not plan work here.</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bl>
    <w:p>
      <w:pPr>
        <w:pStyle w:val="Heading2"/>
        <w:spacing w:after="140" w:before="280"/>
      </w:pPr>
      <w:r>
        <w:t xml:space="preserve">14.  Risks and Fallback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800"/>
        <w:gridCol w:w="5360"/>
      </w:tblGrid>
      <w:tr>
        <w:trPr>
          <w:tblHeader/>
        </w:trPr>
        <w:tc>
          <w:tcPr>
            <w:tcW w:type="dxa" w:w="2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Risk</w:t>
            </w:r>
          </w:p>
        </w:tc>
        <w:tc>
          <w:tcPr>
            <w:tcW w:type="dxa" w:w="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Likelihood</w:t>
            </w:r>
          </w:p>
        </w:tc>
        <w:tc>
          <w:tcPr>
            <w:tcW w:type="dxa" w:w="8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Impact</w:t>
            </w:r>
          </w:p>
        </w:tc>
        <w:tc>
          <w:tcPr>
            <w:tcW w:type="dxa" w:w="53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Mitigation / fallback</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Capture inventory (C2) takes longer than planned because the archive layout is undocumented here</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 — everything depends on it</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Budget a full day. If the metadata files are unclear, email the ROAD authors; Pablo Moriano is responsive and is also the comparator repo’s author.</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Moriano comparator repo will not run (2 years stale)</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Timebox to one day, then quote published numbers and state plainly that comparators are quoted, not re-run. The floor is your result; their reproduction is a nicety.</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Trivial rules detect NOTHING on masquerade (H1 false)</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Then the masquerade floor is genuinely low, which hardens the benchmark with a detector class nobody tried. Retitle to “A Payload-Level Difficulty Floor…”, lead with the negative result, and keep every experiment.</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Trivial rules detect EVERYTHING including correlated-signal (H2 false)</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Simpler and stronger paper: all five captures are shortcut-solvable. Retitle; emphasise the construction mechanism more heavily.</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Pre-empted by a preprint before 15 Oct</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Low–Medium</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Re-check on 13 Oct (§5B.3). If pre-empted, pivot to the cross-corpus framing (experiment e) as the primary contribution, or reposition as independent confirmation plus the CrySyS extension.</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Interval-level labels produce ambiguous metrics</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Already mitigated: use windowed AUC matching the published protocol, and document the overlap rule. Report sensitivity to window length (Fig. 3) so the choice is defensible.</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Paper runs over 6 pages</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Cut Related Work prose into Table I; move ablation detail to a sentence. Never cut Results.</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Reviewer says “this is just Blevins et al. again”</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Pre-empt it in the introduction: state in the first paragraph that Blevins is timing-only and explicitly out of scope for masquerade, and that you extend their methodology rather than rediscover it. Put §III (construction) early so the distinct contribution is unmissable.</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GPU unavailable</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None</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This project does not use the GPU.</w:t>
            </w:r>
          </w:p>
        </w:tc>
      </w:tr>
    </w:tbl>
    <w:p>
      <w:pPr>
        <w:pStyle w:val="Heading2"/>
        <w:spacing w:after="140" w:before="280"/>
      </w:pPr>
      <w:r>
        <w:t xml:space="preserve">15.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Level</w:t>
            </w:r>
          </w:p>
        </w:tc>
        <w:tc>
          <w:tcPr>
            <w:tcW w:type="dxa" w:w="77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looks like</w:t>
            </w:r>
          </w:p>
        </w:tc>
      </w:tr>
      <w:tr>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Strong paper</w:t>
            </w:r>
          </w:p>
        </w:tc>
        <w:tc>
          <w:tcPr>
            <w:tcW w:type="dxa" w:w="7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clear split: 3–4 masquerade captures detected at &gt;90% TPR at 1% FPR by rules fitted on ambient only, correlated-signal near chance, byte-level evidence tying the effect to the attacked signal, AND the effect reproduced on the CrySyS corpus.</w:t>
            </w:r>
          </w:p>
        </w:tc>
      </w:tr>
      <w:tr>
        <w:tc>
          <w:tcPr>
            <w:tcW w:type="dxa" w:w="1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Acceptable paper</w:t>
            </w:r>
          </w:p>
        </w:tc>
        <w:tc>
          <w:tcPr>
            <w:tcW w:type="dxa" w:w="7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floor is established for all five captures with CIs, delta-over-trivial is reported against at least two published detectors (reproduced or quoted), and the construction mechanism is argued from the dataset paper’s own text. No cross-corpus result.</w:t>
            </w:r>
          </w:p>
        </w:tc>
      </w:tr>
      <w:tr>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Switch to backup</w:t>
            </w:r>
          </w:p>
        </w:tc>
        <w:tc>
          <w:tcPr>
            <w:tcW w:type="dxa" w:w="7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If by 8 October you cannot parse the captures or establish attack intervals reliably — i.e. Stage C has failed — stop and switch to the backup topic in Part III, because the remaining time will not support a dataset-heavy project.</w:t>
            </w:r>
          </w:p>
        </w:tc>
      </w:tr>
    </w:tbl>
    <w:p>
      <w:pPr>
        <w:spacing w:after="120" w:line="276"/>
      </w:pPr>
      <w:r>
        <w:rPr>
          <w:rFonts w:ascii="Calibri" w:cs="Calibri" w:eastAsia="Calibri" w:hAnsi="Calibri"/>
          <w:sz w:val="20"/>
          <w:szCs w:val="20"/>
        </w:rPr>
        <w:t xml:space="preserve">Mandatory final check: repeat the §5B.3 novelty search on 13 October, one week after starting and two days before submission.</w:t>
      </w:r>
    </w:p>
    <w:p>
      <w:pPr>
        <w:pStyle w:val="Heading2"/>
        <w:spacing w:after="140" w:before="280"/>
      </w:pPr>
      <w:r>
        <w:t xml:space="preserve">16.  References</w:t>
      </w:r>
    </w:p>
    <w:p>
      <w:pPr>
        <w:spacing w:after="120" w:line="276"/>
      </w:pPr>
      <w:r>
        <w:rPr>
          <w:rFonts w:ascii="Calibri" w:cs="Calibri" w:eastAsia="Calibri" w:hAnsi="Calibri"/>
          <w:sz w:val="20"/>
          <w:szCs w:val="20"/>
        </w:rPr>
        <w:t xml:space="preserve">IEEE numbered style. Every entry below was verified to exist during preparation; verify DOIs resolve again before submission.</w:t>
      </w:r>
    </w:p>
    <w:p>
      <w:pPr>
        <w:spacing w:after="80" w:line="276"/>
      </w:pPr>
      <w:r>
        <w:rPr>
          <w:rFonts w:ascii="Calibri" w:cs="Calibri" w:eastAsia="Calibri" w:hAnsi="Calibri"/>
          <w:sz w:val="18"/>
          <w:szCs w:val="18"/>
        </w:rPr>
        <w:t xml:space="preserve">[1] M. E. Verma, R. A. Bridges, M. D. Iannacone, S. C. Hollifield, P. Moriano, S. Hespeler, B. Kay, and F. L. Combs, “A comprehensive guide to CAN IDS data and introduction of the ROAD dataset,” PLOS ONE, 2024. doi: 10.1371/journal.pone.0296879. Preprint: arXiv:2012.14600.</w:t>
      </w:r>
    </w:p>
    <w:p>
      <w:pPr>
        <w:spacing w:after="80" w:line="276"/>
      </w:pPr>
      <w:r>
        <w:rPr>
          <w:rFonts w:ascii="Calibri" w:cs="Calibri" w:eastAsia="Calibri" w:hAnsi="Calibri"/>
          <w:sz w:val="18"/>
          <w:szCs w:val="18"/>
        </w:rPr>
        <w:t xml:space="preserve">[2] ROAD dataset (data). Zenodo, doi: 10.5281/zenodo.10462796. Licence CC-BY-4.0. https://zenodo.org/records/10462796</w:t>
      </w:r>
    </w:p>
    <w:p>
      <w:pPr>
        <w:spacing w:after="80" w:line="276"/>
      </w:pPr>
      <w:r>
        <w:rPr>
          <w:rFonts w:ascii="Calibri" w:cs="Calibri" w:eastAsia="Calibri" w:hAnsi="Calibri"/>
          <w:sz w:val="18"/>
          <w:szCs w:val="18"/>
        </w:rPr>
        <w:t xml:space="preserve">[3] D. H. Blevins, P. Moriano, R. A. Bridges, M. D. Iannacone, S. C. Hollifield, et al., “Time-Based CAN Intrusion Detection Benchmark,” Workshop on Automotive and Autonomous Vehicle Security (AutoSec), 2021. arXiv:2101.05781.</w:t>
      </w:r>
    </w:p>
    <w:p>
      <w:pPr>
        <w:spacing w:after="80" w:line="276"/>
      </w:pPr>
      <w:r>
        <w:rPr>
          <w:rFonts w:ascii="Calibri" w:cs="Calibri" w:eastAsia="Calibri" w:hAnsi="Calibri"/>
          <w:sz w:val="18"/>
          <w:szCs w:val="18"/>
        </w:rPr>
        <w:t xml:space="preserve">[4] P. Moriano et al., “Benchmarking unsupervised online IDS for masquerade attacks in CAN,” arXiv:2406.13778. Code: https://github.com/pmoriano/benchmarking-unsupervised-online-IDS-masquerade-attacks (MIT).</w:t>
      </w:r>
    </w:p>
    <w:p>
      <w:pPr>
        <w:spacing w:after="80" w:line="276"/>
      </w:pPr>
      <w:r>
        <w:rPr>
          <w:rFonts w:ascii="Calibri" w:cs="Calibri" w:eastAsia="Calibri" w:hAnsi="Calibri"/>
          <w:sz w:val="18"/>
          <w:szCs w:val="18"/>
        </w:rPr>
        <w:t xml:space="preserve">[5] P. Moriano et al., “Detecting Masquerade Attacks in Controller Area Networks Using Graph Machine Learning,” IEEE Trans. Information Forensics and Security, 2025. arXiv:2408.05427.</w:t>
      </w:r>
    </w:p>
    <w:p>
      <w:pPr>
        <w:spacing w:after="80" w:line="276"/>
      </w:pPr>
      <w:r>
        <w:rPr>
          <w:rFonts w:ascii="Calibri" w:cs="Calibri" w:eastAsia="Calibri" w:hAnsi="Calibri"/>
          <w:sz w:val="18"/>
          <w:szCs w:val="18"/>
        </w:rPr>
        <w:t xml:space="preserve">[6] B. Koltai, G. Ács, and A. Gazdag, “CAN We Trust Your Results? A Cross-Dataset Study of Automotive IDS Evaluation,” arXiv:2606.30430, 2026. Code: https://github.com/CrySyS/Cross-Dataset-Study-of-Automotive-IDS-Evaluation (GPL-3.0).</w:t>
      </w:r>
    </w:p>
    <w:p>
      <w:pPr>
        <w:spacing w:after="80" w:line="276"/>
      </w:pPr>
      <w:r>
        <w:rPr>
          <w:rFonts w:ascii="Calibri" w:cs="Calibri" w:eastAsia="Calibri" w:hAnsi="Calibri"/>
          <w:sz w:val="18"/>
          <w:szCs w:val="18"/>
        </w:rPr>
        <w:t xml:space="preserve">[7] “MIDS: Detecting Stealthy Masquerade and Tampering Attacks on CAN Bus via Bidirectional Mamba,” arXiv:2606.18599, 2026.</w:t>
      </w:r>
    </w:p>
    <w:p>
      <w:pPr>
        <w:spacing w:after="80" w:line="276"/>
      </w:pPr>
      <w:r>
        <w:rPr>
          <w:rFonts w:ascii="Calibri" w:cs="Calibri" w:eastAsia="Calibri" w:hAnsi="Calibri"/>
          <w:sz w:val="18"/>
          <w:szCs w:val="18"/>
        </w:rPr>
        <w:t xml:space="preserve">[8] “Behavioral Residualization for Unsupervised Intrusion Detection in Automotive CAN Networks,” arXiv:2608.05548, 2026.</w:t>
      </w:r>
    </w:p>
    <w:p>
      <w:pPr>
        <w:spacing w:after="80" w:line="276"/>
      </w:pPr>
      <w:r>
        <w:rPr>
          <w:rFonts w:ascii="Calibri" w:cs="Calibri" w:eastAsia="Calibri" w:hAnsi="Calibri"/>
          <w:sz w:val="18"/>
          <w:szCs w:val="18"/>
        </w:rPr>
        <w:t xml:space="preserve">[9] S. Longari et al., “CANdito: Improving Payload-based Detection of Attacks on Controller Area Networks,” arXiv:2208.06628, 2022.</w:t>
      </w:r>
    </w:p>
    <w:p>
      <w:pPr>
        <w:spacing w:after="80" w:line="276"/>
      </w:pPr>
      <w:r>
        <w:rPr>
          <w:rFonts w:ascii="Calibri" w:cs="Calibri" w:eastAsia="Calibri" w:hAnsi="Calibri"/>
          <w:sz w:val="18"/>
          <w:szCs w:val="18"/>
        </w:rPr>
        <w:t xml:space="preserve">[10] A. Gazdag et al., “CrySyS dataset of CAN traffic logs containing fabrication and masquerade attacks,” Scientific Data, 2023. https://www.nature.com/articles/s41597-023-02716-9</w:t>
      </w:r>
    </w:p>
    <w:p>
      <w:pPr>
        <w:spacing w:after="80" w:line="276"/>
      </w:pPr>
      <w:r>
        <w:rPr>
          <w:rFonts w:ascii="Calibri" w:cs="Calibri" w:eastAsia="Calibri" w:hAnsi="Calibri"/>
          <w:sz w:val="18"/>
          <w:szCs w:val="18"/>
        </w:rPr>
        <w:t xml:space="preserve">[11] Shortcut-learning / identifier stress-testing audit of frame-level CAN IDS, Array, 2026. doi: 10.1016/j.array.2026.101112. [VERIFY the exact author list and title before citing — seen in secondary sources only.]</w:t>
      </w:r>
    </w:p>
    <w:p>
      <w:pPr>
        <w:spacing w:after="80" w:line="276"/>
      </w:pPr>
      <w:r>
        <w:rPr>
          <w:rFonts w:ascii="Calibri" w:cs="Calibri" w:eastAsia="Calibri" w:hAnsi="Calibri"/>
          <w:sz w:val="18"/>
          <w:szCs w:val="18"/>
        </w:rPr>
        <w:t xml:space="preserve">[12] “Improving In-vehicle Networks Intrusion Detection Using On-Device Transfer Learning” (CAN-ODTL), NDSS VehicleSec, 2023.</w:t>
      </w:r>
    </w:p>
    <w:p>
      <w:pPr>
        <w:spacing w:after="80" w:line="276"/>
      </w:pPr>
      <w:r>
        <w:rPr>
          <w:rFonts w:ascii="Calibri" w:cs="Calibri" w:eastAsia="Calibri" w:hAnsi="Calibri"/>
          <w:sz w:val="18"/>
          <w:szCs w:val="18"/>
        </w:rPr>
        <w:t xml:space="preserve">[13] “Towards Ultra-Low Latency: Binarized Neural Network Architectures for In-Vehicle Network Intrusion Detection,” arXiv:2511.00828, 2025.</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CITATION HYGIENE  </w:t>
      </w:r>
      <w:r>
        <w:rPr>
          <w:rFonts w:ascii="Calibri" w:cs="Calibri" w:eastAsia="Calibri" w:hAnsi="Calibri"/>
          <w:sz w:val="20"/>
          <w:szCs w:val="20"/>
        </w:rPr>
        <w:t xml:space="preserve">Entry [11] is the only one whose exact title and authors I could not read directly — it was seen in secondary sources. Open the DOI and copy the real metadata before you cite it. Do not submit a reference you have not opened yourself.</w:t>
      </w:r>
    </w:p>
    <w:p>
      <w:r>
        <w:br w:type="page"/>
      </w:r>
    </w:p>
    <w:p>
      <w:pPr>
        <w:pStyle w:val="Heading1"/>
        <w:spacing w:after="180" w:before="360"/>
      </w:pPr>
      <w:r>
        <w:t xml:space="preserve">PART II — Project 2: Cross-Campaign Generalisation of MAVLink Intrusion Detection</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READ THIS FIRST — RISK PROFILE  </w:t>
      </w:r>
      <w:r>
        <w:rPr>
          <w:rFonts w:ascii="Calibri" w:cs="Calibri" w:eastAsia="Calibri" w:hAnsi="Calibri"/>
          <w:sz w:val="20"/>
          <w:szCs w:val="20"/>
        </w:rPr>
        <w:t xml:space="preserve">Project 2 is materially riskier than Project 1. Its central dependency — whether the two HCRL MAVLink corpora use compatible message-ID representations — is UNVERIFIED, because the SHADOW-GCS page does not document its format. Step C2 is a hard go/no-go on Day 1. If it fails, switch to the fallback in §14 rather than trying to force it. Do not begin writing this paper before C2 passes.</w:t>
      </w:r>
    </w:p>
    <w:p>
      <w:pPr>
        <w:pStyle w:val="Heading2"/>
        <w:spacing w:after="140" w:before="280"/>
      </w:pPr>
      <w:r>
        <w:t xml:space="preserve">1.  Title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1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Working title</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Does MAVLink Intrusion Detection Survive a Change of Campaign?</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Target</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IEEE ICCE 2027 — Special Session SS-02</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Exact track wording</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“Cyber security and resilience of unmanned aerial vehicles” (SS-02 topic 3); secondary topic 5</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Length</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6 pages, or 4 if the result proves thin (see §14)</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Date prepared</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 October 2026</w:t>
            </w:r>
          </w:p>
        </w:tc>
      </w:tr>
      <w:tr>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Build time</w:t>
            </w:r>
          </w:p>
        </w:tc>
        <w:tc>
          <w:tcPr>
            <w:tcW w:type="dxa" w:w="71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5–6 person-days (ESTIMATE)</w:t>
            </w:r>
          </w:p>
        </w:tc>
      </w:tr>
      <w:tr>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GPU required</w:t>
            </w:r>
          </w:p>
        </w:tc>
        <w:tc>
          <w:tcPr>
            <w:tcW w:type="dxa" w:w="71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Minimal — small LSTM/1D-CNN. 1–3 GPU-hours (ESTIMATE); runs on CPU if the L4 is busy.</w:t>
            </w:r>
          </w:p>
        </w:tc>
      </w:tr>
    </w:tbl>
    <w:p>
      <w:pPr>
        <w:pStyle w:val="Heading2"/>
        <w:spacing w:after="140" w:before="280"/>
      </w:pPr>
      <w:r>
        <w:t xml:space="preserve">2.  Executive Summary</w:t>
      </w:r>
    </w:p>
    <w:p>
      <w:pPr>
        <w:spacing w:after="120" w:line="276"/>
      </w:pPr>
      <w:r>
        <w:rPr>
          <w:rFonts w:ascii="Calibri" w:cs="Calibri" w:eastAsia="Calibri" w:hAnsi="Calibri"/>
          <w:sz w:val="20"/>
          <w:szCs w:val="20"/>
        </w:rPr>
        <w:t xml:space="preserve">Consumer and hobbyist drones are flown using MAVLink, an unauthenticated telemetry and command protocol spoken between the aircraft and a ground control station. Researchers build intrusion detection systems that learn the normal sequence of MAVLink message types and flag deviations.</w:t>
      </w:r>
    </w:p>
    <w:p>
      <w:pPr>
        <w:spacing w:after="120" w:line="276"/>
      </w:pPr>
      <w:r>
        <w:rPr>
          <w:rFonts w:ascii="Calibri" w:cs="Calibri" w:eastAsia="Calibri" w:hAnsi="Calibri"/>
          <w:sz w:val="20"/>
          <w:szCs w:val="20"/>
        </w:rPr>
        <w:t xml:space="preserve">Published results are strong, but they are obtained within a single capture campaign: the same hardware-in-the-loop rig, the same operator, the same mission profiles, split into train and test. The question that matters for a drone flown outside the lab is different — does a detector trained on one campaign still work on another?</w:t>
      </w:r>
    </w:p>
    <w:p>
      <w:pPr>
        <w:spacing w:after="120" w:line="276"/>
      </w:pPr>
      <w:r>
        <w:rPr>
          <w:rFonts w:ascii="Calibri" w:cs="Calibri" w:eastAsia="Calibri" w:hAnsi="Calibri"/>
          <w:b/>
          <w:bCs/>
          <w:sz w:val="20"/>
          <w:szCs w:val="20"/>
        </w:rPr>
        <w:t xml:space="preserve">What has been studied, and what has not. </w:t>
      </w:r>
      <w:r>
        <w:rPr>
          <w:rFonts w:ascii="Calibri" w:cs="Calibri" w:eastAsia="Calibri" w:hAnsi="Calibri"/>
          <w:sz w:val="20"/>
          <w:szCs w:val="20"/>
        </w:rPr>
        <w:t xml:space="preserve">Cross-ATTACK generalisation is studied: GUIDE designates known and unknown attack families, and GALAXY shows that existing MAVLink detectors fail against a newly introduced stealthy relay-based attack. Cross-CAMPAIGN generalisation — training on one capture campaign and testing on an independent one — appears unexplored.</w:t>
      </w:r>
    </w:p>
    <w:p>
      <w:pPr>
        <w:spacing w:after="120" w:line="276"/>
      </w:pPr>
      <w:r>
        <w:rPr>
          <w:rFonts w:ascii="Calibri" w:cs="Calibri" w:eastAsia="Calibri" w:hAnsi="Calibri"/>
          <w:b/>
          <w:bCs/>
          <w:sz w:val="20"/>
          <w:szCs w:val="20"/>
        </w:rPr>
        <w:t xml:space="preserve">What we will do. </w:t>
      </w:r>
      <w:r>
        <w:rPr>
          <w:rFonts w:ascii="Calibri" w:cs="Calibri" w:eastAsia="Calibri" w:hAnsi="Calibri"/>
          <w:sz w:val="20"/>
          <w:szCs w:val="20"/>
        </w:rPr>
        <w:t xml:space="preserve">Train sequence detectors (LSTM, 1D-CNN, one-class autoencoder) on the HCRL MAVLink Message ID Sequence corpus and test on the HCRL SHADOW-GCS corpus under a shared tokenisation, and vice versa, reporting the within-campaign versus cross-campaign gap.</w:t>
      </w:r>
    </w:p>
    <w:p>
      <w:pPr>
        <w:spacing w:after="120" w:line="276"/>
      </w:pPr>
      <w:r>
        <w:rPr>
          <w:rFonts w:ascii="Calibri" w:cs="Calibri" w:eastAsia="Calibri" w:hAnsi="Calibri"/>
          <w:b/>
          <w:bCs/>
          <w:sz w:val="20"/>
          <w:szCs w:val="20"/>
        </w:rPr>
        <w:t xml:space="preserve">Honest positioning. </w:t>
      </w:r>
      <w:r>
        <w:rPr>
          <w:rFonts w:ascii="Calibri" w:cs="Calibri" w:eastAsia="Calibri" w:hAnsi="Calibri"/>
          <w:sz w:val="20"/>
          <w:szCs w:val="20"/>
        </w:rPr>
        <w:t xml:space="preserve">This is an extension of the evaluation axis used by GUIDE and GALAXY, not a new detection method and not a new dataset. Novelty is MEDIUM-LOW. The paper must say so, and must cite both works in the first paragraph.</w:t>
      </w:r>
    </w:p>
    <w:p>
      <w:pPr>
        <w:pStyle w:val="Heading2"/>
        <w:spacing w:after="140" w:before="280"/>
      </w:pPr>
      <w:r>
        <w:t xml:space="preserve">3.  Background and Problem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Term</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Meaning</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MAVLink</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Micro Air Vehicle Link — a lightweight binary messaging protocol between a UAV autopilot and a ground control station. Widely used by consumer and hobbyist drones. No authentication in common configurations.</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Message ID</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numeric field identifying the message type (heartbeat, attitude, GPS position, command, …). The sequence of message IDs over time is the feature used by sequence-based IDS.</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GCS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Ground Control Station — e.g. QGroundControl. The operator’s software.</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HITL</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Hardware-in-the-Loop — a simulated flight with real autopilot hardware in the control loop. How both corpora used here were captured.</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Capture campaign</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One coherent data-collection effort: a fixed rig, operator, mission profile and software version. Two campaigns differ in all of these even when the protocol is identical.</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Cross-campaign transfer</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Train on campaign A, test on campaign B, with no retraining. The question this paper asks.</w:t>
            </w:r>
          </w:p>
        </w:tc>
      </w:tr>
    </w:tbl>
    <w:p>
      <w:pPr>
        <w:spacing w:after="120" w:line="276"/>
      </w:pPr>
      <w:r>
        <w:rPr>
          <w:rFonts w:ascii="Calibri" w:cs="Calibri" w:eastAsia="Calibri" w:hAnsi="Calibri"/>
          <w:sz w:val="20"/>
          <w:szCs w:val="20"/>
        </w:rPr>
        <w:t xml:space="preserve">Why it matters: a consumer drone is not flown in the lab that produced the training data. If detector performance collapses when the campaign changes, then published accuracy figures do not describe deployed behaviour — which is precisely the kind of resilience claim SS-02 is about.</w:t>
      </w:r>
    </w:p>
    <w:p>
      <w:pPr>
        <w:pStyle w:val="Heading2"/>
        <w:spacing w:after="140" w:before="280"/>
      </w:pPr>
      <w:r>
        <w:t xml:space="preserve">4.  Literature Review</w:t>
      </w:r>
    </w:p>
    <w:p>
      <w:pPr>
        <w:pStyle w:val="Heading3"/>
        <w:spacing w:after="120" w:before="220"/>
      </w:pPr>
      <w:r>
        <w:t xml:space="preserve">4.1  Theme A — MAVLink sequence-based intrusion detection</w:t>
      </w:r>
    </w:p>
    <w:p>
      <w:pPr>
        <w:spacing w:after="120" w:line="276"/>
      </w:pPr>
      <w:r>
        <w:rPr>
          <w:rFonts w:ascii="Calibri" w:cs="Calibri" w:eastAsia="Calibri" w:hAnsi="Calibri"/>
          <w:sz w:val="20"/>
          <w:szCs w:val="20"/>
        </w:rPr>
        <w:t xml:space="preserve">GUIDE (Yoo, Kim and Kim, Computers &amp; Security 147, 2024, art. 104073) introduced the HCRL MAVLink Message ID Sequence dataset and a GAN-based enhancement to address attack-sample scarcity. The corpus was captured in a hardware-in-the-loop setup with missions issued via QGroundControl: normal samples show the UAV taking off, following predefined waypoints and landing, while attack samples were captured while an attack was actively in progress from an attacker PC.</w:t>
      </w:r>
    </w:p>
    <w:p>
      <w:pPr>
        <w:pStyle w:val="Heading3"/>
        <w:spacing w:after="120" w:before="220"/>
      </w:pPr>
      <w:r>
        <w:t xml:space="preserve">4.2  Theme B — Stealthy attacks and detector failure</w:t>
      </w:r>
    </w:p>
    <w:p>
      <w:pPr>
        <w:spacing w:after="120" w:line="276"/>
      </w:pPr>
      <w:r>
        <w:rPr>
          <w:rFonts w:ascii="Calibri" w:cs="Calibri" w:eastAsia="Calibri" w:hAnsi="Calibri"/>
          <w:sz w:val="20"/>
          <w:szCs w:val="20"/>
        </w:rPr>
        <w:t xml:space="preserve">GALAXY (Lee and Kim, IEEE PRDC 2025) introduced the SHADOW-GCS dataset, which captures a stealthy relay-based man-in-the-middle attack in which an unauthorised node relays MAVLink messages while injecting commands, monitoring and controlling the UAV without triggering ground-control-station alerts. It was collected from four realistic UAV–GCS scenarios. GALAXY demonstrates that existing detectors struggle against attacks that do not perturb normal message flow.</w:t>
      </w:r>
    </w:p>
    <w:p>
      <w:pPr>
        <w:pStyle w:val="Heading3"/>
        <w:spacing w:after="120" w:before="220"/>
      </w:pPr>
      <w:r>
        <w:t xml:space="preserve">4.3  Theme C — Evaluation-protocol scrutiny in adjacent fields</w:t>
      </w:r>
    </w:p>
    <w:p>
      <w:pPr>
        <w:spacing w:after="120" w:line="276"/>
      </w:pPr>
      <w:r>
        <w:rPr>
          <w:rFonts w:ascii="Calibri" w:cs="Calibri" w:eastAsia="Calibri" w:hAnsi="Calibri"/>
          <w:sz w:val="20"/>
          <w:szCs w:val="20"/>
        </w:rPr>
        <w:t xml:space="preserve">In automotive CAN, Koltai et al. (arXiv:2606.30430) showed that single-dataset results do not predict performance on other corpora. In drone RF identification, Shulman (arXiv:2607.01025) showed that segment-level splits inflate reported accuracy and that recording-level grouping collapses it. Both are evidence that the evaluation protocol, not the model, often determines the headline number — the same concern this paper raises for MAVLink.</w:t>
      </w:r>
    </w:p>
    <w:p>
      <w:pPr>
        <w:pStyle w:val="Heading3"/>
        <w:spacing w:after="120" w:before="220"/>
      </w:pPr>
      <w:r>
        <w:t xml:space="preserve">4.4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620"/>
        <w:gridCol w:w="1450"/>
        <w:gridCol w:w="1450"/>
        <w:gridCol w:w="1330"/>
        <w:gridCol w:w="1480"/>
        <w:gridCol w:w="1080"/>
      </w:tblGrid>
      <w:tr>
        <w:trPr>
          <w:tblHeader/>
        </w:trPr>
        <w:tc>
          <w:tcPr>
            <w:tcW w:type="dxa" w:w="19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Paper</w:t>
            </w:r>
          </w:p>
        </w:tc>
        <w:tc>
          <w:tcPr>
            <w:tcW w:type="dxa" w:w="62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Yr</w:t>
            </w:r>
          </w:p>
        </w:tc>
        <w:tc>
          <w:tcPr>
            <w:tcW w:type="dxa" w:w="14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Method</w:t>
            </w:r>
          </w:p>
        </w:tc>
        <w:tc>
          <w:tcPr>
            <w:tcW w:type="dxa" w:w="14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Dataset</w:t>
            </w:r>
          </w:p>
        </w:tc>
        <w:tc>
          <w:tcPr>
            <w:tcW w:type="dxa" w:w="133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Metric / result</w:t>
            </w:r>
          </w:p>
        </w:tc>
        <w:tc>
          <w:tcPr>
            <w:tcW w:type="dxa" w:w="148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Limitation</w:t>
            </w:r>
          </w:p>
        </w:tc>
        <w:tc>
          <w:tcPr>
            <w:tcW w:type="dxa" w:w="108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Code</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GUIDE (Yoo, Kim &amp; Kim), Computers &amp; Security 147:104073</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GAN-based augmentation + sequence IDS</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HCRL MAVLink Msg-ID Sequence</w:t>
            </w:r>
          </w:p>
        </w:tc>
        <w:tc>
          <w:tcPr>
            <w:tcW w:type="dxa" w:w="133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 (not re-verified here)</w:t>
            </w:r>
          </w:p>
        </w:tc>
        <w:tc>
          <w:tcPr>
            <w:tcW w:type="dxa" w:w="14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Single campaign; known/unknown split is by ATTACK, not by campaign</w:t>
            </w:r>
          </w:p>
        </w:tc>
        <w:tc>
          <w:tcPr>
            <w:tcW w:type="dxa" w:w="10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github.com/0pt3ryx/GUIDE — NO LICENCE FILE</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GALAXY (Lee &amp; Kim), IEEE PRDC</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dxa" w:w="1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Attention-based LSTM with external query</w:t>
            </w:r>
          </w:p>
        </w:tc>
        <w:tc>
          <w:tcPr>
            <w:tcW w:type="dxa" w:w="1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(4 UAV–GCS scenarios)</w:t>
            </w:r>
          </w:p>
        </w:tc>
        <w:tc>
          <w:tcPr>
            <w:tcW w:type="dxa" w:w="133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 (not re-verified here)</w:t>
            </w:r>
          </w:p>
        </w:tc>
        <w:tc>
          <w:tcPr>
            <w:tcW w:type="dxa" w:w="14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Introduces a new attack and shows prior IDS fail; does not test cross-campaign transfer</w:t>
            </w:r>
          </w:p>
        </w:tc>
        <w:tc>
          <w:tcPr>
            <w:tcW w:type="dxa" w:w="10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Not located</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Koltai et al., arXiv:2606.30430</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Cross-dataset harness (automotive CAN)</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7 CAN datasets</w:t>
            </w:r>
          </w:p>
        </w:tc>
        <w:tc>
          <w:tcPr>
            <w:tcW w:type="dxa" w:w="133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Normalised comparison</w:t>
            </w:r>
          </w:p>
        </w:tc>
        <w:tc>
          <w:tcPr>
            <w:tcW w:type="dxa" w:w="14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Different domain (CAN, not MAVLink)</w:t>
            </w:r>
          </w:p>
        </w:tc>
        <w:tc>
          <w:tcPr>
            <w:tcW w:type="dxa" w:w="10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Y (GPL-3.0)</w:t>
            </w:r>
          </w:p>
        </w:tc>
      </w:tr>
      <w:tr>
        <w:tc>
          <w:tcPr>
            <w:tcW w:type="dxa" w:w="19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Shulman, arXiv:2607.01025</w:t>
            </w:r>
          </w:p>
        </w:tc>
        <w:tc>
          <w:tcPr>
            <w:tcW w:type="dxa" w:w="62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Leakage theory + grouped CV (drone RF)</w:t>
            </w:r>
          </w:p>
        </w:tc>
        <w:tc>
          <w:tcPr>
            <w:tcW w:type="dxa" w:w="1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DroneRF</w:t>
            </w:r>
          </w:p>
        </w:tc>
        <w:tc>
          <w:tcPr>
            <w:tcW w:type="dxa" w:w="133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macro-F1 0.742 → 0.455 under leave-one-recording-out</w:t>
            </w:r>
          </w:p>
        </w:tc>
        <w:tc>
          <w:tcPr>
            <w:tcW w:type="dxa" w:w="14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RF modality, not MAVLink</w:t>
            </w:r>
          </w:p>
        </w:tc>
        <w:tc>
          <w:tcPr>
            <w:tcW w:type="dxa" w:w="10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github.com/shulm/spectrahawk (MIT)</w:t>
            </w:r>
          </w:p>
        </w:tc>
      </w:tr>
      <w:tr>
        <w:tc>
          <w:tcPr>
            <w:tcW w:type="dxa" w:w="19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UAVIDS-2025 XAI study, arXiv:2605.13922</w:t>
            </w:r>
          </w:p>
        </w:tc>
        <w:tc>
          <w:tcPr>
            <w:tcW w:type="dxa" w:w="62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Tree models + XAI</w:t>
            </w:r>
          </w:p>
        </w:tc>
        <w:tc>
          <w:tcPr>
            <w:tcW w:type="dxa" w:w="1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UAVIDS-2025 (simulated flows)</w:t>
            </w:r>
          </w:p>
        </w:tc>
        <w:tc>
          <w:tcPr>
            <w:tcW w:type="dxa" w:w="133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Reported in paper</w:t>
            </w:r>
          </w:p>
        </w:tc>
        <w:tc>
          <w:tcPr>
            <w:tcW w:type="dxa" w:w="14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Simulated network flows, not real MAVLink message sequences</w:t>
            </w:r>
          </w:p>
        </w:tc>
        <w:tc>
          <w:tcPr>
            <w:tcW w:type="dxa" w:w="10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Unknown</w:t>
            </w:r>
          </w:p>
        </w:tc>
      </w:tr>
    </w:tbl>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LITERATURE TABLE IS THINNER THAN PROJECT 1’s  </w:t>
      </w:r>
      <w:r>
        <w:rPr>
          <w:rFonts w:ascii="Calibri" w:cs="Calibri" w:eastAsia="Calibri" w:hAnsi="Calibri"/>
          <w:sz w:val="20"/>
          <w:szCs w:val="20"/>
        </w:rPr>
        <w:t xml:space="preserve">The planned deep recon for this project did not complete. Before submitting, expand this table to 10–15 rows by searching “MAVLink intrusion detection”, “UAV IDS message sequence”, “drone telemetry anomaly detection” and reading the results. Do not submit with five rows.</w:t>
      </w:r>
    </w:p>
    <w:p>
      <w:pPr>
        <w:pStyle w:val="Heading2"/>
        <w:spacing w:after="140" w:before="280"/>
      </w:pPr>
      <w:r>
        <w:t xml:space="preserve">5.  The Research Gap</w:t>
      </w:r>
    </w:p>
    <w:p>
      <w:pPr>
        <w:spacing w:after="120" w:line="276"/>
      </w:pPr>
      <w:r>
        <w:rPr>
          <w:rFonts w:ascii="Calibri" w:cs="Calibri" w:eastAsia="Calibri" w:hAnsi="Calibri"/>
          <w:sz w:val="20"/>
          <w:szCs w:val="20"/>
        </w:rPr>
        <w:t xml:space="preserve">Gap statement: published MAVLink sequence-based intrusion detectors are evaluated within a single capture campaign, so it is unknown how much of their reported performance survives a change of rig, operator and mission profile — the change that necessarily occurs when a consumer drone is flown outside the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Aspect</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Detail</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Gap type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Evaluation gap</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1</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GUIDE’s known/unknown protocol partitions by ATTACK family, not by campaign.</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2</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GALAXY evaluates existing detectors against a new ATTACK, again within its own capture setting.</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Evidence 3</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analogous protocol failure has been demonstrated in two adjacent fields (CAN cross-dataset; drone RF recording-level leakage), making the concern concrete rather than speculative.</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Why now feasible</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Two MAVLink-native corpora from the same laboratory now exist publicly, which is the minimum needed to run a cross-campaign experiment at all.</w:t>
            </w:r>
          </w:p>
        </w:tc>
      </w:tr>
    </w:tbl>
    <w:p>
      <w:pPr>
        <w:pStyle w:val="Heading2"/>
        <w:spacing w:after="140" w:before="280"/>
      </w:pPr>
      <w:r>
        <w:t xml:space="preserve">5B.  Novelty Statement and Verification</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NOVELTY LEVEL: MEDIUM-LOW — AND THIS IS THE DELIBERATE CHOICE  </w:t>
      </w:r>
      <w:r>
        <w:rPr>
          <w:rFonts w:ascii="Calibri" w:cs="Calibri" w:eastAsia="Calibri" w:hAnsi="Calibri"/>
          <w:sz w:val="20"/>
          <w:szCs w:val="20"/>
        </w:rPr>
        <w:t xml:space="preserve">Project 2 is the paper where a relaxed novelty bar was applied, because three rounds of strict verification found no HIGH-novelty topic reachable in the available time. The contribution is a new evaluation axis on existing data with existing model families. It is a legitimate short-paper contribution at a 2–6 page venue PROVIDED it never overclaims.</w:t>
      </w:r>
    </w:p>
    <w:p>
      <w:pPr>
        <w:pStyle w:val="Heading3"/>
        <w:spacing w:after="120" w:before="220"/>
      </w:pPr>
      <w:r>
        <w:t xml:space="preserve">5B.1  Defensible novelty claim</w:t>
      </w:r>
    </w:p>
    <w:p>
      <w:pPr>
        <w:spacing w:after="120" w:line="276"/>
      </w:pPr>
      <w:r>
        <w:rPr>
          <w:rFonts w:ascii="Calibri" w:cs="Calibri" w:eastAsia="Calibri" w:hAnsi="Calibri"/>
          <w:i/>
          <w:iCs/>
          <w:sz w:val="20"/>
          <w:szCs w:val="20"/>
        </w:rPr>
        <w:t xml:space="preserve">“To the best of our knowledge, prior evaluations of MAVLink message-sequence intrusion detection partition data by attack family within a single capture campaign; we report the first cross-campaign transfer results for this task, using two independently collected public MAVLink corpora.”</w:t>
      </w:r>
    </w:p>
    <w:p>
      <w:pPr>
        <w:spacing w:after="120" w:line="276"/>
      </w:pPr>
      <w:r>
        <w:rPr>
          <w:rFonts w:ascii="Calibri" w:cs="Calibri" w:eastAsia="Calibri" w:hAnsi="Calibri"/>
          <w:sz w:val="20"/>
          <w:szCs w:val="20"/>
        </w:rPr>
        <w:t xml:space="preserve">Phrasing to AVOID: “first UAV IDS benchmark”; “first to show UAV IDS do not generalise”; “novel detection method” (there is no new method here, and claiming one invites rejection).</w:t>
      </w:r>
    </w:p>
    <w:p>
      <w:pPr>
        <w:pStyle w:val="Heading3"/>
        <w:spacing w:after="120" w:before="220"/>
      </w:pPr>
      <w:r>
        <w:t xml:space="preserve">5B.2  Closest existing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560"/>
        <w:gridCol w:w="2350"/>
        <w:gridCol w:w="2200"/>
        <w:gridCol w:w="2370"/>
      </w:tblGrid>
      <w:tr>
        <w:trPr>
          <w:tblHeader/>
        </w:trPr>
        <w:tc>
          <w:tcPr>
            <w:tcW w:type="dxa" w:w="188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Closest paper</w:t>
            </w:r>
          </w:p>
        </w:tc>
        <w:tc>
          <w:tcPr>
            <w:tcW w:type="dxa" w:w="5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Yr</w:t>
            </w:r>
          </w:p>
        </w:tc>
        <w:tc>
          <w:tcPr>
            <w:tcW w:type="dxa" w:w="23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does</w:t>
            </w:r>
          </w:p>
        </w:tc>
        <w:tc>
          <w:tcPr>
            <w:tcW w:type="dxa" w:w="22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does NOT do</w:t>
            </w:r>
          </w:p>
        </w:tc>
        <w:tc>
          <w:tcPr>
            <w:tcW w:type="dxa" w:w="237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How ours differs</w:t>
            </w:r>
          </w:p>
        </w:tc>
      </w:tr>
      <w:tr>
        <w:tc>
          <w:tcPr>
            <w:tcW w:type="dxa" w:w="18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GUIDE, Computers &amp; Security 147:104073</w:t>
            </w:r>
          </w:p>
        </w:tc>
        <w:tc>
          <w:tcPr>
            <w:tcW w:type="dxa" w:w="5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2024</w:t>
            </w:r>
          </w:p>
        </w:tc>
        <w:tc>
          <w:tcPr>
            <w:tcW w:type="dxa" w:w="2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Introduces the Msg-ID Sequence corpus; GAN augmentation; designates known vs unknown attacks</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Does not test on an independently collected campaign</w:t>
            </w:r>
          </w:p>
        </w:tc>
        <w:tc>
          <w:tcPr>
            <w:tcW w:type="dxa" w:w="237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hold out the entire CAMPAIGN, not an attack family</w:t>
            </w:r>
          </w:p>
        </w:tc>
      </w:tr>
      <w:tr>
        <w:tc>
          <w:tcPr>
            <w:tcW w:type="dxa" w:w="18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GALAXY, IEEE PRDC</w:t>
            </w:r>
          </w:p>
        </w:tc>
        <w:tc>
          <w:tcPr>
            <w:tcW w:type="dxa" w:w="5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dxa" w:w="2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Introduces SHADOW-GCS; shows existing IDS fail on a stealthy relay MITM</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Evaluates within its own capture setting; no transfer between corpora</w:t>
            </w:r>
          </w:p>
        </w:tc>
        <w:tc>
          <w:tcPr>
            <w:tcW w:type="dxa" w:w="237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 train on one corpus and test on the other, in both directions</w:t>
            </w:r>
          </w:p>
        </w:tc>
      </w:tr>
      <w:tr>
        <w:tc>
          <w:tcPr>
            <w:tcW w:type="dxa" w:w="188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Koltai et al., arXiv:2606.30430</w:t>
            </w:r>
          </w:p>
        </w:tc>
        <w:tc>
          <w:tcPr>
            <w:tcW w:type="dxa" w:w="5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23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Cross-dataset evaluation harness</w:t>
            </w:r>
          </w:p>
        </w:tc>
        <w:tc>
          <w:tcPr>
            <w:tcW w:type="dxa" w:w="22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Automotive CAN, not UAV/MAVLink</w:t>
            </w:r>
          </w:p>
        </w:tc>
        <w:tc>
          <w:tcPr>
            <w:tcW w:type="dxa" w:w="237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Same methodological concern, different protocol and domain</w:t>
            </w:r>
          </w:p>
        </w:tc>
      </w:tr>
      <w:tr>
        <w:tc>
          <w:tcPr>
            <w:tcW w:type="dxa" w:w="188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Shulman, arXiv:2607.01025</w:t>
            </w:r>
          </w:p>
        </w:tc>
        <w:tc>
          <w:tcPr>
            <w:tcW w:type="dxa" w:w="5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2026</w:t>
            </w:r>
          </w:p>
        </w:tc>
        <w:tc>
          <w:tcPr>
            <w:tcW w:type="dxa" w:w="23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Shows protocol-induced inflation in drone RF benchmarks</w:t>
            </w:r>
          </w:p>
        </w:tc>
        <w:tc>
          <w:tcPr>
            <w:tcW w:type="dxa" w:w="22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RF signals, not MAVLink message sequences</w:t>
            </w:r>
          </w:p>
        </w:tc>
        <w:tc>
          <w:tcPr>
            <w:tcW w:type="dxa" w:w="237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Different modality; we address the telemetry-protocol side</w:t>
            </w:r>
          </w:p>
        </w:tc>
      </w:tr>
    </w:tbl>
    <w:p>
      <w:pPr>
        <w:pStyle w:val="Heading3"/>
        <w:spacing w:after="120" w:before="220"/>
      </w:pPr>
      <w:r>
        <w:t xml:space="preserve">5B.3  Search record and outstanding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Field</w:t>
            </w:r>
          </w:p>
        </w:tc>
        <w:tc>
          <w:tcPr>
            <w:tcW w:type="dxa" w:w="7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Value</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Date of search</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29 September – 3 October 2026</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Databases</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arXiv, Semantic Scholar, GitHub, IEEE Xplore, ScienceDirect, HCRL dataset pages, IEEE DataPort</w:t>
            </w:r>
          </w:p>
        </w:tc>
      </w:tr>
      <w:tr>
        <w:tc>
          <w:tcPr>
            <w:tcW w:type="dxa" w:w="1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Representative queries</w:t>
            </w:r>
          </w:p>
        </w:tc>
        <w:tc>
          <w:tcPr>
            <w:tcW w:type="dxa" w:w="7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“MAVLink intrusion detection cross-dataset”; “UAV IDS generalisation unseen campaign”; “MAVLink message ID sequence detection transfer”; “drone telemetry IDS cross-corpus”; “SHADOW-GCS GALAXY dataset”; “GUIDE UAV IDS GAN”; plus 2025/2026-restricted variants</w:t>
            </w:r>
          </w:p>
        </w:tc>
      </w:tr>
      <w:tr>
        <w:tc>
          <w:tcPr>
            <w:tcW w:type="dxa" w:w="1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Status</w:t>
            </w:r>
          </w:p>
        </w:tc>
        <w:tc>
          <w:tcPr>
            <w:tcW w:type="dxa" w:w="7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INCOMPLETE. The planned full 12-query adversarial sweep for this topic did not finish. The closest-works list above is based on partial verification.</w:t>
            </w:r>
          </w:p>
        </w:tc>
      </w:tr>
    </w:tbl>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MANDATORY BEFORE WRITING  </w:t>
      </w:r>
      <w:r>
        <w:rPr>
          <w:rFonts w:ascii="Calibri" w:cs="Calibri" w:eastAsia="Calibri" w:hAnsi="Calibri"/>
          <w:sz w:val="20"/>
          <w:szCs w:val="20"/>
        </w:rPr>
        <w:t xml:space="preserve">Complete the novelty sweep for this topic before you commit days to it. Specifically: search for any MAVLink or UAV IDS paper reporting cross-dataset or cross-corpus transfer, and read GALAXY in full to confirm it does not already train on one campaign and test on another. If GALAXY does that, this topic is dead and you should go to the fallback in §14.</w:t>
      </w:r>
    </w:p>
    <w:p>
      <w:pPr>
        <w:pStyle w:val="Heading2"/>
        <w:spacing w:after="140" w:before="280"/>
      </w:pPr>
      <w:r>
        <w:t xml:space="preserve">6.  Research Questions, Hypotheses and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w:trPr>
          <w:tblHeader/>
        </w:trPr>
        <w:tc>
          <w:tcPr>
            <w:tcW w:type="dxa" w:w="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t>
            </w:r>
          </w:p>
        </w:tc>
        <w:tc>
          <w:tcPr>
            <w:tcW w:type="dxa" w:w="3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Research question</w:t>
            </w:r>
          </w:p>
        </w:tc>
        <w:tc>
          <w:tcPr>
            <w:tcW w:type="dxa" w:w="48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Hypothesis</w:t>
            </w:r>
          </w:p>
        </w:tc>
      </w:tr>
      <w:tr>
        <w:tc>
          <w:tcPr>
            <w:tcW w:type="dxa" w:w="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RQ1</w:t>
            </w:r>
          </w:p>
        </w:tc>
        <w:tc>
          <w:tcPr>
            <w:tcW w:type="dxa" w:w="3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How large is the gap between within-campaign and cross-campaign detection performance for MAVLink message-sequence IDS?</w:t>
            </w:r>
          </w:p>
        </w:tc>
        <w:tc>
          <w:tcPr>
            <w:tcW w:type="dxa" w:w="4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H1: Cross-campaign AUC falls substantially below within-campaign AUC, by a margin large enough to change practical conclusions.</w:t>
            </w:r>
          </w:p>
        </w:tc>
      </w:tr>
      <w:tr>
        <w:tc>
          <w:tcPr>
            <w:tcW w:type="dxa" w:w="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RQ2</w:t>
            </w:r>
          </w:p>
        </w:tc>
        <w:tc>
          <w:tcPr>
            <w:tcW w:type="dxa" w:w="3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Is the drop symmetric between the two transfer directions?</w:t>
            </w:r>
          </w:p>
        </w:tc>
        <w:tc>
          <w:tcPr>
            <w:tcW w:type="dxa" w:w="4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H2: Transfer is asymmetric; the corpus with more diverse mission profiles transfers better as a training source.</w:t>
            </w:r>
          </w:p>
        </w:tc>
      </w:tr>
      <w:tr>
        <w:tc>
          <w:tcPr>
            <w:tcW w:type="dxa" w:w="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RQ3</w:t>
            </w:r>
          </w:p>
        </w:tc>
        <w:tc>
          <w:tcPr>
            <w:tcW w:type="dxa" w:w="3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Which representation choices reduce the gap?</w:t>
            </w:r>
          </w:p>
        </w:tc>
        <w:tc>
          <w:tcPr>
            <w:tcW w:type="dxa" w:w="4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H3: Representations that discard absolute timing and campaign-specific message-rate artefacts (ID n-grams, normalised inter-message intervals) transfer better than raw sequences.</w:t>
            </w:r>
          </w:p>
        </w:tc>
      </w:tr>
    </w:tbl>
    <w:p>
      <w:pPr>
        <w:pStyle w:val="Heading3"/>
        <w:spacing w:after="120" w:before="220"/>
      </w:pPr>
      <w:r>
        <w:t xml:space="preserve">6.1  Contributions as stated in the paper</w:t>
      </w:r>
    </w:p>
    <w:p>
      <w:pPr>
        <w:pStyle w:val="ListParagraph"/>
        <w:numPr>
          <w:ilvl w:val="0"/>
          <w:numId w:val="2"/>
        </w:numPr>
        <w:spacing w:after="60" w:line="276"/>
      </w:pPr>
      <w:r>
        <w:t xml:space="preserve">We report cross-campaign transfer results for MAVLink message-sequence intrusion detection using two independently collected public corpora, an evaluation axis not covered by prior work that partitions by attack family.</w:t>
      </w:r>
    </w:p>
    <w:p>
      <w:pPr>
        <w:pStyle w:val="ListParagraph"/>
        <w:numPr>
          <w:ilvl w:val="0"/>
          <w:numId w:val="2"/>
        </w:numPr>
        <w:spacing w:after="60" w:line="276"/>
      </w:pPr>
      <w:r>
        <w:t xml:space="preserve">We quantify the within- versus cross-campaign gap for three standard detector families under a shared tokenisation.</w:t>
      </w:r>
    </w:p>
    <w:p>
      <w:pPr>
        <w:pStyle w:val="ListParagraph"/>
        <w:numPr>
          <w:ilvl w:val="0"/>
          <w:numId w:val="2"/>
        </w:numPr>
        <w:spacing w:after="60" w:line="276"/>
      </w:pPr>
      <w:r>
        <w:t xml:space="preserve">We identify which representation choices narrow the gap, giving practical guidance for deployment outside the training lab.</w:t>
      </w:r>
    </w:p>
    <w:p>
      <w:pPr>
        <w:pStyle w:val="ListParagraph"/>
        <w:numPr>
          <w:ilvl w:val="0"/>
          <w:numId w:val="2"/>
        </w:numPr>
        <w:spacing w:after="60" w:line="276"/>
      </w:pPr>
      <w:r>
        <w:t xml:space="preserve">We release the shared tokenisation and evaluation harness, since neither corpus currently ships one.</w:t>
      </w:r>
    </w:p>
    <w:p>
      <w:pPr>
        <w:pStyle w:val="Heading2"/>
        <w:spacing w:after="140" w:before="280"/>
      </w:pPr>
      <w:r>
        <w:t xml:space="preserve">7.  Resources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rPr>
          <w:tblHeader/>
        </w:trPr>
        <w:tc>
          <w:tcPr>
            <w:tcW w:type="dxa" w:w="2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Resource</w:t>
            </w:r>
          </w:p>
        </w:tc>
        <w:tc>
          <w:tcPr>
            <w:tcW w:type="dxa" w:w="5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Detail</w:t>
            </w:r>
          </w:p>
        </w:tc>
        <w:tc>
          <w:tcPr>
            <w:tcW w:type="dxa" w:w="1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Status</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HCRL MAVLink Message ID Sequence Dataset</w:t>
            </w:r>
          </w:p>
        </w:tc>
        <w:tc>
          <w:tcPr>
            <w:tcW w:type="dxa" w:w="5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https://ocslab.hksecurity.net/Datasets/mavlink-message-id-sequence-dataset — NumPy arrays of message-ID sequences plus raw PCAP. IEEE DataPort DOI 10.21227/mhpm-g592. HITL capture, QGroundControl.</w:t>
            </w:r>
          </w:p>
        </w:tc>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exists; format partially documented</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HCRL SHADOW-GCS Attack Dataset</w:t>
            </w:r>
          </w:p>
        </w:tc>
        <w:tc>
          <w:tcPr>
            <w:tcW w:type="dxa" w:w="5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https://ocslab.hksecurity.net/Datasets/shadow-gcs-attack-dataset — stealthy relay-based MITM; four UAV–GCS scenarios; Dropbox download link on the page.</w:t>
            </w:r>
          </w:p>
        </w:tc>
        <w:tc>
          <w:tcPr>
            <w:tcW w:type="dxa" w:w="1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exists; FORMAT NOT DOCUMENTED</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Licences</w:t>
            </w:r>
          </w:p>
        </w:tc>
        <w:tc>
          <w:tcPr>
            <w:tcW w:type="dxa" w:w="5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NEITHER dataset states a licence on its page.</w:t>
            </w:r>
          </w:p>
        </w:tc>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RISK — see note below</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github.com/0pt3ryx/GUIDE</w:t>
            </w:r>
          </w:p>
        </w:tc>
        <w:tc>
          <w:tcPr>
            <w:tcW w:type="dxa" w:w="5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Official GUIDE code, linked from the dataset page. 4 stars, last push 2025-10-05.</w:t>
            </w:r>
          </w:p>
        </w:tc>
        <w:tc>
          <w:tcPr>
            <w:tcW w:type="dxa" w:w="1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 NO LICENCE FILE</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Compute</w:t>
            </w:r>
          </w:p>
        </w:tc>
        <w:tc>
          <w:tcPr>
            <w:tcW w:type="dxa" w:w="5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Small LSTM / 1D-CNN / one-class AE over short ID sequences. 1–3 GPU-hours total (ESTIMATE). CPU-feasible.</w:t>
            </w:r>
          </w:p>
        </w:tc>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Fine on the L4</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Libraries</w:t>
            </w:r>
          </w:p>
        </w:tc>
        <w:tc>
          <w:tcPr>
            <w:tcW w:type="dxa" w:w="5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python 3.11, numpy, pandas, scikit-learn, torch 2.4 (CPU or CUDA), pyshark or scapy if PCAP parsing is needed, matplotlib</w:t>
            </w:r>
          </w:p>
        </w:tc>
        <w:tc>
          <w:tcPr>
            <w:tcW w:type="dxa" w:w="1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bl>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LICENCE RISK — ACT ON THIS  </w:t>
      </w:r>
      <w:r>
        <w:rPr>
          <w:rFonts w:ascii="Calibri" w:cs="Calibri" w:eastAsia="Calibri" w:hAnsi="Calibri"/>
          <w:sz w:val="20"/>
          <w:szCs w:val="20"/>
        </w:rPr>
        <w:t xml:space="preserve">Neither HCRL dataset page states a licence, and the GUIDE repository has no licence file, which legally means all rights reserved. Do NOT copy GUIDE’s code — reimplement the models from the paper description. For the datasets, email Prof. Huy Kang Kim (cenda@korea.ac.kr) on Day 1 to confirm permitted research use and how he wishes the datasets cited. HCRL datasets are conventionally free for academic use with citation, but get it in writing before publishing on them.</w:t>
      </w:r>
    </w:p>
    <w:p>
      <w:pPr>
        <w:pStyle w:val="Heading2"/>
        <w:spacing w:after="140" w:before="280"/>
      </w:pPr>
      <w:r>
        <w:t xml:space="preserve">8.  Methodology</w:t>
      </w:r>
    </w:p>
    <w:p>
      <w:pPr>
        <w:pStyle w:val="Heading3"/>
        <w:spacing w:after="120" w:before="220"/>
      </w:pPr>
      <w:r>
        <w:t xml:space="preserve">8.1  Shared tokenisation — the technical core</w:t>
      </w:r>
    </w:p>
    <w:p>
      <w:pPr>
        <w:spacing w:after="120" w:line="276"/>
      </w:pPr>
      <w:r>
        <w:rPr>
          <w:rFonts w:ascii="Calibri" w:cs="Calibri" w:eastAsia="Calibri" w:hAnsi="Calibri"/>
          <w:sz w:val="20"/>
          <w:szCs w:val="20"/>
        </w:rPr>
        <w:t xml:space="preserve">The two corpora were produced by different campaigns and may encode message identity differently. The first technical contribution is a shared tokenisation under which both become comparable:</w:t>
      </w:r>
    </w:p>
    <w:p>
      <w:pPr>
        <w:pStyle w:val="ListParagraph"/>
        <w:numPr>
          <w:ilvl w:val="0"/>
          <w:numId w:val="3"/>
        </w:numPr>
        <w:spacing w:after="60" w:line="276"/>
      </w:pPr>
      <w:r>
        <w:t xml:space="preserve">Extract the ordered sequence of MAVLink message IDs from each corpus (from NumPy arrays where available, from PCAP via scapy/pyshark where not).</w:t>
      </w:r>
    </w:p>
    <w:p>
      <w:pPr>
        <w:pStyle w:val="ListParagraph"/>
        <w:numPr>
          <w:ilvl w:val="0"/>
          <w:numId w:val="3"/>
        </w:numPr>
        <w:spacing w:after="60" w:line="276"/>
      </w:pPr>
      <w:r>
        <w:t xml:space="preserve">Build the union vocabulary of message IDs across BOTH corpora. Map every ID to a shared integer index. Reserve index 0 for “message ID unseen in the training corpus” — this token is essential, because out-of-vocabulary IDs are exactly what cross-campaign transfer will produce.</w:t>
      </w:r>
    </w:p>
    <w:p>
      <w:pPr>
        <w:pStyle w:val="ListParagraph"/>
        <w:numPr>
          <w:ilvl w:val="0"/>
          <w:numId w:val="3"/>
        </w:numPr>
        <w:spacing w:after="60" w:line="276"/>
      </w:pPr>
      <w:r>
        <w:t xml:space="preserve">Window each sequence into fixed-length windows (start with length 32, stride 16) and label a window positive if it falls inside an attack period.</w:t>
      </w:r>
    </w:p>
    <w:p>
      <w:pPr>
        <w:pStyle w:val="ListParagraph"/>
        <w:numPr>
          <w:ilvl w:val="0"/>
          <w:numId w:val="3"/>
        </w:numPr>
        <w:spacing w:after="60" w:line="276"/>
      </w:pPr>
      <w:r>
        <w:t xml:space="preserve">Normalise any timing feature per-campaign (z-score within campaign) so that absolute rate differences between rigs cannot be exploited as a shortcut.</w:t>
      </w:r>
    </w:p>
    <w:p>
      <w:pPr>
        <w:pStyle w:val="Heading3"/>
        <w:spacing w:after="120" w:before="220"/>
      </w:pPr>
      <w:r>
        <w:t xml:space="preserve">8.2  Detector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rPr>
          <w:tblHeader/>
        </w:trPr>
        <w:tc>
          <w:tcPr>
            <w:tcW w:type="dxa" w:w="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dxa" w:w="2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Model</w:t>
            </w:r>
          </w:p>
        </w:tc>
        <w:tc>
          <w:tcPr>
            <w:tcW w:type="dxa" w:w="59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Why included</w:t>
            </w:r>
          </w:p>
        </w:tc>
      </w:tr>
      <w:tr>
        <w:tc>
          <w:tcPr>
            <w:tcW w:type="dxa" w:w="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M1</w:t>
            </w:r>
          </w:p>
        </w:tc>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LSTM sequence classifier over ID embeddings</w:t>
            </w:r>
          </w:p>
        </w:tc>
        <w:tc>
          <w:tcPr>
            <w:tcW w:type="dxa" w:w="5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family used by GUIDE and GALAXY; the natural comparator</w:t>
            </w:r>
          </w:p>
        </w:tc>
      </w:tr>
      <w:tr>
        <w:tc>
          <w:tcPr>
            <w:tcW w:type="dxa" w:w="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M2</w:t>
            </w:r>
          </w:p>
        </w:tc>
        <w:tc>
          <w:tcPr>
            <w:tcW w:type="dxa" w:w="2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1D-CNN over one-hot ID windows</w:t>
            </w:r>
          </w:p>
        </w:tc>
        <w:tc>
          <w:tcPr>
            <w:tcW w:type="dxa" w:w="5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Cheap, strong, and sensitive to local n-gram patterns rather than long-range order</w:t>
            </w:r>
          </w:p>
        </w:tc>
      </w:tr>
      <w:tr>
        <w:tc>
          <w:tcPr>
            <w:tcW w:type="dxa" w:w="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M3</w:t>
            </w:r>
          </w:p>
        </w:tc>
        <w:tc>
          <w:tcPr>
            <w:tcW w:type="dxa" w:w="2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One-class autoencoder trained on normal windows only</w:t>
            </w:r>
          </w:p>
        </w:tc>
        <w:tc>
          <w:tcPr>
            <w:tcW w:type="dxa" w:w="59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Realistic deployment setting: attack samples are scarce, so an anomaly detector that never sees attacks is the honest baseline</w:t>
            </w:r>
          </w:p>
        </w:tc>
      </w:tr>
      <w:tr>
        <w:tc>
          <w:tcPr>
            <w:tcW w:type="dxa" w:w="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M4</w:t>
            </w:r>
          </w:p>
        </w:tc>
        <w:tc>
          <w:tcPr>
            <w:tcW w:type="dxa" w:w="2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ID n-gram frequency + logistic regression</w:t>
            </w:r>
          </w:p>
        </w:tc>
        <w:tc>
          <w:tcPr>
            <w:tcW w:type="dxa" w:w="59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deliberately simple control. If it transfers as well as the deep models, that is the finding.</w:t>
            </w:r>
          </w:p>
        </w:tc>
      </w:tr>
    </w:tbl>
    <w:p>
      <w:pPr>
        <w:pStyle w:val="Heading3"/>
        <w:spacing w:after="120" w:before="220"/>
      </w:pPr>
      <w:r>
        <w:t xml:space="preserve">8.3  Evaluation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rPr>
          <w:tblHeader/>
        </w:trPr>
        <w:tc>
          <w:tcPr>
            <w:tcW w:type="dxa" w:w="1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Setting</w:t>
            </w:r>
          </w:p>
        </w:tc>
        <w:tc>
          <w:tcPr>
            <w:tcW w:type="dxa" w:w="2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Train</w:t>
            </w:r>
          </w:p>
        </w:tc>
        <w:tc>
          <w:tcPr>
            <w:tcW w:type="dxa" w:w="2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Test</w:t>
            </w:r>
          </w:p>
        </w:tc>
        <w:tc>
          <w:tcPr>
            <w:tcW w:type="dxa" w:w="2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Purpose</w:t>
            </w:r>
          </w:p>
        </w:tc>
      </w:tr>
      <w:tr>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Within-A</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Msg-ID corpus (train split)</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Msg-ID corpus (held-out split)</w:t>
            </w:r>
          </w:p>
        </w:tc>
        <w:tc>
          <w:tcPr>
            <w:tcW w:type="dxa" w:w="2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Reproduce the conventional published setting</w:t>
            </w:r>
          </w:p>
        </w:tc>
      </w:tr>
      <w:tr>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Within-B</w:t>
            </w:r>
          </w:p>
        </w:tc>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(train split)</w:t>
            </w:r>
          </w:p>
        </w:tc>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(held-out split)</w:t>
            </w:r>
          </w:p>
        </w:tc>
        <w:tc>
          <w:tcPr>
            <w:tcW w:type="dxa" w:w="2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Same, for the second corpus</w:t>
            </w:r>
          </w:p>
        </w:tc>
      </w:tr>
      <w:tr>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 A→B</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Msg-ID corpus (all)</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(all)</w:t>
            </w:r>
          </w:p>
        </w:tc>
        <w:tc>
          <w:tcPr>
            <w:tcW w:type="dxa" w:w="2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contribution</w:t>
            </w:r>
          </w:p>
        </w:tc>
      </w:tr>
      <w:tr>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 B→A</w:t>
            </w:r>
          </w:p>
        </w:tc>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(all)</w:t>
            </w:r>
          </w:p>
        </w:tc>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Msg-ID corpus (all)</w:t>
            </w:r>
          </w:p>
        </w:tc>
        <w:tc>
          <w:tcPr>
            <w:tcW w:type="dxa" w:w="2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Tests asymmetry (RQ2)</w:t>
            </w:r>
          </w:p>
        </w:tc>
      </w:tr>
    </w:tbl>
    <w:p>
      <w:pPr>
        <w:spacing w:after="120" w:line="276"/>
      </w:pPr>
      <w:r>
        <w:rPr>
          <w:rFonts w:ascii="Calibri" w:cs="Calibri" w:eastAsia="Calibri" w:hAnsi="Calibri"/>
          <w:sz w:val="20"/>
          <w:szCs w:val="20"/>
        </w:rPr>
        <w:t xml:space="preserve">Report AUC-ROC and PR-AUC for every cell, over at least 5 seeds, as mean ± standard deviation. The headline number is the gap: Within-A minus Cross A→B.</w:t>
      </w:r>
    </w:p>
    <w:p>
      <w:pPr>
        <w:pStyle w:val="Heading3"/>
        <w:spacing w:after="120" w:before="220"/>
      </w:pPr>
      <w:r>
        <w:t xml:space="preserve">8.4  Method diagram (Figure 1)</w:t>
      </w:r>
    </w:p>
    <w:p>
      <w:pPr>
        <w:spacing w:after="120" w:line="276"/>
      </w:pPr>
      <w:r>
        <w:rPr>
          <w:rFonts w:ascii="Calibri" w:cs="Calibri" w:eastAsia="Calibri" w:hAnsi="Calibri"/>
          <w:sz w:val="20"/>
          <w:szCs w:val="20"/>
        </w:rPr>
        <w:t xml:space="preserve">Two parallel pipelines, one per corpus, converging on a shared vocabulary block, then splitting into a 2×2 train/test matrix. Boxes: “Msg-ID corpus (HITL, QGroundControl)” and “SHADOW-GCS (relay MITM, 4 scenarios)” → “Extract message-ID sequence” → “Shared vocabulary + OOV token” → “Window (len 32, stride 16)” → a 2×2 grid labelled Within-A, Within-B, Cross A→B, Cross B→A → “AUC-ROC, PR-AUC, gap”.</w:t>
      </w:r>
    </w:p>
    <w:p>
      <w:pPr>
        <w:pStyle w:val="Heading2"/>
        <w:spacing w:after="140" w:before="280"/>
      </w:pPr>
      <w:r>
        <w:t xml:space="preserve">9.  Experimental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100"/>
        <w:gridCol w:w="2860"/>
      </w:tblGrid>
      <w:tr>
        <w:trPr>
          <w:tblHeader/>
        </w:trPr>
        <w:tc>
          <w:tcPr>
            <w:tcW w:type="dxa" w:w="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t>
            </w:r>
          </w:p>
        </w:tc>
        <w:tc>
          <w:tcPr>
            <w:tcW w:type="dxa" w:w="30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Experiment</w:t>
            </w:r>
          </w:p>
        </w:tc>
        <w:tc>
          <w:tcPr>
            <w:tcW w:type="dxa" w:w="3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Purpose</w:t>
            </w:r>
          </w:p>
        </w:tc>
        <w:tc>
          <w:tcPr>
            <w:tcW w:type="dxa" w:w="28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Output</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Within-campaign reproduction for both corpora</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Establish that our implementation reaches sensible within-campaign performance before claiming anything about transfer</w:t>
            </w:r>
          </w:p>
        </w:tc>
        <w:tc>
          <w:tcPr>
            <w:tcW w:type="dxa" w:w="2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 within-campaign columns</w:t>
            </w:r>
          </w:p>
        </w:tc>
      </w:tr>
      <w:tr>
        <w:tc>
          <w:tcPr>
            <w:tcW w:type="dxa" w:w="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w:t>
            </w:r>
          </w:p>
        </w:tc>
        <w:tc>
          <w:tcPr>
            <w:tcW w:type="dxa" w:w="3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Main comparison: all four detectors × four settings</w:t>
            </w:r>
          </w:p>
        </w:tc>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contribution — the within vs cross gap</w:t>
            </w:r>
          </w:p>
        </w:tc>
        <w:tc>
          <w:tcPr>
            <w:tcW w:type="dxa" w:w="2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 Figure 2</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Ablation: representation choices — raw IDs vs n-grams; with vs without timing features; with vs without the OOV token</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Identifies what drives the gap (RQ3)</w:t>
            </w:r>
          </w:p>
        </w:tc>
        <w:tc>
          <w:tcPr>
            <w:tcW w:type="dxa" w:w="2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III</w:t>
            </w:r>
          </w:p>
        </w:tc>
      </w:tr>
      <w:tr>
        <w:tc>
          <w:tcPr>
            <w:tcW w:type="dxa" w:w="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w:t>
            </w:r>
          </w:p>
        </w:tc>
        <w:tc>
          <w:tcPr>
            <w:tcW w:type="dxa" w:w="3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Sensitivity: window length (16/32/64/128), stride, vocabulary construction (union vs train-only)</w:t>
            </w:r>
          </w:p>
        </w:tc>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Robustness</w:t>
            </w:r>
          </w:p>
        </w:tc>
        <w:tc>
          <w:tcPr>
            <w:tcW w:type="dxa" w:w="2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Figure 3</w:t>
            </w:r>
          </w:p>
        </w:tc>
      </w:tr>
      <w:tr>
        <w:tc>
          <w:tcPr>
            <w:tcW w:type="dxa" w:w="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Error analysis: which message IDs and which attack scenarios dominate cross-campaign errors; OOV rate per direction</w:t>
            </w:r>
          </w:p>
        </w:tc>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Explains the gap rather than merely reporting it — this is what lifts the paper above a table of numbers</w:t>
            </w:r>
          </w:p>
        </w:tc>
        <w:tc>
          <w:tcPr>
            <w:tcW w:type="dxa" w:w="2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Figure 4, Table IV</w:t>
            </w:r>
          </w:p>
        </w:tc>
      </w:tr>
    </w:tbl>
    <w:p>
      <w:pPr>
        <w:pStyle w:val="Heading3"/>
        <w:spacing w:after="120" w:before="220"/>
      </w:pPr>
      <w:r>
        <w:t xml:space="preserve">9.1  Reproducibility</w:t>
      </w:r>
    </w:p>
    <w:p>
      <w:pPr>
        <w:pStyle w:val="ListParagraph"/>
        <w:numPr>
          <w:ilvl w:val="0"/>
          <w:numId w:val="2"/>
        </w:numPr>
        <w:spacing w:after="60" w:line="276"/>
      </w:pPr>
      <w:r>
        <w:t xml:space="preserve">5 seeds minimum for every trained model; report mean ± standard deviation. The n-gram control is deterministic — state that rather than fabricating variance.</w:t>
      </w:r>
    </w:p>
    <w:p>
      <w:pPr>
        <w:pStyle w:val="ListParagraph"/>
        <w:numPr>
          <w:ilvl w:val="0"/>
          <w:numId w:val="2"/>
        </w:numPr>
        <w:spacing w:after="60" w:line="276"/>
      </w:pPr>
      <w:r>
        <w:t xml:space="preserve">Paired bootstrap over test windows for within-vs-cross comparisons; report 95% CIs on the gap.</w:t>
      </w:r>
    </w:p>
    <w:p>
      <w:pPr>
        <w:pStyle w:val="ListParagraph"/>
        <w:numPr>
          <w:ilvl w:val="0"/>
          <w:numId w:val="2"/>
        </w:numPr>
        <w:spacing w:after="60" w:line="276"/>
      </w:pPr>
      <w:r>
        <w:t xml:space="preserve">Fix seeds in the config file; log every run to results/runs.csv with the full config hash.</w:t>
      </w:r>
    </w:p>
    <w:p>
      <w:pPr>
        <w:pStyle w:val="Heading2"/>
        <w:spacing w:after="140" w:before="280"/>
      </w:pPr>
      <w:r>
        <w:t xml:space="preserve">10.  Step-by-Step Build Roadmap</w:t>
      </w:r>
    </w:p>
    <w:p>
      <w:pPr>
        <w:pStyle w:val="Heading3"/>
        <w:spacing w:after="120" w:before="220"/>
      </w:pPr>
      <w:r>
        <w:t xml:space="preserve">Stage A — Environment</w:t>
      </w:r>
    </w:p>
    <w:p>
      <w:pPr>
        <w:pStyle w:val="Heading3"/>
        <w:spacing w:after="120" w:before="220"/>
      </w:pPr>
      <w:r>
        <w:t xml:space="preserve">Step A1 — Environment</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working environment, isolated from the `iccfi` env and from Project 1.</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conda create -n mavx python=3.11 -y &amp;&amp; conda activate mavx</w:t>
      </w:r>
    </w:p>
    <w:p>
      <w:pPr>
        <w:shd w:fill="F2F2F2" w:val="clear"/>
        <w:spacing w:after="0" w:line="240"/>
        <w:ind w:left="180"/>
      </w:pPr>
      <w:r>
        <w:rPr>
          <w:rFonts w:ascii="Consolas" w:cs="Consolas" w:eastAsia="Consolas" w:hAnsi="Consolas"/>
          <w:sz w:val="17"/>
          <w:szCs w:val="17"/>
        </w:rPr>
        <w:t xml:space="preserve">pip install numpy pandas scikit-learn matplotlib tqdm pyarrow pytest</w:t>
      </w:r>
    </w:p>
    <w:p>
      <w:pPr>
        <w:shd w:fill="F2F2F2" w:val="clear"/>
        <w:spacing w:after="0" w:line="240"/>
        <w:ind w:left="180"/>
      </w:pPr>
      <w:r>
        <w:rPr>
          <w:rFonts w:ascii="Consolas" w:cs="Consolas" w:eastAsia="Consolas" w:hAnsi="Consolas"/>
          <w:sz w:val="17"/>
          <w:szCs w:val="17"/>
        </w:rPr>
        <w:t xml:space="preserve">pip install torch --index-url https://download.pytorch.org/whl/cu124   # or cpu build</w:t>
      </w:r>
    </w:p>
    <w:p>
      <w:pPr>
        <w:shd w:fill="F2F2F2" w:val="clear"/>
        <w:spacing w:after="0" w:line="240"/>
        <w:ind w:left="180"/>
      </w:pPr>
      <w:r>
        <w:rPr>
          <w:rFonts w:ascii="Consolas" w:cs="Consolas" w:eastAsia="Consolas" w:hAnsi="Consolas"/>
          <w:sz w:val="17"/>
          <w:szCs w:val="17"/>
        </w:rPr>
        <w:t xml:space="preserve">pip install scapy pyshark      # only needed if you must parse PCAP</w:t>
      </w:r>
    </w:p>
    <w:p>
      <w:pPr>
        <w:shd w:fill="F2F2F2" w:val="clear"/>
        <w:spacing w:after="140" w:line="240"/>
        <w:ind w:left="180"/>
      </w:pPr>
      <w:r>
        <w:rPr>
          <w:rFonts w:ascii="Consolas" w:cs="Consolas" w:eastAsia="Consolas" w:hAnsi="Consolas"/>
          <w:sz w:val="17"/>
          <w:szCs w:val="17"/>
        </w:rPr>
        <w:t xml:space="preserve">python -c "import torch; print(torch.__version__, torch.cuda.is_available())"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torch imports and reports CUDA availability (True is nice, False is acceptable — the models are small).</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CUDA wheels conflict with the node’s driver (595.91.07, CUDA 13.2), fall back to the CPU build. These models do not need the GPU.</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20 minutes.</w:t>
      </w:r>
    </w:p>
    <w:p>
      <w:pPr>
        <w:pStyle w:val="Heading3"/>
        <w:spacing w:after="120" w:before="220"/>
      </w:pPr>
      <w:r>
        <w:t xml:space="preserve">Stage B — Project structure</w:t>
      </w:r>
    </w:p>
    <w:p>
      <w:pPr>
        <w:pStyle w:val="Heading3"/>
        <w:spacing w:after="120" w:before="220"/>
      </w:pPr>
      <w:r>
        <w:t xml:space="preserve">Step B1 — Folder tree</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A clean layout mirroring Project 1 so both are navigable.</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mavlink-cross-campaign/</w:t>
      </w:r>
    </w:p>
    <w:p>
      <w:pPr>
        <w:shd w:fill="F2F2F2" w:val="clear"/>
        <w:spacing w:after="0" w:line="240"/>
        <w:ind w:left="180"/>
      </w:pPr>
      <w:r>
        <w:rPr>
          <w:rFonts w:ascii="Consolas" w:cs="Consolas" w:eastAsia="Consolas" w:hAnsi="Consolas"/>
          <w:sz w:val="17"/>
          <w:szCs w:val="17"/>
        </w:rPr>
        <w:t xml:space="preserve">├── configs/{data.yaml,experiment.yaml}</w:t>
      </w:r>
    </w:p>
    <w:p>
      <w:pPr>
        <w:shd w:fill="F2F2F2" w:val="clear"/>
        <w:spacing w:after="0" w:line="240"/>
        <w:ind w:left="180"/>
      </w:pPr>
      <w:r>
        <w:rPr>
          <w:rFonts w:ascii="Consolas" w:cs="Consolas" w:eastAsia="Consolas" w:hAnsi="Consolas"/>
          <w:sz w:val="17"/>
          <w:szCs w:val="17"/>
        </w:rPr>
        <w:t xml:space="preserve">├── data/{raw,interim}/</w:t>
      </w:r>
    </w:p>
    <w:p>
      <w:pPr>
        <w:shd w:fill="F2F2F2" w:val="clear"/>
        <w:spacing w:after="0" w:line="240"/>
        <w:ind w:left="180"/>
      </w:pPr>
      <w:r>
        <w:rPr>
          <w:rFonts w:ascii="Consolas" w:cs="Consolas" w:eastAsia="Consolas" w:hAnsi="Consolas"/>
          <w:sz w:val="17"/>
          <w:szCs w:val="17"/>
        </w:rPr>
        <w:t xml:space="preserve">├── src/{io_mavlink.py,tokenize.py,models.py,evaluate.py,cli.py}</w:t>
      </w:r>
    </w:p>
    <w:p>
      <w:pPr>
        <w:shd w:fill="F2F2F2" w:val="clear"/>
        <w:spacing w:after="0" w:line="240"/>
        <w:ind w:left="180"/>
      </w:pPr>
      <w:r>
        <w:rPr>
          <w:rFonts w:ascii="Consolas" w:cs="Consolas" w:eastAsia="Consolas" w:hAnsi="Consolas"/>
          <w:sz w:val="17"/>
          <w:szCs w:val="17"/>
        </w:rPr>
        <w:t xml:space="preserve">├── experiments/{run_matrix.py,run_ablation.py,run_sensitivity.py,run_errors.py}</w:t>
      </w:r>
    </w:p>
    <w:p>
      <w:pPr>
        <w:shd w:fill="F2F2F2" w:val="clear"/>
        <w:spacing w:after="0" w:line="240"/>
        <w:ind w:left="180"/>
      </w:pPr>
      <w:r>
        <w:rPr>
          <w:rFonts w:ascii="Consolas" w:cs="Consolas" w:eastAsia="Consolas" w:hAnsi="Consolas"/>
          <w:sz w:val="17"/>
          <w:szCs w:val="17"/>
        </w:rPr>
        <w:t xml:space="preserve">├── results/  figures/  tests/  paper/</w:t>
      </w:r>
    </w:p>
    <w:p>
      <w:pPr>
        <w:shd w:fill="F2F2F2" w:val="clear"/>
        <w:spacing w:after="140" w:line="240"/>
        <w:ind w:left="180"/>
      </w:pPr>
      <w:r>
        <w:rPr>
          <w:rFonts w:ascii="Consolas" w:cs="Consolas" w:eastAsia="Consolas" w:hAnsi="Consolas"/>
          <w:sz w:val="17"/>
          <w:szCs w:val="17"/>
        </w:rPr>
        <w:t xml:space="preserve">└── README.md  requirements.txt</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`tree -L 2` shows the structure.</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Git-ignore data/ and results/.</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15 minutes.</w:t>
      </w:r>
    </w:p>
    <w:p>
      <w:pPr>
        <w:pStyle w:val="Heading3"/>
        <w:spacing w:after="120" w:before="220"/>
      </w:pPr>
      <w:r>
        <w:t xml:space="preserve">Stage C — Data, and the go/no-go</w:t>
      </w:r>
    </w:p>
    <w:p>
      <w:pPr>
        <w:pStyle w:val="Heading3"/>
        <w:spacing w:after="120" w:before="220"/>
      </w:pPr>
      <w:r>
        <w:t xml:space="preserve">Step C1 — Download both corpora</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Local copies of both HCRL datasets.</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Msg-ID Sequence: from https://ocslab.hksecurity.net/Datasets/mavlink-message-id-sequence-dataset — the page links GitHub, IEEE DataPort (DOI 10.21227/mhpm-g592) and a Google Drive for raw PCAP.</w:t>
      </w:r>
    </w:p>
    <w:p>
      <w:pPr>
        <w:pStyle w:val="ListParagraph"/>
        <w:numPr>
          <w:ilvl w:val="0"/>
          <w:numId w:val="2"/>
        </w:numPr>
        <w:spacing w:after="60" w:line="276"/>
      </w:pPr>
      <w:r>
        <w:t xml:space="preserve">SHADOW-GCS: from https://ocslab.hksecurity.net/Datasets/shadow-gcs-attack-dataset — the page provides a Dropbox folder link.</w:t>
      </w:r>
    </w:p>
    <w:p>
      <w:pPr>
        <w:pStyle w:val="ListParagraph"/>
        <w:numPr>
          <w:ilvl w:val="0"/>
          <w:numId w:val="2"/>
        </w:numPr>
        <w:spacing w:after="60" w:line="276"/>
      </w:pPr>
      <w:r>
        <w:t xml:space="preserve">Email cenda@korea.ac.kr the same day to confirm licence/permitted use and preferred citation.</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Both datasets are on disk and you can list their files.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Dropbox folder links sometimes require downloading as a zip — check the archive is complete before extracting.</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1–2 hours.</w:t>
      </w:r>
    </w:p>
    <w:p>
      <w:pPr>
        <w:pStyle w:val="Heading3"/>
        <w:spacing w:after="120" w:before="220"/>
      </w:pPr>
      <w:r>
        <w:t xml:space="preserve">Step C2 — GO/NO-GO: representation compatibility</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Determine whether the two corpora can be placed in a shared message-ID vocabulary at all. THIS DECIDES THE PROJECT.</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 &lt;&lt;'PY'</w:t>
      </w:r>
    </w:p>
    <w:p>
      <w:pPr>
        <w:shd w:fill="F2F2F2" w:val="clear"/>
        <w:spacing w:after="0" w:line="240"/>
        <w:ind w:left="180"/>
      </w:pPr>
      <w:r>
        <w:rPr>
          <w:rFonts w:ascii="Consolas" w:cs="Consolas" w:eastAsia="Consolas" w:hAnsi="Consolas"/>
          <w:sz w:val="17"/>
          <w:szCs w:val="17"/>
        </w:rPr>
        <w:t xml:space="preserve">import numpy as np, pathlib</w:t>
      </w:r>
    </w:p>
    <w:p>
      <w:pPr>
        <w:shd w:fill="F2F2F2" w:val="clear"/>
        <w:spacing w:after="0" w:line="240"/>
        <w:ind w:left="180"/>
      </w:pPr>
      <w:r>
        <w:rPr>
          <w:rFonts w:ascii="Consolas" w:cs="Consolas" w:eastAsia="Consolas" w:hAnsi="Consolas"/>
          <w:sz w:val="17"/>
          <w:szCs w:val="17"/>
        </w:rPr>
        <w:t xml:space="preserve"># Load whatever each corpus actually ships and print its shape and value range.</w:t>
      </w:r>
    </w:p>
    <w:p>
      <w:pPr>
        <w:shd w:fill="F2F2F2" w:val="clear"/>
        <w:spacing w:after="0" w:line="240"/>
        <w:ind w:left="180"/>
      </w:pPr>
      <w:r>
        <w:rPr>
          <w:rFonts w:ascii="Consolas" w:cs="Consolas" w:eastAsia="Consolas" w:hAnsi="Consolas"/>
          <w:sz w:val="17"/>
          <w:szCs w:val="17"/>
        </w:rPr>
        <w:t xml:space="preserve">for name, root in [("msgid","data/raw/msgid"), ("shadow","data/raw/shadow")]:</w:t>
      </w:r>
    </w:p>
    <w:p>
      <w:pPr>
        <w:shd w:fill="F2F2F2" w:val="clear"/>
        <w:spacing w:after="0" w:line="240"/>
        <w:ind w:left="180"/>
      </w:pPr>
      <w:r>
        <w:rPr>
          <w:rFonts w:ascii="Consolas" w:cs="Consolas" w:eastAsia="Consolas" w:hAnsi="Consolas"/>
          <w:sz w:val="17"/>
          <w:szCs w:val="17"/>
        </w:rPr>
        <w:t xml:space="preserve">    for p in sorted(pathlib.Path(root).rglob("*")):</w:t>
      </w:r>
    </w:p>
    <w:p>
      <w:pPr>
        <w:shd w:fill="F2F2F2" w:val="clear"/>
        <w:spacing w:after="0" w:line="240"/>
        <w:ind w:left="180"/>
      </w:pPr>
      <w:r>
        <w:rPr>
          <w:rFonts w:ascii="Consolas" w:cs="Consolas" w:eastAsia="Consolas" w:hAnsi="Consolas"/>
          <w:sz w:val="17"/>
          <w:szCs w:val="17"/>
        </w:rPr>
        <w:t xml:space="preserve">        if p.suffix in {".npy", ".npz"}:</w:t>
      </w:r>
    </w:p>
    <w:p>
      <w:pPr>
        <w:shd w:fill="F2F2F2" w:val="clear"/>
        <w:spacing w:after="0" w:line="240"/>
        <w:ind w:left="180"/>
      </w:pPr>
      <w:r>
        <w:rPr>
          <w:rFonts w:ascii="Consolas" w:cs="Consolas" w:eastAsia="Consolas" w:hAnsi="Consolas"/>
          <w:sz w:val="17"/>
          <w:szCs w:val="17"/>
        </w:rPr>
        <w:t xml:space="preserve">            a = np.load(p, allow_pickle=True)</w:t>
      </w:r>
    </w:p>
    <w:p>
      <w:pPr>
        <w:shd w:fill="F2F2F2" w:val="clear"/>
        <w:spacing w:after="0" w:line="240"/>
        <w:ind w:left="180"/>
      </w:pPr>
      <w:r>
        <w:rPr>
          <w:rFonts w:ascii="Consolas" w:cs="Consolas" w:eastAsia="Consolas" w:hAnsi="Consolas"/>
          <w:sz w:val="17"/>
          <w:szCs w:val="17"/>
        </w:rPr>
        <w:t xml:space="preserve">            arr = a if isinstance(a, np.ndarray) else a[list(a.keys())[0]]</w:t>
      </w:r>
    </w:p>
    <w:p>
      <w:pPr>
        <w:shd w:fill="F2F2F2" w:val="clear"/>
        <w:spacing w:after="0" w:line="240"/>
        <w:ind w:left="180"/>
      </w:pPr>
      <w:r>
        <w:rPr>
          <w:rFonts w:ascii="Consolas" w:cs="Consolas" w:eastAsia="Consolas" w:hAnsi="Consolas"/>
          <w:sz w:val="17"/>
          <w:szCs w:val="17"/>
        </w:rPr>
        <w:t xml:space="preserve">            print(name, p.name, getattr(arr, "shape", None), getattr(arr, "dtype", None),</w:t>
      </w:r>
    </w:p>
    <w:p>
      <w:pPr>
        <w:shd w:fill="F2F2F2" w:val="clear"/>
        <w:spacing w:after="0" w:line="240"/>
        <w:ind w:left="180"/>
      </w:pPr>
      <w:r>
        <w:rPr>
          <w:rFonts w:ascii="Consolas" w:cs="Consolas" w:eastAsia="Consolas" w:hAnsi="Consolas"/>
          <w:sz w:val="17"/>
          <w:szCs w:val="17"/>
        </w:rPr>
        <w:t xml:space="preserve">                  "min/max:", arr.min() if arr.dtype.kind in "iuf" else "n/a",</w:t>
      </w:r>
    </w:p>
    <w:p>
      <w:pPr>
        <w:shd w:fill="F2F2F2" w:val="clear"/>
        <w:spacing w:after="0" w:line="240"/>
        <w:ind w:left="180"/>
      </w:pPr>
      <w:r>
        <w:rPr>
          <w:rFonts w:ascii="Consolas" w:cs="Consolas" w:eastAsia="Consolas" w:hAnsi="Consolas"/>
          <w:sz w:val="17"/>
          <w:szCs w:val="17"/>
        </w:rPr>
        <w:t xml:space="preserve">                  arr.max() if arr.dtype.kind in "iuf" else "n/a")</w:t>
      </w:r>
    </w:p>
    <w:p>
      <w:pPr>
        <w:shd w:fill="F2F2F2" w:val="clear"/>
        <w:spacing w:after="0" w:line="240"/>
        <w:ind w:left="180"/>
      </w:pPr>
      <w:r>
        <w:rPr>
          <w:rFonts w:ascii="Consolas" w:cs="Consolas" w:eastAsia="Consolas" w:hAnsi="Consolas"/>
          <w:sz w:val="17"/>
          <w:szCs w:val="17"/>
        </w:rPr>
        <w:t xml:space="preserve">        elif p.suffix in {".csv"}:</w:t>
      </w:r>
    </w:p>
    <w:p>
      <w:pPr>
        <w:shd w:fill="F2F2F2" w:val="clear"/>
        <w:spacing w:after="0" w:line="240"/>
        <w:ind w:left="180"/>
      </w:pPr>
      <w:r>
        <w:rPr>
          <w:rFonts w:ascii="Consolas" w:cs="Consolas" w:eastAsia="Consolas" w:hAnsi="Consolas"/>
          <w:sz w:val="17"/>
          <w:szCs w:val="17"/>
        </w:rPr>
        <w:t xml:space="preserve">            print(name, p.name, open(p).readline()[:200])</w:t>
      </w:r>
    </w:p>
    <w:p>
      <w:pPr>
        <w:shd w:fill="F2F2F2" w:val="clear"/>
        <w:spacing w:after="140" w:line="240"/>
        <w:ind w:left="180"/>
      </w:pPr>
      <w:r>
        <w:rPr>
          <w:rFonts w:ascii="Consolas" w:cs="Consolas" w:eastAsia="Consolas" w:hAnsi="Consolas"/>
          <w:sz w:val="17"/>
          <w:szCs w:val="17"/>
        </w:rPr>
        <w:t xml:space="preserve">PY</w:t>
      </w:r>
    </w:p>
    <w:p>
      <w:pPr>
        <w:spacing w:after="120" w:line="276"/>
      </w:pPr>
      <w:r>
        <w:rPr>
          <w:rFonts w:ascii="Calibri" w:cs="Calibri" w:eastAsia="Calibri" w:hAnsi="Calibri"/>
          <w:sz w:val="20"/>
          <w:szCs w:val="20"/>
        </w:rPr>
        <w:t xml:space="preserve">Then answer these three questions explicitly, in writing, before proceeding:</w:t>
      </w:r>
    </w:p>
    <w:p>
      <w:pPr>
        <w:pStyle w:val="ListParagraph"/>
        <w:numPr>
          <w:ilvl w:val="0"/>
          <w:numId w:val="3"/>
        </w:numPr>
        <w:spacing w:after="60" w:line="276"/>
      </w:pPr>
      <w:r>
        <w:t xml:space="preserve">Does SHADOW-GCS expose MAVLink message IDs at all (as arrays, CSV columns, or recoverable from PCAP)?</w:t>
      </w:r>
    </w:p>
    <w:p>
      <w:pPr>
        <w:pStyle w:val="ListParagraph"/>
        <w:numPr>
          <w:ilvl w:val="0"/>
          <w:numId w:val="3"/>
        </w:numPr>
        <w:spacing w:after="60" w:line="276"/>
      </w:pPr>
      <w:r>
        <w:t xml:space="preserve">Do the observed ID value ranges overlap between corpora in a way consistent with the MAVLink standard ID space (e.g. 0 = HEARTBEAT, 30 = ATTITUDE, 33 = GLOBAL_POSITION_INT)?</w:t>
      </w:r>
    </w:p>
    <w:p>
      <w:pPr>
        <w:pStyle w:val="ListParagraph"/>
        <w:numPr>
          <w:ilvl w:val="0"/>
          <w:numId w:val="3"/>
        </w:numPr>
        <w:spacing w:after="60" w:line="276"/>
      </w:pPr>
      <w:r>
        <w:t xml:space="preserve">Can attack periods be localised in SHADOW-GCS, or is the labelling per-file only?</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DECISION RULE  </w:t>
      </w:r>
      <w:r>
        <w:rPr>
          <w:rFonts w:ascii="Calibri" w:cs="Calibri" w:eastAsia="Calibri" w:hAnsi="Calibri"/>
          <w:sz w:val="20"/>
          <w:szCs w:val="20"/>
        </w:rPr>
        <w:t xml:space="preserve">If message IDs are recoverable from BOTH corpora and attack periods are localisable: GO. Proceed to C3. If SHADOW-GCS turns out to ship only derived features with no recoverable message IDs, or only file-level labels with no usable split: NO-GO. Stop immediately and switch to the fallback in §14. Do not spend a second day trying to force compatibility — you do not have the time.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A written answer to all three questions and an explicit GO or NO-GO decision recorded in the README.</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both corpora ship only PCAP, parsing MAVLink from PCAP with scapy requires the MAVLink dialect — budget an extra half day, and consider pymavlink’s parser instead.</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Half a day. HARD DEADLINE: decide by end of Day 1 of this project.</w:t>
      </w:r>
    </w:p>
    <w:p>
      <w:pPr>
        <w:pStyle w:val="Heading3"/>
        <w:spacing w:after="120" w:before="220"/>
      </w:pPr>
      <w:r>
        <w:t xml:space="preserve">Step C3 — Shared tokenisation</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Both corpora as windowed integer sequences in one vocabulary.</w:t>
      </w:r>
    </w:p>
    <w:p>
      <w:pPr>
        <w:spacing w:after="120" w:line="276"/>
      </w:pPr>
      <w:r>
        <w:rPr>
          <w:rFonts w:ascii="Calibri" w:cs="Calibri" w:eastAsia="Calibri" w:hAnsi="Calibri"/>
          <w:b/>
          <w:bCs/>
          <w:sz w:val="20"/>
          <w:szCs w:val="20"/>
        </w:rPr>
        <w:t xml:space="preserve">Actions:</w:t>
      </w:r>
    </w:p>
    <w:p>
      <w:pPr>
        <w:spacing w:after="120" w:line="276"/>
      </w:pPr>
      <w:r>
        <w:rPr>
          <w:rFonts w:ascii="Calibri" w:cs="Calibri" w:eastAsia="Calibri" w:hAnsi="Calibri"/>
          <w:sz w:val="20"/>
          <w:szCs w:val="20"/>
        </w:rPr>
        <w:t xml:space="preserve">Implement src/tokenize.py per §8.1. Write tests asserting: the OOV token is index 0; the vocabulary is built from the UNION of both corpora but a train-only variant is also available; window shapes are correct; and no window spans a file boundary.</w:t>
      </w:r>
    </w:p>
    <w:p>
      <w:pPr>
        <w:pStyle w:val="ListParagraph"/>
        <w:numPr>
          <w:ilvl w:val="0"/>
          <w:numId w:val="2"/>
        </w:numPr>
        <w:spacing w:after="60" w:line="276"/>
      </w:pPr>
      <w:r>
        <w:t xml:space="preserve">Record and report the OOV rate for each transfer direction. This number is itself a result — it quantifies how different the campaigns are.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Both corpora load as integer arrays of shape (n_windows, 32) with aligned vocabulary, and tests pass.</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Leaking the test corpus into the vocabulary is subtle: report BOTH union-vocabulary and train-only-vocabulary results, since the train-only setting is the deployment-realistic one.</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 day.</w:t>
      </w:r>
    </w:p>
    <w:p>
      <w:pPr>
        <w:pStyle w:val="Heading3"/>
        <w:spacing w:after="120" w:before="220"/>
      </w:pPr>
      <w:r>
        <w:t xml:space="preserve">Stage D–G — Models and experiments</w:t>
      </w:r>
    </w:p>
    <w:p>
      <w:pPr>
        <w:pStyle w:val="Heading3"/>
        <w:spacing w:after="120" w:before="220"/>
      </w:pPr>
      <w:r>
        <w:t xml:space="preserve">Step D1 — Implement and validate within-campaign</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Reach sensible within-campaign performance first.</w:t>
      </w:r>
    </w:p>
    <w:p>
      <w:pPr>
        <w:spacing w:after="120" w:line="276"/>
      </w:pPr>
      <w:r>
        <w:rPr>
          <w:rFonts w:ascii="Calibri" w:cs="Calibri" w:eastAsia="Calibri" w:hAnsi="Calibri"/>
          <w:b/>
          <w:bCs/>
          <w:sz w:val="20"/>
          <w:szCs w:val="20"/>
        </w:rPr>
        <w:t xml:space="preserve">Actions:</w:t>
      </w:r>
    </w:p>
    <w:p>
      <w:pPr>
        <w:pStyle w:val="ListParagraph"/>
        <w:numPr>
          <w:ilvl w:val="0"/>
          <w:numId w:val="2"/>
        </w:numPr>
        <w:spacing w:after="60" w:line="276"/>
      </w:pPr>
      <w:r>
        <w:t xml:space="preserve">Implement M1–M4 in src/models.py. Keep them small: embedding dim 32, hidden 64, 2 layers. These corpora are not large.</w:t>
      </w:r>
    </w:p>
    <w:p>
      <w:pPr>
        <w:pStyle w:val="ListParagraph"/>
        <w:numPr>
          <w:ilvl w:val="0"/>
          <w:numId w:val="2"/>
        </w:numPr>
        <w:spacing w:after="60" w:line="276"/>
      </w:pPr>
      <w:r>
        <w:t xml:space="preserve">Run Within-A and Within-B. Compare to the ranges reported by GUIDE and GALAXY.</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Within-campaign AUC is high and in the same region as published results. If it is near chance, the tokenisation or labelling is wrong — fix before proceeding.</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Severe class imbalance is likely; use PR-AUC alongside AUC-ROC and consider class weighting.</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 day.</w:t>
      </w:r>
    </w:p>
    <w:p>
      <w:pPr>
        <w:pStyle w:val="Heading3"/>
        <w:spacing w:after="120" w:before="220"/>
      </w:pPr>
      <w:r>
        <w:t xml:space="preserve">Step E1 — Run the transfer matrix</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The contribution: experiment (b).</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experiments/run_matrix.py --seeds 5 --out results/matrix.csv</w:t>
      </w:r>
    </w:p>
    <w:p>
      <w:pPr>
        <w:shd w:fill="F2F2F2" w:val="clear"/>
        <w:spacing w:after="140" w:line="240"/>
        <w:ind w:left="180"/>
      </w:pPr>
      <w:r>
        <w:rPr>
          <w:rFonts w:ascii="Consolas" w:cs="Consolas" w:eastAsia="Consolas" w:hAnsi="Consolas"/>
          <w:sz w:val="17"/>
          <w:szCs w:val="17"/>
        </w:rPr>
        <w:t xml:space="preserve"># columns: setting, model, seed, auc_roc, pr_auc, oov_rate</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A complete 4 settings × 4 models × 5 seeds table with the within-vs-cross gap computed.</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If cross-campaign AUC is near 0.5, check the OOV rate — if most test tokens are OOV, the result is about vocabulary mismatch rather than model generalisation, and you must say so.</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Half a day compute, 1 day with analysis.</w:t>
      </w:r>
    </w:p>
    <w:p>
      <w:pPr>
        <w:pStyle w:val="Heading3"/>
        <w:spacing w:after="120" w:before="220"/>
      </w:pPr>
      <w:r>
        <w:t xml:space="preserve">Step F1 — Ablation, sensitivity, error analysis</w:t>
      </w:r>
    </w:p>
    <w:p>
      <w:pPr>
        <w:spacing w:after="120" w:line="276"/>
      </w:pPr>
      <w:r>
        <w:rPr>
          <w:rFonts w:ascii="Calibri" w:cs="Calibri" w:eastAsia="Calibri" w:hAnsi="Calibri"/>
          <w:b/>
          <w:bCs/>
          <w:sz w:val="20"/>
          <w:szCs w:val="20"/>
        </w:rPr>
        <w:t xml:space="preserve">Goal: </w:t>
      </w:r>
      <w:r>
        <w:rPr>
          <w:rFonts w:ascii="Calibri" w:cs="Calibri" w:eastAsia="Calibri" w:hAnsi="Calibri"/>
          <w:sz w:val="20"/>
          <w:szCs w:val="20"/>
        </w:rPr>
        <w:t xml:space="preserve">Experiments (c), (d), (e).</w:t>
      </w:r>
    </w:p>
    <w:p>
      <w:pPr>
        <w:spacing w:after="120" w:line="276"/>
      </w:pPr>
      <w:r>
        <w:rPr>
          <w:rFonts w:ascii="Calibri" w:cs="Calibri" w:eastAsia="Calibri" w:hAnsi="Calibri"/>
          <w:b/>
          <w:bCs/>
          <w:sz w:val="20"/>
          <w:szCs w:val="20"/>
        </w:rPr>
        <w:t xml:space="preserve">Actions:</w:t>
      </w:r>
    </w:p>
    <w:p>
      <w:pPr>
        <w:shd w:fill="F2F2F2" w:val="clear"/>
        <w:spacing w:after="0" w:line="240"/>
        <w:ind w:left="180"/>
      </w:pPr>
      <w:r>
        <w:rPr>
          <w:rFonts w:ascii="Consolas" w:cs="Consolas" w:eastAsia="Consolas" w:hAnsi="Consolas"/>
          <w:sz w:val="17"/>
          <w:szCs w:val="17"/>
        </w:rPr>
        <w:t xml:space="preserve">python experiments/run_ablation.py    --out results/ablation.csv</w:t>
      </w:r>
    </w:p>
    <w:p>
      <w:pPr>
        <w:shd w:fill="F2F2F2" w:val="clear"/>
        <w:spacing w:after="0" w:line="240"/>
        <w:ind w:left="180"/>
      </w:pPr>
      <w:r>
        <w:rPr>
          <w:rFonts w:ascii="Consolas" w:cs="Consolas" w:eastAsia="Consolas" w:hAnsi="Consolas"/>
          <w:sz w:val="17"/>
          <w:szCs w:val="17"/>
        </w:rPr>
        <w:t xml:space="preserve">python experiments/run_sensitivity.py --out results/sensitivity.csv</w:t>
      </w:r>
    </w:p>
    <w:p>
      <w:pPr>
        <w:shd w:fill="F2F2F2" w:val="clear"/>
        <w:spacing w:after="140" w:line="240"/>
        <w:ind w:left="180"/>
      </w:pPr>
      <w:r>
        <w:rPr>
          <w:rFonts w:ascii="Consolas" w:cs="Consolas" w:eastAsia="Consolas" w:hAnsi="Consolas"/>
          <w:sz w:val="17"/>
          <w:szCs w:val="17"/>
        </w:rPr>
        <w:t xml:space="preserve">python experiments/run_errors.py      --out results/errors.csv</w:t>
      </w:r>
    </w:p>
    <w:p>
      <w:pPr>
        <w:spacing w:after="120" w:line="276"/>
      </w:pPr>
      <w:r>
        <w:rPr>
          <w:rFonts w:ascii="Calibri" w:cs="Calibri" w:eastAsia="Calibri" w:hAnsi="Calibri"/>
          <w:b/>
          <w:bCs/>
          <w:sz w:val="20"/>
          <w:szCs w:val="20"/>
        </w:rPr>
        <w:t xml:space="preserve">Success looks like: </w:t>
      </w:r>
      <w:r>
        <w:rPr>
          <w:rFonts w:ascii="Calibri" w:cs="Calibri" w:eastAsia="Calibri" w:hAnsi="Calibri"/>
          <w:sz w:val="20"/>
          <w:szCs w:val="20"/>
        </w:rPr>
        <w:t xml:space="preserve">Three result CSVs and the figures in §11.</w:t>
      </w:r>
    </w:p>
    <w:p>
      <w:pPr>
        <w:spacing w:after="120" w:line="276"/>
      </w:pPr>
      <w:r>
        <w:rPr>
          <w:rFonts w:ascii="Calibri" w:cs="Calibri" w:eastAsia="Calibri" w:hAnsi="Calibri"/>
          <w:b/>
          <w:bCs/>
          <w:sz w:val="20"/>
          <w:szCs w:val="20"/>
        </w:rPr>
        <w:t xml:space="preserve">Common problems: </w:t>
      </w:r>
      <w:r>
        <w:rPr>
          <w:rFonts w:ascii="Calibri" w:cs="Calibri" w:eastAsia="Calibri" w:hAnsi="Calibri"/>
          <w:sz w:val="20"/>
          <w:szCs w:val="20"/>
        </w:rPr>
        <w:t xml:space="preserve">The error analysis is what distinguishes this from a bare table of numbers — do not cut it.</w:t>
      </w:r>
    </w:p>
    <w:p>
      <w:pPr>
        <w:spacing w:after="120" w:line="276"/>
      </w:pPr>
      <w:r>
        <w:rPr>
          <w:rFonts w:ascii="Calibri" w:cs="Calibri" w:eastAsia="Calibri" w:hAnsi="Calibri"/>
          <w:b/>
          <w:bCs/>
          <w:sz w:val="20"/>
          <w:szCs w:val="20"/>
        </w:rPr>
        <w:t xml:space="preserve">Estimated time: </w:t>
      </w:r>
      <w:r>
        <w:rPr>
          <w:rFonts w:ascii="Calibri" w:cs="Calibri" w:eastAsia="Calibri" w:hAnsi="Calibri"/>
          <w:sz w:val="20"/>
          <w:szCs w:val="20"/>
        </w:rPr>
        <w:t xml:space="preserve">1 day.</w:t>
      </w:r>
    </w:p>
    <w:p>
      <w:pPr>
        <w:pStyle w:val="Heading3"/>
        <w:spacing w:after="120" w:before="220"/>
      </w:pPr>
      <w:r>
        <w:t xml:space="preserve">Stage H–K — Tables, figures, writing, submission</w:t>
      </w:r>
    </w:p>
    <w:p>
      <w:pPr>
        <w:spacing w:after="120" w:line="276"/>
      </w:pPr>
      <w:r>
        <w:rPr>
          <w:rFonts w:ascii="Calibri" w:cs="Calibri" w:eastAsia="Calibri" w:hAnsi="Calibri"/>
          <w:sz w:val="20"/>
          <w:szCs w:val="20"/>
        </w:rPr>
        <w:t xml:space="preserve">Follow the identical procedure as Project 1, Stages H–K (§10 of Part I): generate tables from CSV with no manual copying, produce vector figures at IEEE column width, write Results first, re-run the novelty search before submission, and submit via EDAS selecting SS-02 as the Track.</w:t>
      </w:r>
    </w:p>
    <w:p>
      <w:pPr>
        <w:pBdr>
          <w:left w:val="single" w:color="C00000" w:sz="18"/>
        </w:pBdr>
        <w:shd w:fill="FDE7E9" w:val="clear"/>
        <w:spacing w:after="160" w:before="120" w:line="276"/>
        <w:ind w:left="140" w:right="140"/>
      </w:pPr>
      <w:r>
        <w:rPr>
          <w:rFonts w:ascii="Calibri" w:cs="Calibri" w:eastAsia="Calibri" w:hAnsi="Calibri"/>
          <w:b/>
          <w:bCs/>
          <w:sz w:val="20"/>
          <w:szCs w:val="20"/>
        </w:rPr>
        <w:t xml:space="preserve">NOVELTY RE-CHECK IS MANDATORY FOR THIS PROJECT  </w:t>
      </w:r>
      <w:r>
        <w:rPr>
          <w:rFonts w:ascii="Calibri" w:cs="Calibri" w:eastAsia="Calibri" w:hAnsi="Calibri"/>
          <w:sz w:val="20"/>
          <w:szCs w:val="20"/>
        </w:rPr>
        <w:t xml:space="preserve">Because Project 2’s Phase 3B sweep is incomplete (§5B.3), re-run the full novelty search BEFORE you start Stage D, not merely before submission. Finding a pre-empting paper on Day 2 costs you two days; finding it on Day 11 costs you the paper.</w:t>
      </w:r>
    </w:p>
    <w:p>
      <w:pPr>
        <w:pStyle w:val="Heading2"/>
        <w:spacing w:after="140" w:before="280"/>
      </w:pPr>
      <w:r>
        <w:t xml:space="preserve">11.  Planned Figures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500"/>
        <w:gridCol w:w="3400"/>
        <w:gridCol w:w="1860"/>
      </w:tblGrid>
      <w:tr>
        <w:trPr>
          <w:tblHeader/>
        </w:trPr>
        <w:tc>
          <w:tcPr>
            <w:tcW w:type="dxa" w:w="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dxa" w:w="1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Title</w:t>
            </w:r>
          </w:p>
        </w:tc>
        <w:tc>
          <w:tcPr>
            <w:tcW w:type="dxa" w:w="1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Type</w:t>
            </w:r>
          </w:p>
        </w:tc>
        <w:tc>
          <w:tcPr>
            <w:tcW w:type="dxa" w:w="3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Shows</w:t>
            </w:r>
          </w:p>
        </w:tc>
        <w:tc>
          <w:tcPr>
            <w:tcW w:type="dxa" w:w="18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Source</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1</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Shared-tokenisation and transfer matrix</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Diagram</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two pipelines, shared vocabulary, 2×2 matrix (per §8.4)</w:t>
            </w:r>
          </w:p>
        </w:tc>
        <w:tc>
          <w:tcPr>
            <w:tcW w:type="dxa" w:w="1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Hand-drawn</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w:t>
            </w:r>
          </w:p>
        </w:tc>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Related work</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3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GUIDE, GALAXY, and the adjacent protocol-scrutiny work</w:t>
            </w:r>
          </w:p>
        </w:tc>
        <w:tc>
          <w:tcPr>
            <w:tcW w:type="dxa" w:w="1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§4.4 (EXPAND to 10–15 rows)</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Transfer matrix</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MAIN RESULT. AUC/PR-AUC for 4 models × 4 settings, mean ± sd over 5 seeds</w:t>
            </w:r>
          </w:p>
        </w:tc>
        <w:tc>
          <w:tcPr>
            <w:tcW w:type="dxa" w:w="1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results/matrix.csv</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2</w:t>
            </w:r>
          </w:p>
        </w:tc>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 vs cross gap</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Grouped bar chart</w:t>
            </w:r>
          </w:p>
        </w:tc>
        <w:tc>
          <w:tcPr>
            <w:tcW w:type="dxa" w:w="3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x = model, y = AUC, bars for Within-A / Cross A→B / Within-B / Cross B→A; 0.5 reference line</w:t>
            </w:r>
          </w:p>
        </w:tc>
        <w:tc>
          <w:tcPr>
            <w:tcW w:type="dxa" w:w="1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results/matrix.csv</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III</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Representation ablation</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Effect of n-grams, timing features, OOV handling</w:t>
            </w:r>
          </w:p>
        </w:tc>
        <w:tc>
          <w:tcPr>
            <w:tcW w:type="dxa" w:w="1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results/ablation.csv</w:t>
            </w:r>
          </w:p>
        </w:tc>
      </w:tr>
      <w:tr>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3</w:t>
            </w:r>
          </w:p>
        </w:tc>
        <w:tc>
          <w:tcPr>
            <w:tcW w:type="dxa" w:w="1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Window-length sensitivity</w:t>
            </w:r>
          </w:p>
        </w:tc>
        <w:tc>
          <w:tcPr>
            <w:tcW w:type="dxa" w:w="1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Line plot</w:t>
            </w:r>
          </w:p>
        </w:tc>
        <w:tc>
          <w:tcPr>
            <w:tcW w:type="dxa" w:w="3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x = window length, y = AUC, one line per setting</w:t>
            </w:r>
          </w:p>
        </w:tc>
        <w:tc>
          <w:tcPr>
            <w:tcW w:type="dxa" w:w="18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results/sensitivity.csv</w:t>
            </w:r>
          </w:p>
        </w:tc>
      </w:tr>
      <w:tr>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Fig. 4</w:t>
            </w:r>
          </w:p>
        </w:tc>
        <w:tc>
          <w:tcPr>
            <w:tcW w:type="dxa" w:w="1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Error analysis</w:t>
            </w:r>
          </w:p>
        </w:tc>
        <w:tc>
          <w:tcPr>
            <w:tcW w:type="dxa" w:w="1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Stacked bar / heatmap</w:t>
            </w:r>
          </w:p>
        </w:tc>
        <w:tc>
          <w:tcPr>
            <w:tcW w:type="dxa" w:w="3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Which message IDs and scenarios dominate cross-campaign errors; OOV rate per direction</w:t>
            </w:r>
          </w:p>
        </w:tc>
        <w:tc>
          <w:tcPr>
            <w:tcW w:type="dxa" w:w="18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results/errors.csv</w:t>
            </w:r>
          </w:p>
        </w:tc>
      </w:tr>
    </w:tbl>
    <w:p>
      <w:pPr>
        <w:pStyle w:val="Heading2"/>
        <w:spacing w:after="140" w:before="280"/>
      </w:pPr>
      <w:r>
        <w:t xml:space="preserve">12.  Proposed Paper Outline</w:t>
      </w:r>
    </w:p>
    <w:p>
      <w:pPr>
        <w:pStyle w:val="Heading3"/>
        <w:spacing w:after="120" w:before="220"/>
      </w:pPr>
      <w:r>
        <w:t xml:space="preserve">12.1  Titles</w:t>
      </w:r>
    </w:p>
    <w:p>
      <w:pPr>
        <w:pStyle w:val="ListParagraph"/>
        <w:numPr>
          <w:ilvl w:val="0"/>
          <w:numId w:val="2"/>
        </w:numPr>
        <w:spacing w:after="60" w:line="276"/>
      </w:pPr>
      <w:r>
        <w:t xml:space="preserve">Primary: “Does MAVLink Intrusion Detection Survive a Change of Campaign?”</w:t>
      </w:r>
    </w:p>
    <w:p>
      <w:pPr>
        <w:pStyle w:val="ListParagraph"/>
        <w:numPr>
          <w:ilvl w:val="0"/>
          <w:numId w:val="2"/>
        </w:numPr>
        <w:spacing w:after="60" w:line="276"/>
      </w:pPr>
      <w:r>
        <w:t xml:space="preserve">Alt 1: “Cross-Campaign Evaluation of Sequence-Based MAVLink Intrusion Detection”</w:t>
      </w:r>
    </w:p>
    <w:p>
      <w:pPr>
        <w:pStyle w:val="ListParagraph"/>
        <w:numPr>
          <w:ilvl w:val="0"/>
          <w:numId w:val="2"/>
        </w:numPr>
        <w:spacing w:after="60" w:line="276"/>
      </w:pPr>
      <w:r>
        <w:t xml:space="preserve">Alt 2: “Trained in One Lab, Flown in Another: Transfer Limits for Consumer Drone IDS”</w:t>
      </w:r>
    </w:p>
    <w:p>
      <w:pPr>
        <w:pStyle w:val="Heading3"/>
        <w:spacing w:after="120" w:before="220"/>
      </w:pPr>
      <w:r>
        <w:t xml:space="preserve">12.2  Draft abstract (placeholders in brackets)</w:t>
      </w:r>
    </w:p>
    <w:p>
      <w:pPr>
        <w:spacing w:after="120" w:line="276"/>
      </w:pPr>
      <w:r>
        <w:rPr>
          <w:rFonts w:ascii="Calibri" w:cs="Calibri" w:eastAsia="Calibri" w:hAnsi="Calibri"/>
          <w:i/>
          <w:iCs/>
          <w:sz w:val="20"/>
          <w:szCs w:val="20"/>
        </w:rPr>
        <w:t xml:space="preserve">Consumer and hobbyist unmanned aerial vehicles are operated over MAVLink, an unauthenticated telemetry and command protocol. Sequence-based intrusion detection systems learn the normal ordering of MAVLink message types and report strong detection performance, but published evaluations partition data by attack family within a single capture campaign. We ask whether that performance survives the change of rig, operator and mission profile that necessarily occurs when a drone is flown outside the laboratory that produced the training data. Using two independently collected public MAVLink corpora and a shared message-ID tokenisation, we evaluate four detector families — an LSTM classifier, a 1D convolutional network, a one-class autoencoder and an n-gram control — in both within-campaign and cross-campaign settings. Within-campaign AUC reaches [X], but cross-campaign AUC falls to [Y], a gap of [Z] points, and the drop is [symmetric/asymmetric] between transfer directions. Error analysis attributes [P]% of the degradation to [out-of-vocabulary message identifiers / campaign-specific message-rate artefacts]. We find that [representation choice] narrows the gap to [W]. We release the shared tokenisation and evaluation harness. [150–250 words when filled.]</w:t>
      </w:r>
    </w:p>
    <w:p>
      <w:pPr>
        <w:pStyle w:val="Heading3"/>
        <w:spacing w:after="120" w:before="220"/>
      </w:pPr>
      <w:r>
        <w:t xml:space="preserve">12.3  Section plan (6 pages; drop to 4 if the result is a single thin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6260"/>
      </w:tblGrid>
      <w:tr>
        <w:trPr>
          <w:tblHeader/>
        </w:trPr>
        <w:tc>
          <w:tcPr>
            <w:tcW w:type="dxa" w:w="2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Section</w:t>
            </w:r>
          </w:p>
        </w:tc>
        <w:tc>
          <w:tcPr>
            <w:tcW w:type="dxa" w:w="7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Pages</w:t>
            </w:r>
          </w:p>
        </w:tc>
        <w:tc>
          <w:tcPr>
            <w:tcW w:type="dxa" w:w="6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Content</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 Introduction</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0.75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MAVLink is unauthenticated; sequence IDS work well in-lab; published splits are by attack, not campaign; the deployment question is different. Contributions as bullets.</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II. Background and Related Work</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MAVLink; sequence IDS; GUIDE and GALAXY in detail; protocol-scrutiny precedents in CAN and drone RF. Table I.</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III. Method</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Shared tokenisation, OOV token, windowing, the four detectors, the 2×2 protocol. Figure 1.</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IV. Experimental Setup</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Both corpora, splits, seeds, metrics, hardware.</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 Results</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Table II, Figure 2. The gap. Asymmetry.</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 Analysis</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0.75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Ablation (Table III), sensitivity (Fig. 3), error analysis (Fig. 4). Why the gap exists.</w:t>
            </w:r>
          </w:p>
        </w:tc>
      </w:tr>
      <w:tr>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VII. Limitations and Conclusion</w:t>
            </w:r>
          </w:p>
        </w:tc>
        <w:tc>
          <w:tcPr>
            <w:tcW w:type="dxa" w:w="7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Only two campaigns, both HITL and both from one laboratory — state this plainly as the main limitation. Call for multi-campaign UAV IDS benchmarks.</w:t>
            </w:r>
          </w:p>
        </w:tc>
      </w:tr>
      <w:tr>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References</w:t>
            </w:r>
          </w:p>
        </w:tc>
        <w:tc>
          <w:tcPr>
            <w:tcW w:type="dxa" w:w="7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0.5</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15–20 entries</w:t>
            </w:r>
          </w:p>
        </w:tc>
      </w:tr>
    </w:tbl>
    <w:p>
      <w:pPr>
        <w:pStyle w:val="Heading3"/>
        <w:spacing w:after="120" w:before="220"/>
      </w:pPr>
      <w:r>
        <w:t xml:space="preserve">12.4  Keywords</w:t>
      </w:r>
    </w:p>
    <w:p>
      <w:pPr>
        <w:spacing w:after="120" w:line="276"/>
      </w:pPr>
      <w:r>
        <w:rPr>
          <w:rFonts w:ascii="Calibri" w:cs="Calibri" w:eastAsia="Calibri" w:hAnsi="Calibri"/>
          <w:sz w:val="20"/>
          <w:szCs w:val="20"/>
        </w:rPr>
        <w:t xml:space="preserve">MAVLink; unmanned aerial vehicle; intrusion detection; cross-dataset generalisation; evaluation protocol; consumer drone security</w:t>
      </w:r>
    </w:p>
    <w:p>
      <w:pPr>
        <w:pStyle w:val="Heading2"/>
        <w:spacing w:after="140" w:before="280"/>
      </w:pPr>
      <w:r>
        <w:t xml:space="preserve">13.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500"/>
        <w:gridCol w:w="3500"/>
        <w:gridCol w:w="1210"/>
      </w:tblGrid>
      <w:tr>
        <w:trPr>
          <w:tblHeader/>
        </w:trPr>
        <w:tc>
          <w:tcPr>
            <w:tcW w:type="dxa" w:w="11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Date</w:t>
            </w:r>
          </w:p>
        </w:tc>
        <w:tc>
          <w:tcPr>
            <w:tcW w:type="dxa" w:w="3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Project 2 task</w:t>
            </w:r>
          </w:p>
        </w:tc>
        <w:tc>
          <w:tcPr>
            <w:tcW w:type="dxa" w:w="3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Deliverable</w:t>
            </w:r>
          </w:p>
        </w:tc>
        <w:tc>
          <w:tcPr>
            <w:tcW w:type="dxa" w:w="121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Done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Tue 6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C1 download both corpora; email HCRL re licence; COMPLETE the novelty sweep</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 on disk; novelty confirmed or topic abandoned</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Wed 7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C2 GO/NO-GO compatibility check</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Written GO or NO-GO decision</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Thu 8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C3 shared tokenisation + tests</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Both corpora tokenised, OOV rates measured</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Fri 9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D1 models + within-campaign validation</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Within-campaign AUC in the published range</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Sat 10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E1 transfer matrix (5 seeds)</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results/matrix.csv — THE MAIN RESULT</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Sun 11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F1 ablation, sensitivity, error analysis</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All result CSVs; figures</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 12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Writing: Results, Method, Background</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Draft except Introduction</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Tue 13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Writing: Introduction, Conclusion; novelty re-check</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Complete draft</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Wed 14 Oct</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Review, trim to length, SUBMIT via EDAS</w:t>
            </w:r>
          </w:p>
        </w:tc>
        <w:tc>
          <w:tcPr>
            <w:tcW w:type="dxa" w:w="3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EDAS confirmation</w:t>
            </w:r>
          </w:p>
        </w:tc>
        <w:tc>
          <w:tcPr>
            <w:tcW w:type="dxa" w:w="1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r>
        <w:tc>
          <w:tcPr>
            <w:tcW w:type="dxa" w:w="11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Thu 15 Oct</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BUFFER — deadline day</w:t>
            </w:r>
          </w:p>
        </w:tc>
        <w:tc>
          <w:tcPr>
            <w:tcW w:type="dxa" w:w="3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c>
          <w:tcPr>
            <w:tcW w:type="dxa" w:w="1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t>
            </w:r>
          </w:p>
        </w:tc>
      </w:tr>
    </w:tbl>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OVERLAP WITH PROJECT 1  </w:t>
      </w:r>
      <w:r>
        <w:rPr>
          <w:rFonts w:ascii="Calibri" w:cs="Calibri" w:eastAsia="Calibri" w:hAnsi="Calibri"/>
          <w:sz w:val="20"/>
          <w:szCs w:val="20"/>
        </w:rPr>
        <w:t xml:space="preserve">Project 2 starts on 6 October while Project 1 is still running. This works because Project 1 is CPU-bound and largely waiting on analysis by then. If Project 1 slips past 10 October, DROP Project 2 and submit one good paper. One accepted paper is better than two rushed rejections.</w:t>
      </w:r>
    </w:p>
    <w:p>
      <w:pPr>
        <w:pStyle w:val="Heading2"/>
        <w:spacing w:after="140" w:before="280"/>
      </w:pPr>
      <w:r>
        <w:t xml:space="preserve">14.  Risks and Fallback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800"/>
        <w:gridCol w:w="5360"/>
      </w:tblGrid>
      <w:tr>
        <w:trPr>
          <w:tblHeader/>
        </w:trPr>
        <w:tc>
          <w:tcPr>
            <w:tcW w:type="dxa" w:w="2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Risk</w:t>
            </w:r>
          </w:p>
        </w:tc>
        <w:tc>
          <w:tcPr>
            <w:tcW w:type="dxa" w:w="9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Likelihood</w:t>
            </w:r>
          </w:p>
        </w:tc>
        <w:tc>
          <w:tcPr>
            <w:tcW w:type="dxa" w:w="8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Impact</w:t>
            </w:r>
          </w:p>
        </w:tc>
        <w:tc>
          <w:tcPr>
            <w:tcW w:type="dxa" w:w="53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Mitigation / fallback</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SHADOW-GCS is not representation-compatible with the Msg-ID corpus</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 — the format is undocumented</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FATAL to the project</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This is the C2 go/no-go. FALLBACK: reframe as a within-corpus evaluation-protocol study on the Msg-ID corpus alone — e.g. flight-session-grouped splits versus random window splits, which is the MAVLink analogue of Shulman’s recording-level leakage result. Same contribution type, one corpus, still publishable.</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novelty sweep finds GALAXY already does cross-campaign transfer</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FATAL</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Check BEFORE Stage D. Fallback as above.</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Dataset licences are not granted or are restrictive</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Email on Day 1. If no reply by 8 Oct, proceed on the conventional academic-use assumption, cite both datasets and their papers prominently, and state the assumption in the paper.</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Only two campaigns makes the result a single number</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Strengthen with the error analysis (experiment e) and the representation ablation, which produce several numbers each. If still thin, submit as a 4-page paper — this is permitted and is an honest fit to the contribution’s size.</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Cross-campaign AUC collapses purely because of OOV message IDs</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Low</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Not a failure — it is the explanation. Report OOV rates prominently and frame the finding as vocabulary mismatch being the dominant transfer barrier.</w:t>
            </w:r>
          </w:p>
        </w:tc>
      </w:tr>
      <w:tr>
        <w:tc>
          <w:tcPr>
            <w:tcW w:type="dxa" w:w="2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Within-campaign results do not reproduce published ranges</w:t>
            </w:r>
          </w:p>
        </w:tc>
        <w:tc>
          <w:tcPr>
            <w:tcW w:type="dxa" w:w="9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53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Investigate tokenisation and labelling first. If unresolved, report your own within-campaign numbers as the reference point and note the discrepancy honestly rather than hiding it.</w:t>
            </w:r>
          </w:p>
        </w:tc>
      </w:tr>
      <w:tr>
        <w:tc>
          <w:tcPr>
            <w:tcW w:type="dxa" w:w="2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Project 1 slips and both papers are at risk</w:t>
            </w:r>
          </w:p>
        </w:tc>
        <w:tc>
          <w:tcPr>
            <w:tcW w:type="dxa" w:w="9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Medium</w:t>
            </w:r>
          </w:p>
        </w:tc>
        <w:tc>
          <w:tcPr>
            <w:tcW w:type="dxa" w:w="8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High</w:t>
            </w:r>
          </w:p>
        </w:tc>
        <w:tc>
          <w:tcPr>
            <w:tcW w:type="dxa" w:w="53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Drop Project 2. Project 1 is the stronger paper and must not be compromised.</w:t>
            </w:r>
          </w:p>
        </w:tc>
      </w:tr>
    </w:tbl>
    <w:p>
      <w:pPr>
        <w:pStyle w:val="Heading2"/>
        <w:spacing w:after="140" w:before="280"/>
      </w:pPr>
      <w:r>
        <w:t xml:space="preserve">15.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Level</w:t>
            </w:r>
          </w:p>
        </w:tc>
        <w:tc>
          <w:tcPr>
            <w:tcW w:type="dxa" w:w="77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What it looks like</w:t>
            </w:r>
          </w:p>
        </w:tc>
      </w:tr>
      <w:tr>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Strong paper</w:t>
            </w:r>
          </w:p>
        </w:tc>
        <w:tc>
          <w:tcPr>
            <w:tcW w:type="dxa" w:w="7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large, well-explained within-vs-cross gap across all four detector families, an asymmetry between directions, and an error analysis that attributes the gap to identifiable causes, plus a representation choice that measurably narrows it.</w:t>
            </w:r>
          </w:p>
        </w:tc>
      </w:tr>
      <w:tr>
        <w:tc>
          <w:tcPr>
            <w:tcW w:type="dxa" w:w="1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Acceptable paper</w:t>
            </w:r>
          </w:p>
        </w:tc>
        <w:tc>
          <w:tcPr>
            <w:tcW w:type="dxa" w:w="77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The transfer matrix is reported with CIs for at least three detector families and the gap is quantified, even if the explanation is partial. 4–6 pages.</w:t>
            </w:r>
          </w:p>
        </w:tc>
      </w:tr>
      <w:tr>
        <w:tc>
          <w:tcPr>
            <w:tcW w:type="dxa" w:w="1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Abandon</w:t>
            </w:r>
          </w:p>
        </w:tc>
        <w:tc>
          <w:tcPr>
            <w:tcW w:type="dxa" w:w="77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C2 returns NO-GO and the fallback single-corpus protocol study is also pre-empted. In that case submit Project 1 only.</w:t>
            </w:r>
          </w:p>
        </w:tc>
      </w:tr>
    </w:tbl>
    <w:p>
      <w:pPr>
        <w:pStyle w:val="Heading2"/>
        <w:spacing w:after="140" w:before="280"/>
      </w:pPr>
      <w:r>
        <w:t xml:space="preserve">16.  References</w:t>
      </w:r>
    </w:p>
    <w:p>
      <w:pPr>
        <w:spacing w:after="80" w:line="276"/>
      </w:pPr>
      <w:r>
        <w:rPr>
          <w:rFonts w:ascii="Calibri" w:cs="Calibri" w:eastAsia="Calibri" w:hAnsi="Calibri"/>
          <w:sz w:val="18"/>
          <w:szCs w:val="18"/>
        </w:rPr>
        <w:t xml:space="preserve">[1] J. D. Yoo, H. K. Kim, and Kim, “GUIDE: GAN-based UAV IDS Enhancement,” Computers &amp; Security, vol. 147, art. 104073, 2024. [VERIFY the full author list from the publisher page before citing.]</w:t>
      </w:r>
    </w:p>
    <w:p>
      <w:pPr>
        <w:spacing w:after="80" w:line="276"/>
      </w:pPr>
      <w:r>
        <w:rPr>
          <w:rFonts w:ascii="Calibri" w:cs="Calibri" w:eastAsia="Calibri" w:hAnsi="Calibri"/>
          <w:sz w:val="18"/>
          <w:szCs w:val="18"/>
        </w:rPr>
        <w:t xml:space="preserve">[2] HCRL MAVLink Message ID Sequence Dataset. https://ocslab.hksecurity.net/Datasets/mavlink-message-id-sequence-dataset — IEEE DataPort doi: 10.21227/mhpm-g592.</w:t>
      </w:r>
    </w:p>
    <w:p>
      <w:pPr>
        <w:spacing w:after="80" w:line="276"/>
      </w:pPr>
      <w:r>
        <w:rPr>
          <w:rFonts w:ascii="Calibri" w:cs="Calibri" w:eastAsia="Calibri" w:hAnsi="Calibri"/>
          <w:sz w:val="18"/>
          <w:szCs w:val="18"/>
        </w:rPr>
        <w:t xml:space="preserve">[3] J. Y. Lee and H. K. Kim, “GALAXY: Generalized Attention-based LSTM Architecture with external query for Intrusion Detection in UAV Communication,” in Proc. IEEE 30th Pacific Rim Int. Symp. Dependable Computing (PRDC), 2025.</w:t>
      </w:r>
    </w:p>
    <w:p>
      <w:pPr>
        <w:spacing w:after="80" w:line="276"/>
      </w:pPr>
      <w:r>
        <w:rPr>
          <w:rFonts w:ascii="Calibri" w:cs="Calibri" w:eastAsia="Calibri" w:hAnsi="Calibri"/>
          <w:sz w:val="18"/>
          <w:szCs w:val="18"/>
        </w:rPr>
        <w:t xml:space="preserve">[4] HCRL SHADOW-GCS Attack Dataset. https://ocslab.hksecurity.net/Datasets/shadow-gcs-attack-dataset</w:t>
      </w:r>
    </w:p>
    <w:p>
      <w:pPr>
        <w:spacing w:after="80" w:line="276"/>
      </w:pPr>
      <w:r>
        <w:rPr>
          <w:rFonts w:ascii="Calibri" w:cs="Calibri" w:eastAsia="Calibri" w:hAnsi="Calibri"/>
          <w:sz w:val="18"/>
          <w:szCs w:val="18"/>
        </w:rPr>
        <w:t xml:space="preserve">[5] B. Koltai, G. Ács, and A. Gazdag, “CAN We Trust Your Results? A Cross-Dataset Study of Automotive IDS Evaluation,” arXiv:2606.30430, 2026.</w:t>
      </w:r>
    </w:p>
    <w:p>
      <w:pPr>
        <w:spacing w:after="80" w:line="276"/>
      </w:pPr>
      <w:r>
        <w:rPr>
          <w:rFonts w:ascii="Calibri" w:cs="Calibri" w:eastAsia="Calibri" w:hAnsi="Calibri"/>
          <w:sz w:val="18"/>
          <w:szCs w:val="18"/>
        </w:rPr>
        <w:t xml:space="preserve">[6] D. Shulman, “How Much Do RF Drone Benchmarks Overstate? A Controlled Study and Theory of Data Leakage in UAV Signal Identification,” arXiv:2607.01025, 2026.</w:t>
      </w:r>
    </w:p>
    <w:p>
      <w:pPr>
        <w:spacing w:after="80" w:line="276"/>
      </w:pPr>
      <w:r>
        <w:rPr>
          <w:rFonts w:ascii="Calibri" w:cs="Calibri" w:eastAsia="Calibri" w:hAnsi="Calibri"/>
          <w:sz w:val="18"/>
          <w:szCs w:val="18"/>
        </w:rPr>
        <w:t xml:space="preserve">[7] “XAI and Statistical Analysis for Reliable Intrusion Detection in the UAVIDS-2025 Dataset,” arXiv:2605.13922, 2026.</w:t>
      </w:r>
    </w:p>
    <w:p>
      <w:pPr>
        <w:spacing w:after="80" w:line="276"/>
      </w:pPr>
      <w:r>
        <w:rPr>
          <w:rFonts w:ascii="Calibri" w:cs="Calibri" w:eastAsia="Calibri" w:hAnsi="Calibri"/>
          <w:sz w:val="18"/>
          <w:szCs w:val="18"/>
        </w:rPr>
        <w:t xml:space="preserve">[8] MAVLink protocol specification. https://mavlink.io/en/</w:t>
      </w:r>
    </w:p>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EXPAND BEFORE SUBMITTING  </w:t>
      </w:r>
      <w:r>
        <w:rPr>
          <w:rFonts w:ascii="Calibri" w:cs="Calibri" w:eastAsia="Calibri" w:hAnsi="Calibri"/>
          <w:sz w:val="20"/>
          <w:szCs w:val="20"/>
        </w:rPr>
        <w:t xml:space="preserve">Eight references is too few for an IEEE conference paper. Target 15–20. The gap is in Theme A: search for and read more MAVLink/UAV IDS papers, and add them to both §4.4 and this list.</w:t>
      </w:r>
    </w:p>
    <w:p>
      <w:r>
        <w:br w:type="page"/>
      </w:r>
    </w:p>
    <w:p>
      <w:pPr>
        <w:pStyle w:val="Heading1"/>
        <w:spacing w:after="180" w:before="360"/>
      </w:pPr>
      <w:r>
        <w:t xml:space="preserve">PART III — Backup Topics and Verification Log</w:t>
      </w:r>
    </w:p>
    <w:p>
      <w:pPr>
        <w:pStyle w:val="Heading2"/>
        <w:spacing w:after="140" w:before="280"/>
      </w:pPr>
      <w:r>
        <w:t xml:space="preserve">III.1  Backup topics</w:t>
      </w:r>
    </w:p>
    <w:p>
      <w:pPr>
        <w:spacing w:after="120" w:line="276"/>
      </w:pPr>
      <w:r>
        <w:rPr>
          <w:rFonts w:ascii="Calibri" w:cs="Calibri" w:eastAsia="Calibri" w:hAnsi="Calibri"/>
          <w:sz w:val="20"/>
          <w:szCs w:val="20"/>
        </w:rPr>
        <w:t xml:space="preserve">Both backups survived further than most candidates but were not selected. Each needs its own novelty verification completed before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600"/>
        <w:gridCol w:w="1660"/>
      </w:tblGrid>
      <w:tr>
        <w:trPr>
          <w:tblHeader/>
        </w:trPr>
        <w:tc>
          <w:tcPr>
            <w:tcW w:type="dxa" w:w="2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Backup</w:t>
            </w:r>
          </w:p>
        </w:tc>
        <w:tc>
          <w:tcPr>
            <w:tcW w:type="dxa" w:w="30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One-line idea</w:t>
            </w:r>
          </w:p>
        </w:tc>
        <w:tc>
          <w:tcPr>
            <w:tcW w:type="dxa" w:w="26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Why not chosen</w:t>
            </w:r>
          </w:p>
        </w:tc>
        <w:tc>
          <w:tcPr>
            <w:tcW w:type="dxa" w:w="16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Status</w:t>
            </w:r>
          </w:p>
        </w:tc>
      </w:tr>
      <w:tr>
        <w:tc>
          <w:tcPr>
            <w:tcW w:type="dxa" w:w="2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QUANT-CAL — masquerade-preserving quantisation calibration for CAN IDS</w:t>
            </w:r>
          </w:p>
        </w:tc>
        <w:tc>
          <w:tcPr>
            <w:tcW w:type="dxa" w:w="30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Show that min–max activation calibration allocates quantisation range to high-magnitude fabrication traffic and starves low-variance masquerade residuals; then fix it with per-CAN-ID scales, attack-stratified calibration sets or mixed precision.</w:t>
            </w:r>
          </w:p>
        </w:tc>
        <w:tc>
          <w:tcPr>
            <w:tcW w:type="dxa" w:w="26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Overlaps Project 1’s dataset and sub-topic (both ROAD/masquerade), so the two would compete with each other in the same session. CAN-ODTL (NDSS VehicleSec 2023) already published the measurement; only the FIX is new.</w:t>
            </w:r>
          </w:p>
        </w:tc>
        <w:tc>
          <w:tcPr>
            <w:tcW w:type="dxa" w:w="16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Needs full novelty verification of the fix specifically</w:t>
            </w:r>
          </w:p>
        </w:tc>
      </w:tr>
      <w:tr>
        <w:tc>
          <w:tcPr>
            <w:tcW w:type="dxa" w:w="2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CAN-HALLUC — frame-grounded hallucination instrument for LLM explanations of CAN IDS alerts</w:t>
            </w:r>
          </w:p>
        </w:tc>
        <w:tc>
          <w:tcPr>
            <w:tcW w:type="dxa" w:w="30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Mechanically check every CAN ID, timestamp, byte value and frequency claim in an LLM-generated alert explanation against the actual frames, yielding unsupported-claim, contradicted-claim and fabricated-ID rates.</w:t>
            </w:r>
          </w:p>
        </w:tc>
        <w:tc>
          <w:tcPr>
            <w:tcW w:type="dxa" w:w="26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CAN-QA (arXiv:2604.24935) owns the LLM-over-CAN benchmark slot; only the hallucination instrument is the delta. Also shares ROAD with Project 1.</w:t>
            </w:r>
          </w:p>
        </w:tc>
        <w:tc>
          <w:tcPr>
            <w:tcW w:type="dxa" w:w="16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Viable now that the L4 is free (7B–14B at 4-bit). Needs novelty verification of the instrument.</w:t>
            </w:r>
          </w:p>
        </w:tc>
      </w:tr>
    </w:tbl>
    <w:p>
      <w:pPr>
        <w:pStyle w:val="Heading2"/>
        <w:spacing w:after="140" w:before="280"/>
      </w:pPr>
      <w:r>
        <w:t xml:space="preserve">III.2  What was verified, and how</w:t>
      </w:r>
    </w:p>
    <w:p>
      <w:pPr>
        <w:spacing w:after="120" w:line="276"/>
      </w:pPr>
      <w:r>
        <w:rPr>
          <w:rFonts w:ascii="Calibri" w:cs="Calibri" w:eastAsia="Calibri" w:hAnsi="Calibri"/>
          <w:sz w:val="20"/>
          <w:szCs w:val="20"/>
        </w:rPr>
        <w:t xml:space="preserve">This blueprint is the output of three rounds of adversarial novelty verification covering 19 candidate topics, plus direct manual verification of the dependencies that survived.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Item</w:t>
            </w:r>
          </w:p>
        </w:tc>
        <w:tc>
          <w:tcPr>
            <w:tcW w:type="dxa" w:w="2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Method</w:t>
            </w:r>
          </w:p>
        </w:tc>
        <w:tc>
          <w:tcPr>
            <w:tcW w:type="dxa" w:w="44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Result</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ICCE 2027 dates, page limit, policies</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Fetched icce.org/2027 pages directly</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 including that the CFP PDF’s 15 Aug date is superseded by 15 Oct “(final extension)”</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SS-02 scope, chairs, 23 topic keywords</w:t>
            </w:r>
          </w:p>
        </w:tc>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Fetched the organized-sessions page, raw HTML</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verbatim</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dataset record</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Zenodo REST API</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 DOI, CC-BY-4.0, road.zip 556.7 MB, 2020-12-28</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masquerade construction</w:t>
            </w:r>
          </w:p>
        </w:tc>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Fetched the PLOS ONE full text</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with direct quotations — frame-deletion from fabrication captures</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ROAD caveats (interval labels, 100 µs, obfuscated AID order, single vehicle, dynamometer)</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PLOS ONE drawbacks section</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10 arXiv citations</w:t>
            </w:r>
          </w:p>
        </w:tc>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arxiv.org/abs pages, titles and dates read</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ALL 10 VERIFIED to exist with exact titles</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Comparator repositories and licences</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GitHub REST API and web pages</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 Moriano MIT (push 2024-08-23); CrySyS GPL-3.0 (push 2026-07-14); GUIDE NO licence (push 2025-10-05)</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HCRL MAVLink and SHADOW-GCS datasets</w:t>
            </w:r>
          </w:p>
        </w:tc>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Fetched both HCRL pages</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Existence VERIFIED; SHADOW-GCS FORMAT NOT DOCUMENTED — hence the Day-1 go/no-go</w:t>
            </w:r>
          </w:p>
        </w:tc>
      </w:tr>
      <w:tr>
        <w:tc>
          <w:tcPr>
            <w:tcW w:type="dxa" w:w="25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CAN-FD dataset (rejected topic)</w:t>
            </w:r>
          </w:p>
        </w:tc>
        <w:tc>
          <w:tcPr>
            <w:tcW w:type="dxa" w:w="2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HCRL page + IEEE DataPort</w:t>
            </w:r>
          </w:p>
        </w:tc>
        <w:tc>
          <w:tcPr>
            <w:tcW w:type="dxa" w:w="44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VERIFIED free via Dropbox; attacks are injection-only; topic rejected on prior art</w:t>
            </w:r>
          </w:p>
        </w:tc>
      </w:tr>
      <w:tr>
        <w:tc>
          <w:tcPr>
            <w:tcW w:type="dxa" w:w="25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19 candidate topics</w:t>
            </w:r>
          </w:p>
        </w:tc>
        <w:tc>
          <w:tcPr>
            <w:tcW w:type="dxa" w:w="2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Three rounds of adversarial novelty verification</w:t>
            </w:r>
          </w:p>
        </w:tc>
        <w:tc>
          <w:tcPr>
            <w:tcW w:type="dxa" w:w="44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Essentially all rejected on fatal prior art; see III.3</w:t>
            </w:r>
          </w:p>
        </w:tc>
      </w:tr>
    </w:tbl>
    <w:p>
      <w:pPr>
        <w:pStyle w:val="Heading2"/>
        <w:spacing w:after="140" w:before="280"/>
      </w:pPr>
      <w:r>
        <w:t xml:space="preserve">III.3  Rejected candidates and what killed them</w:t>
      </w:r>
    </w:p>
    <w:p>
      <w:pPr>
        <w:spacing w:after="120" w:line="276"/>
      </w:pPr>
      <w:r>
        <w:rPr>
          <w:rFonts w:ascii="Calibri" w:cs="Calibri" w:eastAsia="Calibri" w:hAnsi="Calibri"/>
          <w:sz w:val="20"/>
          <w:szCs w:val="20"/>
        </w:rPr>
        <w:t xml:space="preserve">Recorded so that these are not re-proposed later, and so the Related Work sections can cite them accurately.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Candidate</w:t>
            </w:r>
          </w:p>
        </w:tc>
        <w:tc>
          <w:tcPr>
            <w:tcW w:type="dxa" w:w="626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Killed by</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Trivial-baseline floor on ROAD fabrication/fuzzing</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Blevins et al., AutoSec 2021 (arXiv:2101.05781) — already done, timing-only, by the ROAD authors themselves</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First IDS baselines on the HCRL CAN-FD dataset</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Gao et al., Sensors 24(11):3461 (2024) and PSEAD, MDPI Electronics 13(2):377 (2024) — both already evaluate on it</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Attack-stratified quantisation measurement on ROAD</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CAN-ODTL, Rajapaksha et al., NDSS VehicleSec 2023 — FP32 vs three TFLite variants on ROAD with a per-attack table</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Personalised FL for cross-OEM CAN IDS</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CANPerFL, Applied Sciences 13(11):6369 (2023) — FL clients are real multi-OEM vehicles with per-vehicle metrics</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Indirect prompt-injection benchmark for in-vehicle LLM agents</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NetInjectBench, arXiv:2607.10490 (v2, 27 Sep 2026) — same schema, splits, metric and models, for network operations</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LLM triage benchmark for CAN IDS alerts</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CAN-QA, arXiv:2604.24935 — “the first benchmark that reformulates CAN traffic analysis as a question-answering task”</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Leave-one-attack-out MAVLink evaluation</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GUIDE already designates known vs unknown attacks; GALAXY (PRDC 2025) already shows existing IDS fail on a stealthy attack</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Leakage-audited drone RF benchmark</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Shulman, arXiv:2607.01025 — owns the result and ships an MIT harness</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Remote ID spoofing detection benchmark</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GhostBuster, IEEE CCNC 2024 — the RSSI-vs-claimed-distance rule; kinematic plausibility is a mature ADS-B technique</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On-device enforcement gate for in-vehicle agents</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AgentSpec (ICSE 2026) and arXiv:2607.07405 — deterministic runtime enforcement with public code and an autonomous-driving instantiation</w:t>
            </w:r>
          </w:p>
        </w:tc>
      </w:tr>
      <w:tr>
        <w:tc>
          <w:tcPr>
            <w:tcW w:type="dxa" w:w="31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LLM vs grammar UDS fuzzing benchmark</w:t>
            </w:r>
          </w:p>
        </w:tc>
        <w:tc>
          <w:tcPr>
            <w:tcW w:type="dxa" w:w="626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SAE 2024-01-2799 and SAE 2025-01-8091 — same group, same experiment, better equipment</w:t>
            </w:r>
          </w:p>
        </w:tc>
      </w:tr>
      <w:tr>
        <w:tc>
          <w:tcPr>
            <w:tcW w:type="dxa" w:w="31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Quantisation vs open-set rejection for drone RF</w:t>
            </w:r>
          </w:p>
        </w:tc>
        <w:tc>
          <w:tcPr>
            <w:tcW w:type="dxa" w:w="626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Both legs published separately; quantisation-vs-OOD answered in arXiv:2602.01459</w:t>
            </w:r>
          </w:p>
        </w:tc>
      </w:tr>
    </w:tbl>
    <w:p>
      <w:pPr>
        <w:pStyle w:val="Heading2"/>
        <w:spacing w:after="140" w:before="280"/>
      </w:pPr>
      <w:r>
        <w:t xml:space="preserve">III.4  Standing lesson</w:t>
      </w:r>
    </w:p>
    <w:p>
      <w:pPr>
        <w:pBdr>
          <w:left w:val="single" w:color="BF8F00" w:sz="18"/>
        </w:pBdr>
        <w:shd w:fill="FFF4CE" w:val="clear"/>
        <w:spacing w:after="160" w:before="120" w:line="276"/>
        <w:ind w:left="140" w:right="140"/>
      </w:pPr>
      <w:r>
        <w:rPr>
          <w:rFonts w:ascii="Calibri" w:cs="Calibri" w:eastAsia="Calibri" w:hAnsi="Calibri"/>
          <w:b/>
          <w:bCs/>
          <w:sz w:val="20"/>
          <w:szCs w:val="20"/>
        </w:rPr>
        <w:t xml:space="preserve">WHY SO MANY CANDIDATES DIED  </w:t>
      </w:r>
      <w:r>
        <w:rPr>
          <w:rFonts w:ascii="Calibri" w:cs="Calibri" w:eastAsia="Calibri" w:hAnsi="Calibri"/>
          <w:sz w:val="20"/>
          <w:szCs w:val="20"/>
        </w:rPr>
        <w:t xml:space="preserve">A short deadline pushes toward measurement, audit and benchmark papers, because those are the only kind finishable in two weeks. But cheap-to-execute is cheap for everyone, so that entire category is picked clean. Every rejection above was a paper from the preceding ~18 months, and one was a preprint revised two days before it was found. The ideas that survived scrutiny longest were mechanism-plus-fix and threat-model contributions, not “we measured X”. Apply that lesson to any future topic search — and always re-run an arXiv cs.CR sweep in the final week before submitting.</w:t>
      </w:r>
    </w:p>
    <w:p>
      <w:pPr>
        <w:pStyle w:val="Heading2"/>
        <w:spacing w:after="140" w:before="280"/>
      </w:pPr>
      <w:r>
        <w:t xml:space="preserve">III.5  Outstanding actions for the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400"/>
        <w:gridCol w:w="1300"/>
        <w:gridCol w:w="3210"/>
      </w:tblGrid>
      <w:tr>
        <w:trPr>
          <w:tblHeader/>
        </w:trPr>
        <w:tc>
          <w:tcPr>
            <w:tcW w:type="dxa" w:w="45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t>
            </w:r>
          </w:p>
        </w:tc>
        <w:tc>
          <w:tcPr>
            <w:tcW w:type="dxa" w:w="44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Action</w:t>
            </w:r>
          </w:p>
        </w:tc>
        <w:tc>
          <w:tcPr>
            <w:tcW w:type="dxa" w:w="130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By when</w:t>
            </w:r>
          </w:p>
        </w:tc>
        <w:tc>
          <w:tcPr>
            <w:tcW w:type="dxa" w:w="3210"/>
            <w:shd w:fill="1F3864"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Why</w:t>
            </w:r>
          </w:p>
        </w:tc>
      </w:tr>
      <w:tr>
        <w:tc>
          <w:tcPr>
            <w:tcW w:type="dxa" w:w="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w:t>
            </w:r>
          </w:p>
        </w:tc>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Email Dr. Mollah (mmollah@uh.edu): is SS-02 review single- or double-blind, and is there a cap on accepted papers?</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 Oct</w:t>
            </w:r>
          </w:p>
        </w:tc>
        <w:tc>
          <w:tcPr>
            <w:tcW w:type="dxa" w:w="3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Changes how you prepare and submit both papers</w:t>
            </w:r>
          </w:p>
        </w:tc>
      </w:tr>
      <w:tr>
        <w:tc>
          <w:tcPr>
            <w:tcW w:type="dxa" w:w="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w:t>
            </w:r>
          </w:p>
        </w:tc>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Email Prof. Huy Kang Kim (cenda@korea.ac.kr): licence and citation terms for the two HCRL MAVLink datasets</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6 Oct</w:t>
            </w:r>
          </w:p>
        </w:tc>
        <w:tc>
          <w:tcPr>
            <w:tcW w:type="dxa" w:w="3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Neither dataset page states a licence</w:t>
            </w:r>
          </w:p>
        </w:tc>
      </w:tr>
      <w:tr>
        <w:tc>
          <w:tcPr>
            <w:tcW w:type="dxa" w:w="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3</w:t>
            </w:r>
          </w:p>
        </w:tc>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Decide whether either paper is intended for later IEEE TCE extension</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4 Oct</w:t>
            </w:r>
          </w:p>
        </w:tc>
        <w:tc>
          <w:tcPr>
            <w:tcW w:type="dxa" w:w="3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If yes, that paper is capped at 4 pages, not 6, which changes the experiment budget</w:t>
            </w:r>
          </w:p>
        </w:tc>
      </w:tr>
      <w:tr>
        <w:tc>
          <w:tcPr>
            <w:tcW w:type="dxa" w:w="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4</w:t>
            </w:r>
          </w:p>
        </w:tc>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Complete the Phase 3B novelty sweep for Project 2</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Before 9 Oct</w:t>
            </w:r>
          </w:p>
        </w:tc>
        <w:tc>
          <w:tcPr>
            <w:tcW w:type="dxa" w:w="3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Project 2’s sweep is incomplete; see Part II §5B.3</w:t>
            </w:r>
          </w:p>
        </w:tc>
      </w:tr>
      <w:tr>
        <w:tc>
          <w:tcPr>
            <w:tcW w:type="dxa" w:w="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5</w:t>
            </w:r>
          </w:p>
        </w:tc>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Expand Project 2’s related-work table from 5 to 10–15 rows</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Before 12 Oct</w:t>
            </w:r>
          </w:p>
        </w:tc>
        <w:tc>
          <w:tcPr>
            <w:tcW w:type="dxa" w:w="3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Five rows is too thin for an IEEE submission</w:t>
            </w:r>
          </w:p>
        </w:tc>
      </w:tr>
      <w:tr>
        <w:tc>
          <w:tcPr>
            <w:tcW w:type="dxa" w:w="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6</w:t>
            </w:r>
          </w:p>
        </w:tc>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Verify reference [11] in Part I (the Array shortcut audit) by opening the DOI</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Before citing</w:t>
            </w:r>
          </w:p>
        </w:tc>
        <w:tc>
          <w:tcPr>
            <w:tcW w:type="dxa" w:w="3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It was seen only in secondary sources</w:t>
            </w:r>
          </w:p>
        </w:tc>
      </w:tr>
      <w:tr>
        <w:tc>
          <w:tcPr>
            <w:tcW w:type="dxa" w:w="45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7</w:t>
            </w:r>
          </w:p>
        </w:tc>
        <w:tc>
          <w:tcPr>
            <w:tcW w:type="dxa" w:w="44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Re-run both novelty searches</w:t>
            </w:r>
          </w:p>
        </w:tc>
        <w:tc>
          <w:tcPr>
            <w:tcW w:type="dxa" w:w="130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13 Oct</w:t>
            </w:r>
          </w:p>
        </w:tc>
        <w:tc>
          <w:tcPr>
            <w:tcW w:type="dxa" w:w="3210"/>
            <w:shd w:fill="FFFFFF"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Mandatory pre-submission check</w:t>
            </w:r>
          </w:p>
        </w:tc>
      </w:tr>
      <w:tr>
        <w:tc>
          <w:tcPr>
            <w:tcW w:type="dxa" w:w="45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8</w:t>
            </w:r>
          </w:p>
        </w:tc>
        <w:tc>
          <w:tcPr>
            <w:tcW w:type="dxa" w:w="44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Budget two registration fees if both papers are accepted</w:t>
            </w:r>
          </w:p>
        </w:tc>
        <w:tc>
          <w:tcPr>
            <w:tcW w:type="dxa" w:w="130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Nov</w:t>
            </w:r>
          </w:p>
        </w:tc>
        <w:tc>
          <w:tcPr>
            <w:tcW w:type="dxa" w:w="3210"/>
            <w:shd w:fill="F2F5FA" w:val="clear"/>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ICCE requires separate registration per paper</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ICCE 2027 SS-02 — Two-Project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6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Light" w:cs="Calibri Light" w:eastAsia="Calibri Light" w:hAnsi="Calibri Light"/>
      <w:b/>
      <w:bCs/>
      <w:color w:val="1F3864"/>
      <w:sz w:val="30"/>
      <w:szCs w:val="30"/>
    </w:rPr>
  </w:style>
  <w:style w:type="paragraph" w:styleId="Heading2">
    <w:name w:val="Heading 2"/>
    <w:basedOn w:val="Normal"/>
    <w:next w:val="Normal"/>
    <w:qFormat/>
    <w:pPr>
      <w:spacing w:after="140" w:before="280"/>
    </w:pPr>
    <w:rPr>
      <w:rFonts w:ascii="Calibri Light" w:cs="Calibri Light" w:eastAsia="Calibri Light" w:hAnsi="Calibri Light"/>
      <w:b/>
      <w:bCs/>
      <w:color w:val="2E5496"/>
      <w:sz w:val="25"/>
      <w:szCs w:val="25"/>
    </w:rPr>
  </w:style>
  <w:style w:type="paragraph" w:styleId="Heading3">
    <w:name w:val="Heading 3"/>
    <w:basedOn w:val="Normal"/>
    <w:next w:val="Normal"/>
    <w:qFormat/>
    <w:pPr>
      <w:spacing w:after="110" w:before="22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ICCE 2027 SS-02 — Two-Project Blueprint</dc:title>
  <dc:creator>Research Planning</dc:creator>
  <dc:description>End-to-end project blueprints for two IEEE ICCE 2027 submissions</dc:description>
  <cp:lastModifiedBy>Un-named</cp:lastModifiedBy>
  <cp:revision>1</cp:revision>
  <dcterms:created xsi:type="dcterms:W3CDTF">2026-10-03T03:15:50.809Z</dcterms:created>
  <dcterms:modified xsi:type="dcterms:W3CDTF">2026-10-03T03:15:50.810Z</dcterms:modified>
</cp:coreProperties>
</file>

<file path=docProps/custom.xml><?xml version="1.0" encoding="utf-8"?>
<Properties xmlns="http://schemas.openxmlformats.org/officeDocument/2006/custom-properties" xmlns:vt="http://schemas.openxmlformats.org/officeDocument/2006/docPropsVTypes"/>
</file>