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sz w:val="28"/>
          <w:szCs w:val="28"/>
        </w:rPr>
      </w:pPr>
      <w:bookmarkStart w:colFirst="0" w:colLast="0" w:name="_cc226wehuvlq" w:id="0"/>
      <w:bookmarkEnd w:id="0"/>
      <w:r w:rsidDel="00000000" w:rsidR="00000000" w:rsidRPr="00000000">
        <w:rPr>
          <w:sz w:val="28"/>
          <w:szCs w:val="28"/>
          <w:rtl w:val="0"/>
        </w:rPr>
        <w:t xml:space="preserve">nombre: MiCrogun Corporation.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temática: Vender armas alienígenas.</w:t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slogan: Tecnología compacta, defensa precisa.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642938" cy="64186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38" cy="641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81675" cy="299779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997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paleta de colores: Verde oscuro, verde claro y negro</w:t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títulos: intel one mono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