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11BFA674" w:rsidR="00CE6EAA" w:rsidRPr="00BF1BF9" w:rsidRDefault="00F8142E" w:rsidP="00FF3503">
      <w:pPr>
        <w:spacing w:before="100" w:beforeAutospacing="1" w:after="100" w:afterAutospacing="1"/>
        <w:jc w:val="center"/>
        <w:rPr>
          <w:rFonts w:ascii="Myriad Pro" w:hAnsi="Myriad Pro"/>
          <w:i/>
          <w:sz w:val="22"/>
          <w:szCs w:val="22"/>
        </w:rPr>
      </w:pPr>
      <w:r>
        <w:rPr>
          <w:rFonts w:ascii="Myriad Pro" w:hAnsi="Myriad Pro"/>
          <w:i/>
          <w:sz w:val="22"/>
          <w:szCs w:val="22"/>
        </w:rPr>
        <w:t>Water Resources Research</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59F910A1" w14:textId="5F8566E2" w:rsidR="00FF3503" w:rsidRPr="00F8142E" w:rsidRDefault="00F8142E" w:rsidP="00F8142E">
      <w:pPr>
        <w:spacing w:before="100" w:beforeAutospacing="1" w:after="100" w:afterAutospacing="1"/>
        <w:jc w:val="center"/>
        <w:rPr>
          <w:rFonts w:ascii="Myriad Pro" w:hAnsi="Myriad Pro"/>
          <w:b/>
          <w:bCs/>
          <w:sz w:val="22"/>
          <w:szCs w:val="22"/>
        </w:rPr>
      </w:pPr>
      <w:r w:rsidRPr="00F8142E">
        <w:rPr>
          <w:rFonts w:ascii="Myriad Pro" w:hAnsi="Myriad Pro"/>
          <w:b/>
          <w:bCs/>
          <w:sz w:val="22"/>
          <w:szCs w:val="22"/>
        </w:rPr>
        <w:t>Land Use and Season Influence Event-scale Nitrate and Soluble Reactive Phosphorus Exports and Export Stoichiometry from Headwater Catchments</w:t>
      </w:r>
    </w:p>
    <w:p w14:paraId="25A70F95" w14:textId="77777777" w:rsidR="00F8142E" w:rsidRDefault="00F8142E" w:rsidP="00F8142E">
      <w:pPr>
        <w:spacing w:before="100" w:beforeAutospacing="1" w:after="100" w:afterAutospacing="1"/>
        <w:jc w:val="center"/>
        <w:rPr>
          <w:rFonts w:ascii="Myriad Pro" w:hAnsi="Myriad Pro"/>
          <w:sz w:val="22"/>
          <w:szCs w:val="22"/>
        </w:rPr>
      </w:pPr>
      <w:r w:rsidRPr="00F8142E">
        <w:rPr>
          <w:rFonts w:ascii="Myriad Pro" w:hAnsi="Myriad Pro"/>
          <w:sz w:val="22"/>
          <w:szCs w:val="22"/>
        </w:rPr>
        <w:t>Dustin W. Kincaid</w:t>
      </w:r>
      <w:r w:rsidRPr="00F8142E">
        <w:rPr>
          <w:rFonts w:ascii="Myriad Pro" w:hAnsi="Myriad Pro"/>
          <w:sz w:val="22"/>
          <w:szCs w:val="22"/>
          <w:vertAlign w:val="superscript"/>
        </w:rPr>
        <w:t>1</w:t>
      </w:r>
      <w:r w:rsidRPr="00F8142E">
        <w:rPr>
          <w:rFonts w:ascii="Myriad Pro" w:hAnsi="Myriad Pro"/>
          <w:sz w:val="22"/>
          <w:szCs w:val="22"/>
        </w:rPr>
        <w:t>, Erin C. Seybold</w:t>
      </w:r>
      <w:r w:rsidRPr="00F8142E">
        <w:rPr>
          <w:rFonts w:ascii="Myriad Pro" w:hAnsi="Myriad Pro"/>
          <w:sz w:val="22"/>
          <w:szCs w:val="22"/>
          <w:vertAlign w:val="superscript"/>
        </w:rPr>
        <w:t>1,2</w:t>
      </w:r>
      <w:r w:rsidRPr="00F8142E">
        <w:rPr>
          <w:rFonts w:ascii="Myriad Pro" w:hAnsi="Myriad Pro"/>
          <w:sz w:val="22"/>
          <w:szCs w:val="22"/>
        </w:rPr>
        <w:t>, E. Carol Adair</w:t>
      </w:r>
      <w:r w:rsidRPr="00F8142E">
        <w:rPr>
          <w:rFonts w:ascii="Myriad Pro" w:hAnsi="Myriad Pro"/>
          <w:sz w:val="22"/>
          <w:szCs w:val="22"/>
          <w:vertAlign w:val="superscript"/>
        </w:rPr>
        <w:t>1</w:t>
      </w:r>
      <w:r w:rsidRPr="00F8142E">
        <w:rPr>
          <w:rFonts w:ascii="Myriad Pro" w:hAnsi="Myriad Pro"/>
          <w:sz w:val="22"/>
          <w:szCs w:val="22"/>
        </w:rPr>
        <w:t>, William B. Bowden</w:t>
      </w:r>
      <w:r w:rsidRPr="00F8142E">
        <w:rPr>
          <w:rFonts w:ascii="Myriad Pro" w:hAnsi="Myriad Pro"/>
          <w:sz w:val="22"/>
          <w:szCs w:val="22"/>
          <w:vertAlign w:val="superscript"/>
        </w:rPr>
        <w:t>1</w:t>
      </w:r>
      <w:r w:rsidRPr="00F8142E">
        <w:rPr>
          <w:rFonts w:ascii="Myriad Pro" w:hAnsi="Myriad Pro"/>
          <w:sz w:val="22"/>
          <w:szCs w:val="22"/>
        </w:rPr>
        <w:t>, Julia N. Perdrial</w:t>
      </w:r>
      <w:r w:rsidRPr="00F8142E">
        <w:rPr>
          <w:rFonts w:ascii="Myriad Pro" w:hAnsi="Myriad Pro"/>
          <w:sz w:val="22"/>
          <w:szCs w:val="22"/>
          <w:vertAlign w:val="superscript"/>
        </w:rPr>
        <w:t>1</w:t>
      </w:r>
      <w:r w:rsidRPr="00F8142E">
        <w:rPr>
          <w:rFonts w:ascii="Myriad Pro" w:hAnsi="Myriad Pro"/>
          <w:sz w:val="22"/>
          <w:szCs w:val="22"/>
        </w:rPr>
        <w:t>, Matthew C. H. Vaughan</w:t>
      </w:r>
      <w:r w:rsidRPr="00F8142E">
        <w:rPr>
          <w:rFonts w:ascii="Myriad Pro" w:hAnsi="Myriad Pro"/>
          <w:sz w:val="22"/>
          <w:szCs w:val="22"/>
          <w:vertAlign w:val="superscript"/>
        </w:rPr>
        <w:t>3</w:t>
      </w:r>
      <w:r w:rsidRPr="00F8142E">
        <w:rPr>
          <w:rFonts w:ascii="Myriad Pro" w:hAnsi="Myriad Pro"/>
          <w:sz w:val="22"/>
          <w:szCs w:val="22"/>
        </w:rPr>
        <w:t>, Andrew W. Schroth</w:t>
      </w:r>
      <w:r w:rsidRPr="00F8142E">
        <w:rPr>
          <w:rFonts w:ascii="Myriad Pro" w:hAnsi="Myriad Pro"/>
          <w:sz w:val="22"/>
          <w:szCs w:val="22"/>
          <w:vertAlign w:val="superscript"/>
        </w:rPr>
        <w:t>1</w:t>
      </w:r>
      <w:r w:rsidRPr="00F8142E">
        <w:rPr>
          <w:rFonts w:ascii="Myriad Pro" w:hAnsi="Myriad Pro"/>
          <w:sz w:val="22"/>
          <w:szCs w:val="22"/>
        </w:rPr>
        <w:t xml:space="preserve"> </w:t>
      </w:r>
    </w:p>
    <w:p w14:paraId="59DD3852" w14:textId="040BD164" w:rsidR="00F8142E" w:rsidRPr="00F8142E" w:rsidRDefault="00F8142E" w:rsidP="00F8142E">
      <w:pPr>
        <w:spacing w:before="100" w:beforeAutospacing="1" w:after="100" w:afterAutospacing="1"/>
        <w:jc w:val="center"/>
        <w:rPr>
          <w:rFonts w:ascii="Myriad Pro" w:hAnsi="Myriad Pro"/>
          <w:sz w:val="18"/>
          <w:szCs w:val="18"/>
        </w:rPr>
      </w:pPr>
      <w:r w:rsidRPr="00F8142E">
        <w:rPr>
          <w:rFonts w:ascii="Myriad Pro" w:hAnsi="Myriad Pro"/>
          <w:sz w:val="18"/>
          <w:szCs w:val="18"/>
          <w:vertAlign w:val="superscript"/>
        </w:rPr>
        <w:t>1</w:t>
      </w:r>
      <w:r w:rsidRPr="00F8142E">
        <w:rPr>
          <w:rFonts w:ascii="Myriad Pro" w:hAnsi="Myriad Pro"/>
          <w:sz w:val="18"/>
          <w:szCs w:val="18"/>
        </w:rPr>
        <w:t>University of Vermont, Burlington, VT, USA</w:t>
      </w:r>
    </w:p>
    <w:p w14:paraId="16C67FE7" w14:textId="77777777" w:rsidR="00F8142E" w:rsidRPr="00F8142E" w:rsidRDefault="00F8142E" w:rsidP="00F8142E">
      <w:pPr>
        <w:spacing w:before="100" w:beforeAutospacing="1" w:after="100" w:afterAutospacing="1"/>
        <w:jc w:val="center"/>
        <w:rPr>
          <w:rFonts w:ascii="Myriad Pro" w:hAnsi="Myriad Pro"/>
          <w:sz w:val="18"/>
          <w:szCs w:val="18"/>
        </w:rPr>
      </w:pPr>
      <w:r w:rsidRPr="00F8142E">
        <w:rPr>
          <w:rFonts w:ascii="Myriad Pro" w:hAnsi="Myriad Pro"/>
          <w:sz w:val="18"/>
          <w:szCs w:val="18"/>
          <w:vertAlign w:val="superscript"/>
        </w:rPr>
        <w:t>2</w:t>
      </w:r>
      <w:r w:rsidRPr="00F8142E">
        <w:rPr>
          <w:rFonts w:ascii="Myriad Pro" w:hAnsi="Myriad Pro"/>
          <w:sz w:val="18"/>
          <w:szCs w:val="18"/>
        </w:rPr>
        <w:t>Kansas Geological Survey, University of Kansas, Lawrence, KS, USA</w:t>
      </w:r>
    </w:p>
    <w:p w14:paraId="71891EDF" w14:textId="77CCB3CA" w:rsidR="00094365" w:rsidRPr="00F8142E" w:rsidRDefault="00F8142E" w:rsidP="00F8142E">
      <w:pPr>
        <w:spacing w:before="100" w:beforeAutospacing="1" w:after="100" w:afterAutospacing="1"/>
        <w:jc w:val="center"/>
        <w:rPr>
          <w:rFonts w:ascii="Myriad Pro" w:hAnsi="Myriad Pro"/>
          <w:sz w:val="18"/>
          <w:szCs w:val="18"/>
        </w:rPr>
      </w:pPr>
      <w:r w:rsidRPr="00F8142E">
        <w:rPr>
          <w:rFonts w:ascii="Myriad Pro" w:hAnsi="Myriad Pro"/>
          <w:sz w:val="18"/>
          <w:szCs w:val="18"/>
          <w:vertAlign w:val="superscript"/>
        </w:rPr>
        <w:t>3</w:t>
      </w:r>
      <w:r w:rsidRPr="00F8142E">
        <w:rPr>
          <w:rFonts w:ascii="Myriad Pro" w:hAnsi="Myriad Pro"/>
          <w:sz w:val="18"/>
          <w:szCs w:val="18"/>
        </w:rPr>
        <w:t>Lake Champlain Basin Program, Grand Isle, VT, USA</w:t>
      </w:r>
      <w:r w:rsidR="00A50033" w:rsidRPr="00CE6EAA" w:rsidDel="00A50033">
        <w:rPr>
          <w:rFonts w:ascii="Myriad Pro" w:hAnsi="Myriad Pro"/>
          <w:sz w:val="22"/>
          <w:szCs w:val="22"/>
        </w:rPr>
        <w:t xml:space="preserve"> </w:t>
      </w:r>
    </w:p>
    <w:p w14:paraId="347237BD" w14:textId="77777777" w:rsidR="00094365" w:rsidRPr="00CE6EAA" w:rsidRDefault="00094365" w:rsidP="000B2E64">
      <w:pPr>
        <w:spacing w:before="100" w:beforeAutospacing="1" w:after="100" w:afterAutospacing="1"/>
        <w:jc w:val="cente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10640459" w14:textId="29D07F78" w:rsidR="00111843" w:rsidRPr="00CE6EAA" w:rsidRDefault="00111843" w:rsidP="00111843">
      <w:pPr>
        <w:ind w:left="720"/>
        <w:rPr>
          <w:rFonts w:ascii="Myriad Pro" w:hAnsi="Myriad Pro"/>
          <w:sz w:val="22"/>
          <w:szCs w:val="22"/>
        </w:rPr>
      </w:pPr>
      <w:r w:rsidRPr="00CE6EAA">
        <w:rPr>
          <w:rFonts w:ascii="Myriad Pro" w:hAnsi="Myriad Pro"/>
          <w:sz w:val="22"/>
          <w:szCs w:val="22"/>
        </w:rPr>
        <w:t>Figures S1 to S</w:t>
      </w:r>
      <w:r w:rsidR="001369BB">
        <w:rPr>
          <w:rFonts w:ascii="Myriad Pro" w:hAnsi="Myriad Pro"/>
          <w:sz w:val="22"/>
          <w:szCs w:val="22"/>
        </w:rPr>
        <w:t>3</w:t>
      </w:r>
    </w:p>
    <w:p w14:paraId="5143E3C4" w14:textId="77777777" w:rsidR="00F8142E" w:rsidRDefault="00111843" w:rsidP="00111843">
      <w:pPr>
        <w:ind w:left="720"/>
        <w:rPr>
          <w:rFonts w:ascii="Myriad Pro" w:hAnsi="Myriad Pro"/>
          <w:sz w:val="22"/>
          <w:szCs w:val="22"/>
        </w:rPr>
      </w:pPr>
      <w:r w:rsidRPr="00CE6EAA">
        <w:rPr>
          <w:rFonts w:ascii="Myriad Pro" w:hAnsi="Myriad Pro"/>
          <w:sz w:val="22"/>
          <w:szCs w:val="22"/>
        </w:rPr>
        <w:t>Tables S1 to S</w:t>
      </w:r>
      <w:r w:rsidR="00F8142E">
        <w:rPr>
          <w:rFonts w:ascii="Myriad Pro" w:hAnsi="Myriad Pro"/>
          <w:sz w:val="22"/>
          <w:szCs w:val="22"/>
        </w:rPr>
        <w:t>4</w:t>
      </w:r>
    </w:p>
    <w:p w14:paraId="795CD27E" w14:textId="77777777" w:rsidR="00111843" w:rsidRDefault="00111843" w:rsidP="00FF3503">
      <w:pPr>
        <w:spacing w:before="100" w:beforeAutospacing="1" w:after="100" w:afterAutospacing="1"/>
        <w:rPr>
          <w:rFonts w:ascii="Myriad Pro" w:hAnsi="Myriad Pro"/>
          <w:b/>
          <w:bCs/>
          <w:szCs w:val="24"/>
        </w:rPr>
      </w:pPr>
    </w:p>
    <w:p w14:paraId="79042C92" w14:textId="77777777" w:rsidR="00FF3503" w:rsidRPr="00CE6EAA" w:rsidRDefault="00FF3503" w:rsidP="00FF3503">
      <w:pPr>
        <w:spacing w:before="100" w:beforeAutospacing="1" w:after="100" w:afterAutospacing="1"/>
        <w:rPr>
          <w:rFonts w:ascii="Myriad Pro" w:hAnsi="Myriad Pro"/>
          <w:b/>
          <w:szCs w:val="24"/>
        </w:rPr>
      </w:pPr>
      <w:r w:rsidRPr="00CE6EAA">
        <w:rPr>
          <w:rFonts w:ascii="Myriad Pro" w:hAnsi="Myriad Pro"/>
          <w:b/>
          <w:bCs/>
          <w:szCs w:val="24"/>
        </w:rPr>
        <w:t>Introduction</w:t>
      </w:r>
      <w:r w:rsidRPr="00CE6EAA">
        <w:rPr>
          <w:rFonts w:ascii="Myriad Pro" w:hAnsi="Myriad Pro"/>
          <w:b/>
          <w:szCs w:val="24"/>
        </w:rPr>
        <w:t xml:space="preserve"> </w:t>
      </w:r>
    </w:p>
    <w:p w14:paraId="19886F0B" w14:textId="29E8B350" w:rsidR="002C030F" w:rsidRPr="00F202A4" w:rsidRDefault="0072368F" w:rsidP="00F202A4">
      <w:pPr>
        <w:spacing w:before="100" w:beforeAutospacing="1" w:after="100" w:afterAutospacing="1"/>
        <w:rPr>
          <w:rFonts w:ascii="Myriad Pro" w:hAnsi="Myriad Pro"/>
          <w:sz w:val="22"/>
          <w:szCs w:val="22"/>
        </w:rPr>
      </w:pPr>
      <w:r>
        <w:rPr>
          <w:rFonts w:ascii="Myriad Pro" w:hAnsi="Myriad Pro"/>
          <w:sz w:val="22"/>
          <w:szCs w:val="22"/>
        </w:rPr>
        <w:t>Here we provide supplementary figures</w:t>
      </w:r>
      <w:r w:rsidR="00051E98">
        <w:rPr>
          <w:rFonts w:ascii="Myriad Pro" w:hAnsi="Myriad Pro"/>
          <w:sz w:val="22"/>
          <w:szCs w:val="22"/>
        </w:rPr>
        <w:t xml:space="preserve"> and </w:t>
      </w:r>
      <w:r>
        <w:rPr>
          <w:rFonts w:ascii="Myriad Pro" w:hAnsi="Myriad Pro"/>
          <w:sz w:val="22"/>
          <w:szCs w:val="22"/>
        </w:rPr>
        <w:t>tables. Figures provide (1) an e</w:t>
      </w:r>
      <w:r w:rsidRPr="0072368F">
        <w:rPr>
          <w:rFonts w:ascii="Myriad Pro" w:hAnsi="Myriad Pro"/>
          <w:bCs/>
          <w:sz w:val="22"/>
          <w:szCs w:val="22"/>
        </w:rPr>
        <w:t xml:space="preserve">xample of unsmoothed and smoothed predicted soluble reactive </w:t>
      </w:r>
      <w:r>
        <w:rPr>
          <w:rFonts w:ascii="Myriad Pro" w:hAnsi="Myriad Pro"/>
          <w:bCs/>
          <w:sz w:val="22"/>
          <w:szCs w:val="22"/>
        </w:rPr>
        <w:t>phosphorus (SRP)</w:t>
      </w:r>
      <w:r w:rsidRPr="0072368F">
        <w:rPr>
          <w:rFonts w:ascii="Myriad Pro" w:hAnsi="Myriad Pro"/>
          <w:bCs/>
          <w:sz w:val="22"/>
          <w:szCs w:val="22"/>
        </w:rPr>
        <w:t xml:space="preserve"> time series at all three</w:t>
      </w:r>
      <w:r>
        <w:rPr>
          <w:rFonts w:ascii="Myriad Pro" w:hAnsi="Myriad Pro"/>
          <w:bCs/>
          <w:sz w:val="22"/>
          <w:szCs w:val="22"/>
        </w:rPr>
        <w:t xml:space="preserve"> study</w:t>
      </w:r>
      <w:r w:rsidRPr="0072368F">
        <w:rPr>
          <w:rFonts w:ascii="Myriad Pro" w:hAnsi="Myriad Pro"/>
          <w:bCs/>
          <w:sz w:val="22"/>
          <w:szCs w:val="22"/>
        </w:rPr>
        <w:t xml:space="preserve"> sites</w:t>
      </w:r>
      <w:r>
        <w:rPr>
          <w:rFonts w:ascii="Myriad Pro" w:hAnsi="Myriad Pro"/>
          <w:bCs/>
          <w:sz w:val="22"/>
          <w:szCs w:val="22"/>
        </w:rPr>
        <w:t>,</w:t>
      </w:r>
      <w:r w:rsidR="001369BB">
        <w:rPr>
          <w:rFonts w:ascii="Myriad Pro" w:hAnsi="Myriad Pro"/>
          <w:bCs/>
          <w:sz w:val="22"/>
          <w:szCs w:val="22"/>
        </w:rPr>
        <w:t xml:space="preserve"> (2) site-specific examples of event time series for discharge and nitrate (</w:t>
      </w:r>
      <w:r w:rsidR="001369BB" w:rsidRPr="001369BB">
        <w:rPr>
          <w:rFonts w:ascii="Myriad Pro" w:hAnsi="Myriad Pro"/>
          <w:bCs/>
          <w:sz w:val="22"/>
          <w:szCs w:val="22"/>
        </w:rPr>
        <w:t>NO</w:t>
      </w:r>
      <w:r w:rsidR="001369BB" w:rsidRPr="001369BB">
        <w:rPr>
          <w:rFonts w:ascii="Myriad Pro" w:hAnsi="Myriad Pro"/>
          <w:bCs/>
          <w:sz w:val="22"/>
          <w:szCs w:val="22"/>
          <w:vertAlign w:val="subscript"/>
        </w:rPr>
        <w:t>3</w:t>
      </w:r>
      <w:r w:rsidR="001369BB" w:rsidRPr="001369BB">
        <w:rPr>
          <w:rFonts w:ascii="Myriad Pro" w:hAnsi="Myriad Pro"/>
          <w:bCs/>
          <w:sz w:val="22"/>
          <w:szCs w:val="22"/>
          <w:vertAlign w:val="superscript"/>
        </w:rPr>
        <w:t>-</w:t>
      </w:r>
      <w:r w:rsidR="001369BB">
        <w:rPr>
          <w:rFonts w:ascii="Myriad Pro" w:hAnsi="Myriad Pro"/>
          <w:bCs/>
          <w:sz w:val="22"/>
          <w:szCs w:val="22"/>
        </w:rPr>
        <w:t>)</w:t>
      </w:r>
      <w:r>
        <w:rPr>
          <w:rFonts w:ascii="Myriad Pro" w:hAnsi="Myriad Pro"/>
          <w:bCs/>
          <w:sz w:val="22"/>
          <w:szCs w:val="22"/>
        </w:rPr>
        <w:t xml:space="preserve"> </w:t>
      </w:r>
      <w:r w:rsidR="001369BB">
        <w:rPr>
          <w:rFonts w:ascii="Myriad Pro" w:hAnsi="Myriad Pro"/>
          <w:bCs/>
          <w:sz w:val="22"/>
          <w:szCs w:val="22"/>
        </w:rPr>
        <w:t xml:space="preserve">and SRP concentrations, </w:t>
      </w:r>
      <w:r>
        <w:rPr>
          <w:rFonts w:ascii="Myriad Pro" w:hAnsi="Myriad Pro"/>
          <w:bCs/>
          <w:sz w:val="22"/>
          <w:szCs w:val="22"/>
        </w:rPr>
        <w:t>and (</w:t>
      </w:r>
      <w:r w:rsidR="001369BB">
        <w:rPr>
          <w:rFonts w:ascii="Myriad Pro" w:hAnsi="Myriad Pro"/>
          <w:bCs/>
          <w:sz w:val="22"/>
          <w:szCs w:val="22"/>
        </w:rPr>
        <w:t>3</w:t>
      </w:r>
      <w:r>
        <w:rPr>
          <w:rFonts w:ascii="Myriad Pro" w:hAnsi="Myriad Pro"/>
          <w:bCs/>
          <w:sz w:val="22"/>
          <w:szCs w:val="22"/>
        </w:rPr>
        <w:t>) an alternate figure for Figure 6 depicting data colored by season instead of site</w:t>
      </w:r>
      <w:r w:rsidRPr="0072368F">
        <w:rPr>
          <w:rFonts w:ascii="Myriad Pro" w:hAnsi="Myriad Pro"/>
          <w:bCs/>
          <w:sz w:val="22"/>
          <w:szCs w:val="22"/>
        </w:rPr>
        <w:t>.</w:t>
      </w:r>
      <w:r>
        <w:rPr>
          <w:rFonts w:ascii="Myriad Pro" w:hAnsi="Myriad Pro"/>
          <w:bCs/>
          <w:sz w:val="22"/>
          <w:szCs w:val="22"/>
        </w:rPr>
        <w:t xml:space="preserve"> Tables provide (1) model details and statistics for partial least squares regression models used to predict </w:t>
      </w:r>
      <w:r w:rsidRPr="0072368F">
        <w:rPr>
          <w:rFonts w:ascii="Myriad Pro" w:hAnsi="Myriad Pro"/>
          <w:bCs/>
          <w:sz w:val="22"/>
          <w:szCs w:val="22"/>
        </w:rPr>
        <w:t>NO</w:t>
      </w:r>
      <w:r w:rsidRPr="0072368F">
        <w:rPr>
          <w:rFonts w:ascii="Myriad Pro" w:hAnsi="Myriad Pro"/>
          <w:bCs/>
          <w:sz w:val="22"/>
          <w:szCs w:val="22"/>
          <w:vertAlign w:val="subscript"/>
        </w:rPr>
        <w:t>3</w:t>
      </w:r>
      <w:r w:rsidRPr="0072368F">
        <w:rPr>
          <w:rFonts w:ascii="Myriad Pro" w:hAnsi="Myriad Pro"/>
          <w:bCs/>
          <w:sz w:val="22"/>
          <w:szCs w:val="22"/>
          <w:vertAlign w:val="superscript"/>
        </w:rPr>
        <w:t>-</w:t>
      </w:r>
      <w:r>
        <w:rPr>
          <w:rFonts w:ascii="Myriad Pro" w:hAnsi="Myriad Pro"/>
          <w:bCs/>
          <w:sz w:val="22"/>
          <w:szCs w:val="22"/>
        </w:rPr>
        <w:t xml:space="preserve"> and SRP time series from absorbance spectral data, (2) p</w:t>
      </w:r>
      <w:r w:rsidRPr="0072368F">
        <w:rPr>
          <w:rFonts w:ascii="Myriad Pro" w:hAnsi="Myriad Pro"/>
          <w:bCs/>
          <w:sz w:val="22"/>
          <w:szCs w:val="22"/>
        </w:rPr>
        <w:t xml:space="preserve">arameter values used in the </w:t>
      </w:r>
      <w:proofErr w:type="spellStart"/>
      <w:r w:rsidRPr="0072368F">
        <w:rPr>
          <w:rFonts w:ascii="Myriad Pro" w:hAnsi="Myriad Pro"/>
          <w:bCs/>
          <w:sz w:val="22"/>
          <w:szCs w:val="22"/>
        </w:rPr>
        <w:t>HydRun</w:t>
      </w:r>
      <w:proofErr w:type="spellEnd"/>
      <w:r w:rsidRPr="0072368F">
        <w:rPr>
          <w:rFonts w:ascii="Myriad Pro" w:hAnsi="Myriad Pro"/>
          <w:bCs/>
          <w:sz w:val="22"/>
          <w:szCs w:val="22"/>
        </w:rPr>
        <w:t xml:space="preserve"> package to optimize event delineations</w:t>
      </w:r>
      <w:r>
        <w:rPr>
          <w:rFonts w:ascii="Myriad Pro" w:hAnsi="Myriad Pro"/>
          <w:bCs/>
          <w:sz w:val="22"/>
          <w:szCs w:val="22"/>
        </w:rPr>
        <w:t>, and (3) s</w:t>
      </w:r>
      <w:r w:rsidRPr="0072368F">
        <w:rPr>
          <w:rFonts w:ascii="Myriad Pro" w:hAnsi="Myriad Pro"/>
          <w:bCs/>
          <w:sz w:val="22"/>
          <w:szCs w:val="22"/>
        </w:rPr>
        <w:t>ummary of least square linear regressions between event NO</w:t>
      </w:r>
      <w:r w:rsidRPr="0072368F">
        <w:rPr>
          <w:rFonts w:ascii="Myriad Pro" w:hAnsi="Myriad Pro"/>
          <w:bCs/>
          <w:sz w:val="22"/>
          <w:szCs w:val="22"/>
          <w:vertAlign w:val="subscript"/>
        </w:rPr>
        <w:t>3</w:t>
      </w:r>
      <w:r w:rsidRPr="0072368F">
        <w:rPr>
          <w:rFonts w:ascii="Myriad Pro" w:hAnsi="Myriad Pro"/>
          <w:bCs/>
          <w:sz w:val="22"/>
          <w:szCs w:val="22"/>
          <w:vertAlign w:val="superscript"/>
        </w:rPr>
        <w:t>-</w:t>
      </w:r>
      <w:r w:rsidRPr="0072368F">
        <w:rPr>
          <w:rFonts w:ascii="Myriad Pro" w:hAnsi="Myriad Pro"/>
          <w:bCs/>
          <w:sz w:val="22"/>
          <w:szCs w:val="22"/>
        </w:rPr>
        <w:t xml:space="preserve"> or </w:t>
      </w:r>
      <w:r>
        <w:rPr>
          <w:rFonts w:ascii="Myriad Pro" w:hAnsi="Myriad Pro"/>
          <w:bCs/>
          <w:sz w:val="22"/>
          <w:szCs w:val="22"/>
        </w:rPr>
        <w:t>SR</w:t>
      </w:r>
      <w:r w:rsidRPr="0072368F">
        <w:rPr>
          <w:rFonts w:ascii="Myriad Pro" w:hAnsi="Myriad Pro"/>
          <w:bCs/>
          <w:sz w:val="22"/>
          <w:szCs w:val="22"/>
        </w:rPr>
        <w:t>P and water yield</w:t>
      </w:r>
      <w:r>
        <w:rPr>
          <w:rFonts w:ascii="Myriad Pro" w:hAnsi="Myriad Pro"/>
          <w:bCs/>
          <w:sz w:val="22"/>
          <w:szCs w:val="22"/>
        </w:rPr>
        <w:t xml:space="preserve"> </w:t>
      </w:r>
      <w:r w:rsidRPr="0072368F">
        <w:rPr>
          <w:rFonts w:ascii="Myriad Pro" w:hAnsi="Myriad Pro"/>
          <w:bCs/>
          <w:sz w:val="22"/>
          <w:szCs w:val="22"/>
        </w:rPr>
        <w:t>as shown in Figure 4</w:t>
      </w:r>
      <w:r>
        <w:rPr>
          <w:rFonts w:ascii="Myriad Pro" w:hAnsi="Myriad Pro"/>
          <w:b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F8142E" w14:paraId="695D623C" w14:textId="77777777" w:rsidTr="00F202A4">
        <w:tc>
          <w:tcPr>
            <w:tcW w:w="8640" w:type="dxa"/>
          </w:tcPr>
          <w:p w14:paraId="6286D319" w14:textId="57F43EF3" w:rsidR="00F8142E" w:rsidRDefault="00F8142E" w:rsidP="009A5287">
            <w:pPr>
              <w:pStyle w:val="SMcaption"/>
              <w:rPr>
                <w:rFonts w:ascii="Myriad Pro" w:hAnsi="Myriad Pro"/>
              </w:rPr>
            </w:pPr>
            <w:r>
              <w:rPr>
                <w:noProof/>
              </w:rPr>
              <w:lastRenderedPageBreak/>
              <w:drawing>
                <wp:inline distT="0" distB="0" distL="0" distR="0" wp14:anchorId="501FE5FD" wp14:editId="3D2E126D">
                  <wp:extent cx="5462477" cy="2913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Plot1_unsmoothedVSsmoothed_Pdata.png"/>
                          <pic:cNvPicPr/>
                        </pic:nvPicPr>
                        <pic:blipFill>
                          <a:blip r:embed="rId8">
                            <a:extLst>
                              <a:ext uri="{28A0092B-C50C-407E-A947-70E740481C1C}">
                                <a14:useLocalDpi xmlns:a14="http://schemas.microsoft.com/office/drawing/2010/main" val="0"/>
                              </a:ext>
                            </a:extLst>
                          </a:blip>
                          <a:stretch>
                            <a:fillRect/>
                          </a:stretch>
                        </pic:blipFill>
                        <pic:spPr>
                          <a:xfrm>
                            <a:off x="0" y="0"/>
                            <a:ext cx="5490474" cy="2928253"/>
                          </a:xfrm>
                          <a:prstGeom prst="rect">
                            <a:avLst/>
                          </a:prstGeom>
                        </pic:spPr>
                      </pic:pic>
                    </a:graphicData>
                  </a:graphic>
                </wp:inline>
              </w:drawing>
            </w:r>
          </w:p>
        </w:tc>
      </w:tr>
      <w:tr w:rsidR="00F8142E" w14:paraId="7F4A6B17" w14:textId="77777777" w:rsidTr="00F202A4">
        <w:tc>
          <w:tcPr>
            <w:tcW w:w="8640" w:type="dxa"/>
          </w:tcPr>
          <w:p w14:paraId="3E8E972D" w14:textId="08FF9CC3" w:rsidR="00F8142E" w:rsidRDefault="00F8142E" w:rsidP="009A5287">
            <w:pPr>
              <w:pStyle w:val="SMcaption"/>
              <w:rPr>
                <w:rFonts w:ascii="Myriad Pro" w:hAnsi="Myriad Pro"/>
              </w:rPr>
            </w:pPr>
            <w:r w:rsidRPr="00F8142E">
              <w:rPr>
                <w:rFonts w:ascii="Myriad Pro" w:hAnsi="Myriad Pro"/>
                <w:b/>
                <w:kern w:val="32"/>
                <w:sz w:val="22"/>
                <w:szCs w:val="22"/>
              </w:rPr>
              <w:t>Figure S1.</w:t>
            </w:r>
            <w:r w:rsidRPr="00F8142E">
              <w:rPr>
                <w:rFonts w:ascii="Myriad Pro" w:hAnsi="Myriad Pro"/>
                <w:bCs/>
                <w:kern w:val="32"/>
                <w:sz w:val="22"/>
                <w:szCs w:val="22"/>
              </w:rPr>
              <w:t xml:space="preserve"> Example of unsmoothed and smoothed predicted soluble reactive P time series at all three sites. Unsmoothed concentrations were predicted from absorbance spectra using calibration models developed with the partial least </w:t>
            </w:r>
            <w:proofErr w:type="gramStart"/>
            <w:r w:rsidRPr="00F8142E">
              <w:rPr>
                <w:rFonts w:ascii="Myriad Pro" w:hAnsi="Myriad Pro"/>
                <w:bCs/>
                <w:kern w:val="32"/>
                <w:sz w:val="22"/>
                <w:szCs w:val="22"/>
              </w:rPr>
              <w:t>squares</w:t>
            </w:r>
            <w:proofErr w:type="gramEnd"/>
            <w:r w:rsidRPr="00F8142E">
              <w:rPr>
                <w:rFonts w:ascii="Myriad Pro" w:hAnsi="Myriad Pro"/>
                <w:bCs/>
                <w:kern w:val="32"/>
                <w:sz w:val="22"/>
                <w:szCs w:val="22"/>
              </w:rPr>
              <w:t xml:space="preserve"> regression method. Smoothed data were produced by using a simple moving average of the unsmoothed data with a rolling window of 2.25 hrs to better capture patterns in hysteresis loops.</w:t>
            </w:r>
          </w:p>
        </w:tc>
      </w:tr>
    </w:tbl>
    <w:p w14:paraId="32CE9E2D" w14:textId="660B0D61" w:rsidR="003E1980" w:rsidRDefault="003E1980" w:rsidP="009A5287">
      <w:pPr>
        <w:pStyle w:val="SMcaption"/>
        <w:rPr>
          <w:rFonts w:ascii="Myriad Pro" w:hAnsi="Myriad Pro"/>
        </w:rPr>
      </w:pPr>
    </w:p>
    <w:p w14:paraId="3813BDC6" w14:textId="77777777" w:rsidR="00F8142E" w:rsidRDefault="00F8142E" w:rsidP="009A5287">
      <w:pPr>
        <w:pStyle w:val="SMcaption"/>
        <w:rPr>
          <w:rFonts w:ascii="Myriad Pro" w:hAnsi="Myriad Pro"/>
        </w:rPr>
        <w:sectPr w:rsidR="00F8142E" w:rsidSect="00051E98">
          <w:headerReference w:type="default" r:id="rId9"/>
          <w:footerReference w:type="default" r:id="rId10"/>
          <w:pgSz w:w="12240" w:h="15840"/>
          <w:pgMar w:top="1440" w:right="1800" w:bottom="1440" w:left="180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1369BB" w14:paraId="446E018B" w14:textId="77777777" w:rsidTr="00051E98">
        <w:trPr>
          <w:trHeight w:val="11150"/>
        </w:trPr>
        <w:tc>
          <w:tcPr>
            <w:tcW w:w="8630" w:type="dxa"/>
          </w:tcPr>
          <w:p w14:paraId="6BB97297" w14:textId="534830F6" w:rsidR="001369BB" w:rsidRDefault="001369BB" w:rsidP="009A5287">
            <w:pPr>
              <w:pStyle w:val="SMcaption"/>
              <w:rPr>
                <w:rFonts w:ascii="Myriad Pro" w:hAnsi="Myriad Pro"/>
              </w:rPr>
            </w:pPr>
            <w:r>
              <w:rPr>
                <w:rFonts w:ascii="Myriad Pro" w:hAnsi="Myriad Pro"/>
                <w:noProof/>
              </w:rPr>
              <w:lastRenderedPageBreak/>
              <w:drawing>
                <wp:inline distT="0" distB="0" distL="0" distR="0" wp14:anchorId="138B40E9" wp14:editId="2CAF299E">
                  <wp:extent cx="4600354" cy="6900530"/>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_exampleEv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5470" cy="6908205"/>
                          </a:xfrm>
                          <a:prstGeom prst="rect">
                            <a:avLst/>
                          </a:prstGeom>
                        </pic:spPr>
                      </pic:pic>
                    </a:graphicData>
                  </a:graphic>
                </wp:inline>
              </w:drawing>
            </w:r>
          </w:p>
        </w:tc>
      </w:tr>
      <w:tr w:rsidR="001369BB" w14:paraId="24A7C68A" w14:textId="77777777" w:rsidTr="00051E98">
        <w:tc>
          <w:tcPr>
            <w:tcW w:w="8630" w:type="dxa"/>
          </w:tcPr>
          <w:p w14:paraId="4B3E008C" w14:textId="0BBC0B58" w:rsidR="001369BB" w:rsidRDefault="001369BB" w:rsidP="009A5287">
            <w:pPr>
              <w:pStyle w:val="SMcaption"/>
              <w:rPr>
                <w:rFonts w:ascii="Myriad Pro" w:hAnsi="Myriad Pro"/>
              </w:rPr>
            </w:pPr>
            <w:r w:rsidRPr="00F8142E">
              <w:rPr>
                <w:rFonts w:ascii="Myriad Pro" w:hAnsi="Myriad Pro"/>
                <w:b/>
                <w:kern w:val="32"/>
                <w:sz w:val="22"/>
                <w:szCs w:val="22"/>
              </w:rPr>
              <w:t>Figure S</w:t>
            </w:r>
            <w:r>
              <w:rPr>
                <w:rFonts w:ascii="Myriad Pro" w:hAnsi="Myriad Pro"/>
                <w:b/>
                <w:kern w:val="32"/>
                <w:sz w:val="22"/>
                <w:szCs w:val="22"/>
              </w:rPr>
              <w:t>2</w:t>
            </w:r>
            <w:r w:rsidRPr="00F8142E">
              <w:rPr>
                <w:rFonts w:ascii="Myriad Pro" w:hAnsi="Myriad Pro"/>
                <w:b/>
                <w:kern w:val="32"/>
                <w:sz w:val="22"/>
                <w:szCs w:val="22"/>
              </w:rPr>
              <w:t>.</w:t>
            </w:r>
            <w:r w:rsidRPr="00F8142E">
              <w:rPr>
                <w:rFonts w:ascii="Myriad Pro" w:hAnsi="Myriad Pro"/>
                <w:bCs/>
                <w:kern w:val="32"/>
                <w:sz w:val="22"/>
                <w:szCs w:val="22"/>
              </w:rPr>
              <w:t xml:space="preserve"> Example</w:t>
            </w:r>
            <w:r>
              <w:rPr>
                <w:rFonts w:ascii="Myriad Pro" w:hAnsi="Myriad Pro"/>
                <w:bCs/>
                <w:kern w:val="32"/>
                <w:sz w:val="22"/>
                <w:szCs w:val="22"/>
              </w:rPr>
              <w:t>s of event time series of discharge (Q), nitrate (NO3), and soluble reactive phosphorus (SRP) for the agricultural (a), urban (b), and forested (c) sites. Each time series is an example of the dominant hysteretic behavior for nitrate (positive hysteresis index and negative flushing index) and SRP (negative hysteresis index and positive flushing index) as shown in Figure 3.</w:t>
            </w:r>
          </w:p>
        </w:tc>
      </w:tr>
    </w:tbl>
    <w:p w14:paraId="48BF815F" w14:textId="4D679209" w:rsidR="00F8142E" w:rsidRDefault="00F8142E" w:rsidP="009A5287">
      <w:pPr>
        <w:pStyle w:val="SMcaption"/>
        <w:rPr>
          <w:rFonts w:ascii="Myriad Pro" w:hAnsi="Myriad Pro"/>
        </w:rPr>
      </w:pPr>
    </w:p>
    <w:p w14:paraId="242D8A3E" w14:textId="77777777" w:rsidR="001369BB" w:rsidRDefault="001369BB" w:rsidP="009A5287">
      <w:pPr>
        <w:pStyle w:val="SMcaption"/>
        <w:rPr>
          <w:rFonts w:ascii="Myriad Pro" w:hAnsi="Myriad Pro"/>
        </w:rPr>
        <w:sectPr w:rsidR="001369BB" w:rsidSect="00051E98">
          <w:pgSz w:w="12240" w:h="15840"/>
          <w:pgMar w:top="1440" w:right="1800" w:bottom="1440" w:left="1800" w:header="720" w:footer="720" w:gutter="0"/>
          <w:cols w:space="720"/>
          <w:docGrid w:linePitch="360"/>
        </w:sectPr>
      </w:pPr>
    </w:p>
    <w:p w14:paraId="499C8D77" w14:textId="77777777" w:rsidR="001369BB" w:rsidRDefault="001369BB" w:rsidP="009A5287">
      <w:pPr>
        <w:pStyle w:val="SMcaption"/>
        <w:rPr>
          <w:rFonts w:ascii="Myriad Pro" w:hAnsi="Myriad P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F8142E" w14:paraId="30CA80A4" w14:textId="77777777" w:rsidTr="00F8142E">
        <w:tc>
          <w:tcPr>
            <w:tcW w:w="8630" w:type="dxa"/>
          </w:tcPr>
          <w:p w14:paraId="365332A4" w14:textId="0371AF9B" w:rsidR="00F8142E" w:rsidRDefault="00F8142E" w:rsidP="00F8142E">
            <w:pPr>
              <w:pStyle w:val="SMcaption"/>
              <w:jc w:val="center"/>
              <w:rPr>
                <w:rFonts w:ascii="Myriad Pro" w:hAnsi="Myriad Pro"/>
              </w:rPr>
            </w:pPr>
            <w:r>
              <w:rPr>
                <w:noProof/>
                <w:sz w:val="20"/>
              </w:rPr>
              <w:drawing>
                <wp:inline distT="0" distB="0" distL="0" distR="0" wp14:anchorId="3B6A741F" wp14:editId="7DF5A68B">
                  <wp:extent cx="3195145" cy="319514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5_NPexport_vs_wateryield_bySea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5438" cy="3205438"/>
                          </a:xfrm>
                          <a:prstGeom prst="rect">
                            <a:avLst/>
                          </a:prstGeom>
                        </pic:spPr>
                      </pic:pic>
                    </a:graphicData>
                  </a:graphic>
                </wp:inline>
              </w:drawing>
            </w:r>
          </w:p>
        </w:tc>
      </w:tr>
      <w:tr w:rsidR="00F8142E" w14:paraId="52E6B020" w14:textId="77777777" w:rsidTr="00F8142E">
        <w:tc>
          <w:tcPr>
            <w:tcW w:w="8630" w:type="dxa"/>
          </w:tcPr>
          <w:p w14:paraId="63B5DCDB" w14:textId="102024DB" w:rsidR="00D1714C" w:rsidRPr="00D1714C" w:rsidRDefault="00F8142E" w:rsidP="00F8142E">
            <w:pPr>
              <w:rPr>
                <w:rFonts w:ascii="Myriad Pro" w:hAnsi="Myriad Pro"/>
                <w:bCs/>
                <w:kern w:val="32"/>
                <w:sz w:val="22"/>
                <w:szCs w:val="22"/>
              </w:rPr>
            </w:pPr>
            <w:r w:rsidRPr="00F8142E">
              <w:rPr>
                <w:rFonts w:ascii="Myriad Pro" w:hAnsi="Myriad Pro"/>
                <w:b/>
                <w:kern w:val="32"/>
                <w:sz w:val="22"/>
                <w:szCs w:val="22"/>
              </w:rPr>
              <w:t>Figure S</w:t>
            </w:r>
            <w:r w:rsidR="001369BB">
              <w:rPr>
                <w:rFonts w:ascii="Myriad Pro" w:hAnsi="Myriad Pro"/>
                <w:b/>
                <w:kern w:val="32"/>
                <w:sz w:val="22"/>
                <w:szCs w:val="22"/>
              </w:rPr>
              <w:t>3</w:t>
            </w:r>
            <w:r w:rsidRPr="00F8142E">
              <w:rPr>
                <w:rFonts w:ascii="Myriad Pro" w:hAnsi="Myriad Pro"/>
                <w:b/>
                <w:kern w:val="32"/>
                <w:sz w:val="22"/>
                <w:szCs w:val="22"/>
              </w:rPr>
              <w:t>.</w:t>
            </w:r>
            <w:r w:rsidRPr="00F8142E">
              <w:rPr>
                <w:rFonts w:ascii="Myriad Pro" w:hAnsi="Myriad Pro"/>
                <w:bCs/>
                <w:kern w:val="32"/>
                <w:sz w:val="22"/>
                <w:szCs w:val="22"/>
              </w:rPr>
              <w:t xml:space="preserve"> Molar ratio of nitrate (NO</w:t>
            </w:r>
            <w:r w:rsidRPr="0064322B">
              <w:rPr>
                <w:rFonts w:ascii="Myriad Pro" w:hAnsi="Myriad Pro"/>
                <w:bCs/>
                <w:kern w:val="32"/>
                <w:sz w:val="22"/>
                <w:szCs w:val="22"/>
                <w:vertAlign w:val="subscript"/>
              </w:rPr>
              <w:t>3</w:t>
            </w:r>
            <w:r w:rsidRPr="0064322B">
              <w:rPr>
                <w:rFonts w:ascii="Myriad Pro" w:hAnsi="Myriad Pro"/>
                <w:bCs/>
                <w:kern w:val="32"/>
                <w:sz w:val="22"/>
                <w:szCs w:val="22"/>
                <w:vertAlign w:val="superscript"/>
              </w:rPr>
              <w:t>-</w:t>
            </w:r>
            <w:r w:rsidRPr="00F8142E">
              <w:rPr>
                <w:rFonts w:ascii="Myriad Pro" w:hAnsi="Myriad Pro"/>
                <w:bCs/>
                <w:kern w:val="32"/>
                <w:sz w:val="22"/>
                <w:szCs w:val="22"/>
              </w:rPr>
              <w:t>) to soluble reactive P (SRP) yield for each storm. The dashed horizontal line shows the 16:1 molar N:P ratio. Not shown are 8 outliers with ratios from 1517 to 27,105 between 0.11 and 3.03 mm event water yield.</w:t>
            </w:r>
          </w:p>
        </w:tc>
      </w:tr>
    </w:tbl>
    <w:p w14:paraId="5CA3B3D2" w14:textId="77777777" w:rsidR="00F8142E" w:rsidRPr="00CE6EAA" w:rsidRDefault="00F8142E" w:rsidP="009A5287">
      <w:pPr>
        <w:pStyle w:val="SMcaption"/>
        <w:rPr>
          <w:rFonts w:ascii="Myriad Pro" w:hAnsi="Myriad Pro"/>
        </w:rPr>
      </w:pPr>
    </w:p>
    <w:p w14:paraId="7FE24D40" w14:textId="77777777" w:rsidR="00D1714C" w:rsidRDefault="00D1714C" w:rsidP="009A5287">
      <w:pPr>
        <w:pStyle w:val="SMcaption"/>
        <w:rPr>
          <w:rFonts w:ascii="Myriad Pro" w:hAnsi="Myriad Pro"/>
          <w:sz w:val="22"/>
          <w:szCs w:val="22"/>
        </w:rPr>
        <w:sectPr w:rsidR="00D1714C" w:rsidSect="00051E98">
          <w:pgSz w:w="12240" w:h="15840"/>
          <w:pgMar w:top="1440" w:right="1800" w:bottom="1440" w:left="1800" w:header="720" w:footer="720" w:gutter="0"/>
          <w:cols w:space="720"/>
          <w:docGrid w:linePitch="360"/>
        </w:sectPr>
      </w:pPr>
    </w:p>
    <w:tbl>
      <w:tblPr>
        <w:tblStyle w:val="TableGrid"/>
        <w:tblW w:w="8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
        <w:gridCol w:w="1417"/>
        <w:gridCol w:w="1472"/>
        <w:gridCol w:w="230"/>
        <w:gridCol w:w="1350"/>
        <w:gridCol w:w="1313"/>
        <w:gridCol w:w="1146"/>
        <w:gridCol w:w="633"/>
        <w:gridCol w:w="52"/>
      </w:tblGrid>
      <w:tr w:rsidR="00D1714C" w:rsidRPr="00BE473B" w14:paraId="4BD55C56" w14:textId="77777777" w:rsidTr="00D1714C">
        <w:tc>
          <w:tcPr>
            <w:tcW w:w="899" w:type="dxa"/>
            <w:tcBorders>
              <w:top w:val="single" w:sz="4" w:space="0" w:color="auto"/>
            </w:tcBorders>
          </w:tcPr>
          <w:p w14:paraId="470F9FFB" w14:textId="77777777" w:rsidR="00D1714C" w:rsidRPr="00BE473B" w:rsidRDefault="00D1714C" w:rsidP="00BC5D2C">
            <w:pPr>
              <w:pStyle w:val="NormalWeb"/>
              <w:rPr>
                <w:b/>
                <w:bCs/>
                <w:sz w:val="20"/>
                <w:szCs w:val="20"/>
              </w:rPr>
            </w:pPr>
          </w:p>
        </w:tc>
        <w:tc>
          <w:tcPr>
            <w:tcW w:w="2889" w:type="dxa"/>
            <w:gridSpan w:val="2"/>
            <w:tcBorders>
              <w:top w:val="single" w:sz="4" w:space="0" w:color="auto"/>
              <w:bottom w:val="single" w:sz="4" w:space="0" w:color="auto"/>
            </w:tcBorders>
          </w:tcPr>
          <w:p w14:paraId="3D794556" w14:textId="77777777" w:rsidR="00D1714C" w:rsidRPr="00BE473B" w:rsidRDefault="00D1714C" w:rsidP="00BC5D2C">
            <w:pPr>
              <w:pStyle w:val="NormalWeb"/>
              <w:jc w:val="center"/>
              <w:rPr>
                <w:b/>
                <w:bCs/>
                <w:sz w:val="20"/>
                <w:szCs w:val="20"/>
              </w:rPr>
            </w:pPr>
            <w:r>
              <w:rPr>
                <w:b/>
                <w:bCs/>
                <w:sz w:val="20"/>
                <w:szCs w:val="20"/>
              </w:rPr>
              <w:t>Grab samples</w:t>
            </w:r>
          </w:p>
        </w:tc>
        <w:tc>
          <w:tcPr>
            <w:tcW w:w="230" w:type="dxa"/>
            <w:tcBorders>
              <w:top w:val="single" w:sz="4" w:space="0" w:color="auto"/>
            </w:tcBorders>
          </w:tcPr>
          <w:p w14:paraId="7065D652" w14:textId="77777777" w:rsidR="00D1714C" w:rsidRDefault="00D1714C" w:rsidP="00BC5D2C">
            <w:pPr>
              <w:pStyle w:val="NormalWeb"/>
              <w:jc w:val="center"/>
              <w:rPr>
                <w:b/>
                <w:bCs/>
                <w:sz w:val="20"/>
                <w:szCs w:val="20"/>
              </w:rPr>
            </w:pPr>
          </w:p>
        </w:tc>
        <w:tc>
          <w:tcPr>
            <w:tcW w:w="4494" w:type="dxa"/>
            <w:gridSpan w:val="5"/>
            <w:tcBorders>
              <w:top w:val="single" w:sz="4" w:space="0" w:color="auto"/>
              <w:bottom w:val="single" w:sz="4" w:space="0" w:color="auto"/>
            </w:tcBorders>
          </w:tcPr>
          <w:p w14:paraId="0DDBFF14" w14:textId="77777777" w:rsidR="00D1714C" w:rsidRPr="00BE473B" w:rsidRDefault="00D1714C" w:rsidP="00BC5D2C">
            <w:pPr>
              <w:pStyle w:val="NormalWeb"/>
              <w:jc w:val="center"/>
              <w:rPr>
                <w:b/>
                <w:bCs/>
                <w:sz w:val="20"/>
                <w:szCs w:val="20"/>
              </w:rPr>
            </w:pPr>
            <w:r>
              <w:rPr>
                <w:b/>
                <w:bCs/>
                <w:sz w:val="20"/>
                <w:szCs w:val="20"/>
              </w:rPr>
              <w:t>PLSR models</w:t>
            </w:r>
          </w:p>
        </w:tc>
      </w:tr>
      <w:tr w:rsidR="00D1714C" w:rsidRPr="00BE473B" w14:paraId="7F6A4C49" w14:textId="77777777" w:rsidTr="00D1714C">
        <w:trPr>
          <w:gridAfter w:val="1"/>
          <w:wAfter w:w="52" w:type="dxa"/>
        </w:trPr>
        <w:tc>
          <w:tcPr>
            <w:tcW w:w="899" w:type="dxa"/>
            <w:tcBorders>
              <w:bottom w:val="single" w:sz="4" w:space="0" w:color="auto"/>
            </w:tcBorders>
            <w:vAlign w:val="center"/>
          </w:tcPr>
          <w:p w14:paraId="53442050" w14:textId="77777777" w:rsidR="00D1714C" w:rsidRPr="00BE473B" w:rsidRDefault="00D1714C" w:rsidP="00BC5D2C">
            <w:pPr>
              <w:pStyle w:val="NormalWeb"/>
              <w:rPr>
                <w:b/>
                <w:bCs/>
                <w:sz w:val="20"/>
                <w:szCs w:val="20"/>
              </w:rPr>
            </w:pPr>
            <w:r w:rsidRPr="00BE473B">
              <w:rPr>
                <w:b/>
                <w:bCs/>
                <w:sz w:val="20"/>
                <w:szCs w:val="20"/>
              </w:rPr>
              <w:t>Site</w:t>
            </w:r>
          </w:p>
        </w:tc>
        <w:tc>
          <w:tcPr>
            <w:tcW w:w="1417" w:type="dxa"/>
            <w:tcBorders>
              <w:top w:val="single" w:sz="4" w:space="0" w:color="auto"/>
              <w:bottom w:val="single" w:sz="4" w:space="0" w:color="auto"/>
            </w:tcBorders>
            <w:vAlign w:val="center"/>
          </w:tcPr>
          <w:p w14:paraId="77988B6E" w14:textId="77777777" w:rsidR="00D1714C" w:rsidRPr="00BE473B" w:rsidRDefault="00D1714C" w:rsidP="00BC5D2C">
            <w:pPr>
              <w:pStyle w:val="NormalWeb"/>
              <w:rPr>
                <w:b/>
                <w:bCs/>
                <w:sz w:val="20"/>
                <w:szCs w:val="20"/>
              </w:rPr>
            </w:pPr>
            <w:r>
              <w:rPr>
                <w:b/>
                <w:bCs/>
                <w:sz w:val="20"/>
                <w:szCs w:val="20"/>
              </w:rPr>
              <w:t xml:space="preserve">Median concentration </w:t>
            </w:r>
            <w:r w:rsidRPr="00BE473B">
              <w:rPr>
                <w:b/>
                <w:bCs/>
                <w:sz w:val="20"/>
                <w:szCs w:val="20"/>
              </w:rPr>
              <w:t>(mg N L</w:t>
            </w:r>
            <w:r w:rsidRPr="00BE473B">
              <w:rPr>
                <w:b/>
                <w:bCs/>
                <w:sz w:val="20"/>
                <w:szCs w:val="20"/>
                <w:vertAlign w:val="superscript"/>
              </w:rPr>
              <w:t>-1</w:t>
            </w:r>
            <w:r w:rsidRPr="00BE473B">
              <w:rPr>
                <w:b/>
                <w:bCs/>
                <w:sz w:val="20"/>
                <w:szCs w:val="20"/>
              </w:rPr>
              <w:t>)</w:t>
            </w:r>
          </w:p>
        </w:tc>
        <w:tc>
          <w:tcPr>
            <w:tcW w:w="1472" w:type="dxa"/>
            <w:tcBorders>
              <w:top w:val="single" w:sz="4" w:space="0" w:color="auto"/>
              <w:bottom w:val="single" w:sz="4" w:space="0" w:color="auto"/>
            </w:tcBorders>
            <w:vAlign w:val="center"/>
          </w:tcPr>
          <w:p w14:paraId="3229EA28" w14:textId="77777777" w:rsidR="00D1714C" w:rsidRPr="00BE473B" w:rsidRDefault="00D1714C" w:rsidP="00BC5D2C">
            <w:pPr>
              <w:pStyle w:val="NormalWeb"/>
              <w:rPr>
                <w:b/>
                <w:bCs/>
                <w:sz w:val="20"/>
                <w:szCs w:val="20"/>
              </w:rPr>
            </w:pPr>
            <w:r>
              <w:rPr>
                <w:b/>
                <w:bCs/>
                <w:sz w:val="20"/>
                <w:szCs w:val="20"/>
              </w:rPr>
              <w:t xml:space="preserve">Range of concentrations </w:t>
            </w:r>
            <w:r w:rsidRPr="00BE473B">
              <w:rPr>
                <w:b/>
                <w:bCs/>
                <w:sz w:val="20"/>
                <w:szCs w:val="20"/>
              </w:rPr>
              <w:t>(mg N L</w:t>
            </w:r>
            <w:r w:rsidRPr="00BE473B">
              <w:rPr>
                <w:b/>
                <w:bCs/>
                <w:sz w:val="20"/>
                <w:szCs w:val="20"/>
                <w:vertAlign w:val="superscript"/>
              </w:rPr>
              <w:t>-1</w:t>
            </w:r>
            <w:r w:rsidRPr="00BE473B">
              <w:rPr>
                <w:b/>
                <w:bCs/>
                <w:sz w:val="20"/>
                <w:szCs w:val="20"/>
              </w:rPr>
              <w:t>)</w:t>
            </w:r>
          </w:p>
        </w:tc>
        <w:tc>
          <w:tcPr>
            <w:tcW w:w="230" w:type="dxa"/>
            <w:tcBorders>
              <w:bottom w:val="single" w:sz="4" w:space="0" w:color="auto"/>
            </w:tcBorders>
            <w:vAlign w:val="center"/>
          </w:tcPr>
          <w:p w14:paraId="0D08C94A" w14:textId="77777777" w:rsidR="00D1714C" w:rsidRPr="00BE473B" w:rsidRDefault="00D1714C" w:rsidP="00BC5D2C">
            <w:pPr>
              <w:pStyle w:val="NormalWeb"/>
              <w:rPr>
                <w:b/>
                <w:bCs/>
                <w:sz w:val="20"/>
                <w:szCs w:val="20"/>
              </w:rPr>
            </w:pPr>
          </w:p>
        </w:tc>
        <w:tc>
          <w:tcPr>
            <w:tcW w:w="1350" w:type="dxa"/>
            <w:tcBorders>
              <w:top w:val="single" w:sz="4" w:space="0" w:color="auto"/>
              <w:bottom w:val="single" w:sz="4" w:space="0" w:color="auto"/>
            </w:tcBorders>
            <w:vAlign w:val="center"/>
          </w:tcPr>
          <w:p w14:paraId="251EDDAC" w14:textId="77777777" w:rsidR="00D1714C" w:rsidRPr="00BE473B" w:rsidRDefault="00D1714C" w:rsidP="00BC5D2C">
            <w:pPr>
              <w:pStyle w:val="NormalWeb"/>
              <w:rPr>
                <w:b/>
                <w:bCs/>
                <w:sz w:val="20"/>
                <w:szCs w:val="20"/>
              </w:rPr>
            </w:pPr>
            <w:r w:rsidRPr="00BE473B">
              <w:rPr>
                <w:b/>
                <w:bCs/>
                <w:sz w:val="20"/>
                <w:szCs w:val="20"/>
              </w:rPr>
              <w:t>Observations</w:t>
            </w:r>
          </w:p>
        </w:tc>
        <w:tc>
          <w:tcPr>
            <w:tcW w:w="1313" w:type="dxa"/>
            <w:tcBorders>
              <w:top w:val="single" w:sz="4" w:space="0" w:color="auto"/>
              <w:bottom w:val="single" w:sz="4" w:space="0" w:color="auto"/>
            </w:tcBorders>
            <w:vAlign w:val="center"/>
          </w:tcPr>
          <w:p w14:paraId="2C2AD565" w14:textId="77777777" w:rsidR="00D1714C" w:rsidRPr="00BE473B" w:rsidRDefault="00D1714C" w:rsidP="00BC5D2C">
            <w:pPr>
              <w:pStyle w:val="NormalWeb"/>
              <w:rPr>
                <w:b/>
                <w:bCs/>
                <w:sz w:val="20"/>
                <w:szCs w:val="20"/>
              </w:rPr>
            </w:pPr>
            <w:r w:rsidRPr="00BE473B">
              <w:rPr>
                <w:b/>
                <w:bCs/>
                <w:sz w:val="20"/>
                <w:szCs w:val="20"/>
              </w:rPr>
              <w:t>Components</w:t>
            </w:r>
          </w:p>
        </w:tc>
        <w:tc>
          <w:tcPr>
            <w:tcW w:w="1146" w:type="dxa"/>
            <w:tcBorders>
              <w:top w:val="single" w:sz="4" w:space="0" w:color="auto"/>
              <w:bottom w:val="single" w:sz="4" w:space="0" w:color="auto"/>
            </w:tcBorders>
            <w:vAlign w:val="center"/>
          </w:tcPr>
          <w:p w14:paraId="0249493B" w14:textId="77777777" w:rsidR="00D1714C" w:rsidRPr="00BE473B" w:rsidRDefault="00D1714C" w:rsidP="00BC5D2C">
            <w:pPr>
              <w:pStyle w:val="NormalWeb"/>
              <w:rPr>
                <w:b/>
                <w:bCs/>
                <w:sz w:val="20"/>
                <w:szCs w:val="20"/>
              </w:rPr>
            </w:pPr>
            <w:r w:rsidRPr="00BE473B">
              <w:rPr>
                <w:b/>
                <w:bCs/>
                <w:sz w:val="20"/>
                <w:szCs w:val="20"/>
              </w:rPr>
              <w:t>RMSE (mg N L</w:t>
            </w:r>
            <w:r w:rsidRPr="00BE473B">
              <w:rPr>
                <w:b/>
                <w:bCs/>
                <w:sz w:val="20"/>
                <w:szCs w:val="20"/>
                <w:vertAlign w:val="superscript"/>
              </w:rPr>
              <w:t>-1</w:t>
            </w:r>
            <w:r w:rsidRPr="00BE473B">
              <w:rPr>
                <w:b/>
                <w:bCs/>
                <w:sz w:val="20"/>
                <w:szCs w:val="20"/>
              </w:rPr>
              <w:t>)</w:t>
            </w:r>
          </w:p>
        </w:tc>
        <w:tc>
          <w:tcPr>
            <w:tcW w:w="633" w:type="dxa"/>
            <w:tcBorders>
              <w:top w:val="single" w:sz="4" w:space="0" w:color="auto"/>
              <w:bottom w:val="single" w:sz="4" w:space="0" w:color="auto"/>
            </w:tcBorders>
            <w:vAlign w:val="center"/>
          </w:tcPr>
          <w:p w14:paraId="508AFF20" w14:textId="77777777" w:rsidR="00D1714C" w:rsidRPr="00BE473B" w:rsidRDefault="00D1714C" w:rsidP="00BC5D2C">
            <w:pPr>
              <w:pStyle w:val="NormalWeb"/>
              <w:rPr>
                <w:b/>
                <w:bCs/>
                <w:sz w:val="20"/>
                <w:szCs w:val="20"/>
              </w:rPr>
            </w:pPr>
            <w:r w:rsidRPr="00BE473B">
              <w:rPr>
                <w:b/>
                <w:bCs/>
                <w:sz w:val="20"/>
                <w:szCs w:val="20"/>
              </w:rPr>
              <w:t>R</w:t>
            </w:r>
            <w:r w:rsidRPr="00BE473B">
              <w:rPr>
                <w:b/>
                <w:bCs/>
                <w:sz w:val="20"/>
                <w:szCs w:val="20"/>
                <w:vertAlign w:val="superscript"/>
              </w:rPr>
              <w:t>2</w:t>
            </w:r>
          </w:p>
        </w:tc>
      </w:tr>
      <w:tr w:rsidR="00D1714C" w:rsidRPr="00BE473B" w14:paraId="5198AF09" w14:textId="77777777" w:rsidTr="00D1714C">
        <w:trPr>
          <w:gridAfter w:val="1"/>
          <w:wAfter w:w="52" w:type="dxa"/>
          <w:trHeight w:val="360"/>
        </w:trPr>
        <w:tc>
          <w:tcPr>
            <w:tcW w:w="899" w:type="dxa"/>
            <w:tcBorders>
              <w:top w:val="single" w:sz="4" w:space="0" w:color="auto"/>
              <w:bottom w:val="single" w:sz="4" w:space="0" w:color="auto"/>
            </w:tcBorders>
            <w:vAlign w:val="bottom"/>
          </w:tcPr>
          <w:p w14:paraId="2BFD7F50" w14:textId="77777777" w:rsidR="00D1714C" w:rsidRPr="00BE473B" w:rsidRDefault="00D1714C" w:rsidP="00BC5D2C">
            <w:pPr>
              <w:pStyle w:val="NormalWeb"/>
              <w:rPr>
                <w:sz w:val="20"/>
                <w:szCs w:val="20"/>
              </w:rPr>
            </w:pPr>
            <w:r w:rsidRPr="00BE473B">
              <w:rPr>
                <w:sz w:val="20"/>
                <w:szCs w:val="20"/>
              </w:rPr>
              <w:t>All sites</w:t>
            </w:r>
          </w:p>
        </w:tc>
        <w:tc>
          <w:tcPr>
            <w:tcW w:w="1417" w:type="dxa"/>
            <w:tcBorders>
              <w:top w:val="single" w:sz="4" w:space="0" w:color="auto"/>
              <w:bottom w:val="single" w:sz="4" w:space="0" w:color="auto"/>
            </w:tcBorders>
            <w:vAlign w:val="bottom"/>
          </w:tcPr>
          <w:p w14:paraId="3709DE07" w14:textId="77777777" w:rsidR="00D1714C" w:rsidRPr="00BE473B" w:rsidRDefault="00D1714C" w:rsidP="00BC5D2C">
            <w:pPr>
              <w:pStyle w:val="NormalWeb"/>
              <w:rPr>
                <w:sz w:val="20"/>
                <w:szCs w:val="20"/>
              </w:rPr>
            </w:pPr>
            <w:r>
              <w:rPr>
                <w:sz w:val="20"/>
                <w:szCs w:val="20"/>
              </w:rPr>
              <w:t>0.381</w:t>
            </w:r>
          </w:p>
        </w:tc>
        <w:tc>
          <w:tcPr>
            <w:tcW w:w="1472" w:type="dxa"/>
            <w:tcBorders>
              <w:top w:val="single" w:sz="4" w:space="0" w:color="auto"/>
              <w:bottom w:val="single" w:sz="4" w:space="0" w:color="auto"/>
            </w:tcBorders>
            <w:vAlign w:val="bottom"/>
          </w:tcPr>
          <w:p w14:paraId="109794B4" w14:textId="77777777" w:rsidR="00D1714C" w:rsidRPr="00BE473B" w:rsidRDefault="00D1714C" w:rsidP="00BC5D2C">
            <w:pPr>
              <w:pStyle w:val="NormalWeb"/>
              <w:rPr>
                <w:sz w:val="20"/>
                <w:szCs w:val="20"/>
              </w:rPr>
            </w:pPr>
            <w:r>
              <w:rPr>
                <w:sz w:val="20"/>
                <w:szCs w:val="20"/>
              </w:rPr>
              <w:t>0.000 – 7.350</w:t>
            </w:r>
          </w:p>
        </w:tc>
        <w:tc>
          <w:tcPr>
            <w:tcW w:w="230" w:type="dxa"/>
            <w:tcBorders>
              <w:top w:val="single" w:sz="4" w:space="0" w:color="auto"/>
              <w:bottom w:val="single" w:sz="4" w:space="0" w:color="auto"/>
            </w:tcBorders>
            <w:vAlign w:val="bottom"/>
          </w:tcPr>
          <w:p w14:paraId="22306EEC" w14:textId="77777777" w:rsidR="00D1714C" w:rsidRPr="00BE473B" w:rsidRDefault="00D1714C" w:rsidP="00BC5D2C">
            <w:pPr>
              <w:pStyle w:val="NormalWeb"/>
              <w:rPr>
                <w:sz w:val="20"/>
                <w:szCs w:val="20"/>
              </w:rPr>
            </w:pPr>
          </w:p>
        </w:tc>
        <w:tc>
          <w:tcPr>
            <w:tcW w:w="1350" w:type="dxa"/>
            <w:tcBorders>
              <w:top w:val="single" w:sz="4" w:space="0" w:color="auto"/>
              <w:bottom w:val="single" w:sz="4" w:space="0" w:color="auto"/>
            </w:tcBorders>
            <w:vAlign w:val="bottom"/>
          </w:tcPr>
          <w:p w14:paraId="371C09AF" w14:textId="77777777" w:rsidR="00D1714C" w:rsidRPr="00BE473B" w:rsidRDefault="00D1714C" w:rsidP="00BC5D2C">
            <w:pPr>
              <w:pStyle w:val="NormalWeb"/>
              <w:rPr>
                <w:sz w:val="20"/>
                <w:szCs w:val="20"/>
              </w:rPr>
            </w:pPr>
            <w:r w:rsidRPr="00BE473B">
              <w:rPr>
                <w:sz w:val="20"/>
                <w:szCs w:val="20"/>
              </w:rPr>
              <w:t>365-421</w:t>
            </w:r>
          </w:p>
        </w:tc>
        <w:tc>
          <w:tcPr>
            <w:tcW w:w="1313" w:type="dxa"/>
            <w:tcBorders>
              <w:top w:val="single" w:sz="4" w:space="0" w:color="auto"/>
              <w:bottom w:val="single" w:sz="4" w:space="0" w:color="auto"/>
            </w:tcBorders>
            <w:vAlign w:val="bottom"/>
          </w:tcPr>
          <w:p w14:paraId="49AC5005" w14:textId="77777777" w:rsidR="00D1714C" w:rsidRPr="00BE473B" w:rsidRDefault="00D1714C" w:rsidP="00BC5D2C">
            <w:pPr>
              <w:pStyle w:val="NormalWeb"/>
              <w:rPr>
                <w:sz w:val="20"/>
                <w:szCs w:val="20"/>
              </w:rPr>
            </w:pPr>
            <w:r w:rsidRPr="00BE473B">
              <w:rPr>
                <w:sz w:val="20"/>
                <w:szCs w:val="20"/>
              </w:rPr>
              <w:t>3</w:t>
            </w:r>
          </w:p>
        </w:tc>
        <w:tc>
          <w:tcPr>
            <w:tcW w:w="1146" w:type="dxa"/>
            <w:tcBorders>
              <w:top w:val="single" w:sz="4" w:space="0" w:color="auto"/>
              <w:bottom w:val="single" w:sz="4" w:space="0" w:color="auto"/>
            </w:tcBorders>
            <w:vAlign w:val="bottom"/>
          </w:tcPr>
          <w:p w14:paraId="7286BAA9" w14:textId="77777777" w:rsidR="00D1714C" w:rsidRPr="00BE473B" w:rsidRDefault="00D1714C" w:rsidP="00BC5D2C">
            <w:pPr>
              <w:pStyle w:val="NormalWeb"/>
              <w:rPr>
                <w:sz w:val="20"/>
                <w:szCs w:val="20"/>
              </w:rPr>
            </w:pPr>
            <w:r w:rsidRPr="00BE473B">
              <w:rPr>
                <w:sz w:val="20"/>
                <w:szCs w:val="20"/>
              </w:rPr>
              <w:t>0.2</w:t>
            </w:r>
            <w:r>
              <w:rPr>
                <w:sz w:val="20"/>
                <w:szCs w:val="20"/>
              </w:rPr>
              <w:t>19-0.233</w:t>
            </w:r>
          </w:p>
        </w:tc>
        <w:tc>
          <w:tcPr>
            <w:tcW w:w="633" w:type="dxa"/>
            <w:tcBorders>
              <w:top w:val="single" w:sz="4" w:space="0" w:color="auto"/>
              <w:bottom w:val="single" w:sz="4" w:space="0" w:color="auto"/>
            </w:tcBorders>
            <w:vAlign w:val="bottom"/>
          </w:tcPr>
          <w:p w14:paraId="35B3E659" w14:textId="77777777" w:rsidR="00D1714C" w:rsidRPr="00BE473B" w:rsidRDefault="00D1714C" w:rsidP="00BC5D2C">
            <w:pPr>
              <w:pStyle w:val="NormalWeb"/>
              <w:rPr>
                <w:sz w:val="20"/>
                <w:szCs w:val="20"/>
              </w:rPr>
            </w:pPr>
            <w:r>
              <w:rPr>
                <w:sz w:val="20"/>
                <w:szCs w:val="20"/>
              </w:rPr>
              <w:t>0.96-0.97</w:t>
            </w:r>
          </w:p>
        </w:tc>
      </w:tr>
    </w:tbl>
    <w:p w14:paraId="67433767" w14:textId="2A8D4356" w:rsidR="0066722B" w:rsidRDefault="0066722B" w:rsidP="0066722B">
      <w:pPr>
        <w:pStyle w:val="SMHeading"/>
        <w:rPr>
          <w:rFonts w:ascii="Myriad Pro" w:hAnsi="Myriad Pro"/>
          <w:b w:val="0"/>
          <w:sz w:val="22"/>
          <w:szCs w:val="22"/>
        </w:rPr>
      </w:pPr>
      <w:r w:rsidRPr="005314B5">
        <w:rPr>
          <w:rFonts w:ascii="Myriad Pro" w:hAnsi="Myriad Pro"/>
          <w:sz w:val="22"/>
          <w:szCs w:val="22"/>
        </w:rPr>
        <w:t xml:space="preserve">Table S1. </w:t>
      </w:r>
      <w:r w:rsidR="00D1714C" w:rsidRPr="00D1714C">
        <w:rPr>
          <w:rFonts w:ascii="Myriad Pro" w:hAnsi="Myriad Pro"/>
          <w:b w:val="0"/>
          <w:sz w:val="22"/>
          <w:szCs w:val="22"/>
        </w:rPr>
        <w:t>Results of partial least squares regression (PLSR) relating lab analyses of nitrate (NO</w:t>
      </w:r>
      <w:r w:rsidR="00D1714C" w:rsidRPr="00D1714C">
        <w:rPr>
          <w:rFonts w:ascii="Myriad Pro" w:hAnsi="Myriad Pro"/>
          <w:b w:val="0"/>
          <w:sz w:val="22"/>
          <w:szCs w:val="22"/>
          <w:vertAlign w:val="subscript"/>
        </w:rPr>
        <w:t>3</w:t>
      </w:r>
      <w:r w:rsidR="00D1714C" w:rsidRPr="00D1714C">
        <w:rPr>
          <w:rFonts w:ascii="Myriad Pro" w:hAnsi="Myriad Pro"/>
          <w:b w:val="0"/>
          <w:sz w:val="22"/>
          <w:szCs w:val="22"/>
          <w:vertAlign w:val="superscript"/>
        </w:rPr>
        <w:t>-</w:t>
      </w:r>
      <w:r w:rsidR="00D1714C" w:rsidRPr="00D1714C">
        <w:rPr>
          <w:rFonts w:ascii="Myriad Pro" w:hAnsi="Myriad Pro"/>
          <w:b w:val="0"/>
          <w:sz w:val="22"/>
          <w:szCs w:val="22"/>
        </w:rPr>
        <w:t xml:space="preserve">) concentrations of grab samples to absorbance spectra of the same samples measured using the </w:t>
      </w:r>
      <w:proofErr w:type="gramStart"/>
      <w:r w:rsidR="00D1714C" w:rsidRPr="00D1714C">
        <w:rPr>
          <w:rFonts w:ascii="Myriad Pro" w:hAnsi="Myriad Pro"/>
          <w:b w:val="0"/>
          <w:sz w:val="22"/>
          <w:szCs w:val="22"/>
        </w:rPr>
        <w:t>s::</w:t>
      </w:r>
      <w:proofErr w:type="gramEnd"/>
      <w:r w:rsidR="00D1714C" w:rsidRPr="00D1714C">
        <w:rPr>
          <w:rFonts w:ascii="Myriad Pro" w:hAnsi="Myriad Pro"/>
          <w:b w:val="0"/>
          <w:sz w:val="22"/>
          <w:szCs w:val="22"/>
        </w:rPr>
        <w:t xml:space="preserve">can </w:t>
      </w:r>
      <w:proofErr w:type="spellStart"/>
      <w:r w:rsidR="00D1714C" w:rsidRPr="00D1714C">
        <w:rPr>
          <w:rFonts w:ascii="Myriad Pro" w:hAnsi="Myriad Pro"/>
          <w:b w:val="0"/>
          <w:sz w:val="22"/>
          <w:szCs w:val="22"/>
        </w:rPr>
        <w:t>spectro</w:t>
      </w:r>
      <w:proofErr w:type="spellEnd"/>
      <w:r w:rsidR="00D1714C" w:rsidRPr="00D1714C">
        <w:rPr>
          <w:rFonts w:ascii="Myriad Pro" w:hAnsi="Myriad Pro"/>
          <w:b w:val="0"/>
          <w:sz w:val="22"/>
          <w:szCs w:val="22"/>
        </w:rPr>
        <w:t>::</w:t>
      </w:r>
      <w:proofErr w:type="spellStart"/>
      <w:r w:rsidR="00D1714C" w:rsidRPr="00D1714C">
        <w:rPr>
          <w:rFonts w:ascii="Myriad Pro" w:hAnsi="Myriad Pro"/>
          <w:b w:val="0"/>
          <w:sz w:val="22"/>
          <w:szCs w:val="22"/>
        </w:rPr>
        <w:t>lyser</w:t>
      </w:r>
      <w:proofErr w:type="spellEnd"/>
      <w:r w:rsidR="00D1714C" w:rsidRPr="00D1714C">
        <w:rPr>
          <w:rFonts w:ascii="Myriad Pro" w:hAnsi="Myriad Pro"/>
          <w:b w:val="0"/>
          <w:sz w:val="22"/>
          <w:szCs w:val="22"/>
        </w:rPr>
        <w:t xml:space="preserve"> UV-Visible spectrophotometers. A detailed description of our approach can be found in Etheridge et al., (2014) and Vaughan et al., (2017). Briefly, we used PLSR to generate a single calibration model (</w:t>
      </w:r>
      <w:proofErr w:type="spellStart"/>
      <w:r w:rsidR="00D1714C" w:rsidRPr="00D1714C">
        <w:rPr>
          <w:rFonts w:ascii="Myriad Pro" w:hAnsi="Myriad Pro"/>
          <w:b w:val="0"/>
          <w:sz w:val="22"/>
          <w:szCs w:val="22"/>
        </w:rPr>
        <w:t>Mevik</w:t>
      </w:r>
      <w:proofErr w:type="spellEnd"/>
      <w:r w:rsidR="00D1714C" w:rsidRPr="00D1714C">
        <w:rPr>
          <w:rFonts w:ascii="Myriad Pro" w:hAnsi="Myriad Pro"/>
          <w:b w:val="0"/>
          <w:sz w:val="22"/>
          <w:szCs w:val="22"/>
        </w:rPr>
        <w:t xml:space="preserve"> et al., 2016) for all sites. Separate calibration models were developed for 2014-2017 and 2018. We report the number of components used for each PLSR model. We also report the ranges of the root mean square errors (RMSE) and R</w:t>
      </w:r>
      <w:r w:rsidR="00D1714C" w:rsidRPr="00D1714C">
        <w:rPr>
          <w:rFonts w:ascii="Myriad Pro" w:hAnsi="Myriad Pro"/>
          <w:b w:val="0"/>
          <w:sz w:val="22"/>
          <w:szCs w:val="22"/>
          <w:vertAlign w:val="superscript"/>
        </w:rPr>
        <w:t>2</w:t>
      </w:r>
      <w:r w:rsidR="00D1714C" w:rsidRPr="00D1714C">
        <w:rPr>
          <w:rFonts w:ascii="Myriad Pro" w:hAnsi="Myriad Pro"/>
          <w:b w:val="0"/>
          <w:sz w:val="22"/>
          <w:szCs w:val="22"/>
        </w:rPr>
        <w:t xml:space="preserve"> for the correlation between predicted and lab measured NO</w:t>
      </w:r>
      <w:r w:rsidR="00D1714C" w:rsidRPr="00D1714C">
        <w:rPr>
          <w:rFonts w:ascii="Myriad Pro" w:hAnsi="Myriad Pro"/>
          <w:b w:val="0"/>
          <w:sz w:val="22"/>
          <w:szCs w:val="22"/>
          <w:vertAlign w:val="subscript"/>
        </w:rPr>
        <w:t>3</w:t>
      </w:r>
      <w:r w:rsidR="00D1714C" w:rsidRPr="00D1714C">
        <w:rPr>
          <w:rFonts w:ascii="Myriad Pro" w:hAnsi="Myriad Pro"/>
          <w:b w:val="0"/>
          <w:sz w:val="22"/>
          <w:szCs w:val="22"/>
          <w:vertAlign w:val="superscript"/>
        </w:rPr>
        <w:t>-</w:t>
      </w:r>
      <w:r w:rsidR="00D1714C" w:rsidRPr="00D1714C">
        <w:rPr>
          <w:rFonts w:ascii="Myriad Pro" w:hAnsi="Myriad Pro"/>
          <w:b w:val="0"/>
          <w:sz w:val="22"/>
          <w:szCs w:val="22"/>
        </w:rPr>
        <w:t xml:space="preserve"> concentrations for each PLSR model. Observations indicate the number of grab samples used for the calibration.</w:t>
      </w:r>
    </w:p>
    <w:p w14:paraId="085CFBF5" w14:textId="77777777" w:rsidR="008D54B0" w:rsidRDefault="008D54B0" w:rsidP="0066722B">
      <w:pPr>
        <w:pStyle w:val="SMHeading"/>
        <w:rPr>
          <w:rFonts w:ascii="Myriad Pro" w:hAnsi="Myriad Pro"/>
          <w:b w:val="0"/>
          <w:sz w:val="22"/>
          <w:szCs w:val="22"/>
        </w:rPr>
      </w:pPr>
    </w:p>
    <w:p w14:paraId="2CE97FB7" w14:textId="77777777" w:rsidR="00D1714C" w:rsidRDefault="00D1714C" w:rsidP="0066722B">
      <w:pPr>
        <w:pStyle w:val="SMHeading"/>
        <w:rPr>
          <w:rFonts w:ascii="Myriad Pro" w:hAnsi="Myriad Pro"/>
          <w:sz w:val="22"/>
          <w:szCs w:val="22"/>
        </w:rPr>
        <w:sectPr w:rsidR="00D1714C" w:rsidSect="00051E98">
          <w:pgSz w:w="12240" w:h="15840"/>
          <w:pgMar w:top="1440" w:right="1800" w:bottom="1440" w:left="1800" w:header="720" w:footer="720" w:gutter="0"/>
          <w:cols w:space="720"/>
          <w:docGrid w:linePitch="360"/>
        </w:sectPr>
      </w:pPr>
    </w:p>
    <w:tbl>
      <w:tblPr>
        <w:tblStyle w:val="TableGrid"/>
        <w:tblpPr w:leftFromText="180" w:rightFromText="180" w:vertAnchor="page" w:horzAnchor="margin" w:tblpXSpec="center" w:tblpY="1358"/>
        <w:tblW w:w="11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394"/>
        <w:gridCol w:w="1472"/>
        <w:gridCol w:w="222"/>
        <w:gridCol w:w="1350"/>
        <w:gridCol w:w="1294"/>
        <w:gridCol w:w="972"/>
        <w:gridCol w:w="1375"/>
        <w:gridCol w:w="1117"/>
        <w:gridCol w:w="1117"/>
      </w:tblGrid>
      <w:tr w:rsidR="00D1714C" w:rsidRPr="002B41A8" w14:paraId="7893FBE7" w14:textId="77777777" w:rsidTr="00D1714C">
        <w:trPr>
          <w:trHeight w:val="350"/>
        </w:trPr>
        <w:tc>
          <w:tcPr>
            <w:tcW w:w="1194" w:type="dxa"/>
            <w:tcBorders>
              <w:top w:val="single" w:sz="4" w:space="0" w:color="auto"/>
            </w:tcBorders>
            <w:vAlign w:val="bottom"/>
          </w:tcPr>
          <w:p w14:paraId="34597953" w14:textId="77777777" w:rsidR="00D1714C" w:rsidRPr="002B41A8" w:rsidRDefault="00D1714C" w:rsidP="00D1714C">
            <w:pPr>
              <w:rPr>
                <w:b/>
                <w:bCs/>
                <w:sz w:val="20"/>
              </w:rPr>
            </w:pPr>
          </w:p>
        </w:tc>
        <w:tc>
          <w:tcPr>
            <w:tcW w:w="2866" w:type="dxa"/>
            <w:gridSpan w:val="2"/>
            <w:tcBorders>
              <w:top w:val="single" w:sz="4" w:space="0" w:color="auto"/>
              <w:bottom w:val="single" w:sz="4" w:space="0" w:color="auto"/>
            </w:tcBorders>
            <w:vAlign w:val="center"/>
          </w:tcPr>
          <w:p w14:paraId="679043E6" w14:textId="77777777" w:rsidR="00D1714C" w:rsidRPr="002B41A8" w:rsidRDefault="00D1714C" w:rsidP="00D1714C">
            <w:pPr>
              <w:jc w:val="center"/>
              <w:rPr>
                <w:b/>
                <w:bCs/>
                <w:sz w:val="20"/>
              </w:rPr>
            </w:pPr>
            <w:r>
              <w:rPr>
                <w:b/>
                <w:bCs/>
                <w:sz w:val="20"/>
              </w:rPr>
              <w:t>Grab samples</w:t>
            </w:r>
          </w:p>
        </w:tc>
        <w:tc>
          <w:tcPr>
            <w:tcW w:w="222" w:type="dxa"/>
            <w:tcBorders>
              <w:top w:val="single" w:sz="4" w:space="0" w:color="auto"/>
            </w:tcBorders>
            <w:vAlign w:val="center"/>
          </w:tcPr>
          <w:p w14:paraId="2489AF7A" w14:textId="77777777" w:rsidR="00D1714C" w:rsidRPr="002B41A8" w:rsidRDefault="00D1714C" w:rsidP="00D1714C">
            <w:pPr>
              <w:jc w:val="center"/>
              <w:rPr>
                <w:b/>
                <w:bCs/>
                <w:sz w:val="20"/>
              </w:rPr>
            </w:pPr>
          </w:p>
        </w:tc>
        <w:tc>
          <w:tcPr>
            <w:tcW w:w="7209" w:type="dxa"/>
            <w:gridSpan w:val="6"/>
            <w:tcBorders>
              <w:top w:val="single" w:sz="4" w:space="0" w:color="auto"/>
              <w:bottom w:val="single" w:sz="4" w:space="0" w:color="auto"/>
            </w:tcBorders>
            <w:vAlign w:val="center"/>
          </w:tcPr>
          <w:p w14:paraId="511DA01B" w14:textId="77777777" w:rsidR="00D1714C" w:rsidRPr="002B41A8" w:rsidRDefault="00D1714C" w:rsidP="00D1714C">
            <w:pPr>
              <w:jc w:val="center"/>
              <w:rPr>
                <w:b/>
                <w:bCs/>
                <w:sz w:val="20"/>
              </w:rPr>
            </w:pPr>
            <w:r>
              <w:rPr>
                <w:b/>
                <w:bCs/>
                <w:sz w:val="20"/>
              </w:rPr>
              <w:t>PLSR models</w:t>
            </w:r>
          </w:p>
        </w:tc>
      </w:tr>
      <w:tr w:rsidR="00D1714C" w:rsidRPr="00261F48" w14:paraId="13FB7559" w14:textId="77777777" w:rsidTr="00D1714C">
        <w:trPr>
          <w:trHeight w:val="530"/>
        </w:trPr>
        <w:tc>
          <w:tcPr>
            <w:tcW w:w="1194" w:type="dxa"/>
            <w:tcBorders>
              <w:bottom w:val="single" w:sz="4" w:space="0" w:color="auto"/>
            </w:tcBorders>
            <w:vAlign w:val="center"/>
          </w:tcPr>
          <w:p w14:paraId="6033D3CA" w14:textId="77777777" w:rsidR="00D1714C" w:rsidRPr="00261F48" w:rsidRDefault="00D1714C" w:rsidP="00D1714C">
            <w:pPr>
              <w:rPr>
                <w:b/>
                <w:bCs/>
                <w:sz w:val="20"/>
              </w:rPr>
            </w:pPr>
            <w:r w:rsidRPr="00261F48">
              <w:rPr>
                <w:b/>
                <w:bCs/>
                <w:sz w:val="20"/>
              </w:rPr>
              <w:t>Site</w:t>
            </w:r>
          </w:p>
        </w:tc>
        <w:tc>
          <w:tcPr>
            <w:tcW w:w="1394" w:type="dxa"/>
            <w:tcBorders>
              <w:top w:val="single" w:sz="4" w:space="0" w:color="auto"/>
              <w:bottom w:val="single" w:sz="4" w:space="0" w:color="auto"/>
            </w:tcBorders>
            <w:vAlign w:val="center"/>
          </w:tcPr>
          <w:p w14:paraId="3F50C46D" w14:textId="77777777" w:rsidR="00D1714C" w:rsidRPr="00261F48" w:rsidRDefault="00D1714C" w:rsidP="00D1714C">
            <w:pPr>
              <w:rPr>
                <w:b/>
                <w:bCs/>
                <w:sz w:val="20"/>
              </w:rPr>
            </w:pPr>
            <w:r w:rsidRPr="00261F48">
              <w:rPr>
                <w:b/>
                <w:bCs/>
                <w:sz w:val="20"/>
              </w:rPr>
              <w:t>Median concentration (</w:t>
            </w:r>
            <w:proofErr w:type="spellStart"/>
            <w:r w:rsidRPr="00261F48">
              <w:rPr>
                <w:b/>
                <w:bCs/>
                <w:sz w:val="20"/>
              </w:rPr>
              <w:t>μg</w:t>
            </w:r>
            <w:proofErr w:type="spellEnd"/>
            <w:r w:rsidRPr="00261F48">
              <w:rPr>
                <w:b/>
                <w:bCs/>
                <w:sz w:val="20"/>
              </w:rPr>
              <w:t xml:space="preserve"> P L</w:t>
            </w:r>
            <w:r w:rsidRPr="00261F48">
              <w:rPr>
                <w:b/>
                <w:bCs/>
                <w:sz w:val="20"/>
                <w:vertAlign w:val="superscript"/>
              </w:rPr>
              <w:t>-1</w:t>
            </w:r>
            <w:r w:rsidRPr="00261F48">
              <w:rPr>
                <w:b/>
                <w:bCs/>
                <w:sz w:val="20"/>
              </w:rPr>
              <w:t>)</w:t>
            </w:r>
          </w:p>
        </w:tc>
        <w:tc>
          <w:tcPr>
            <w:tcW w:w="1472" w:type="dxa"/>
            <w:tcBorders>
              <w:top w:val="single" w:sz="4" w:space="0" w:color="auto"/>
              <w:bottom w:val="single" w:sz="4" w:space="0" w:color="auto"/>
            </w:tcBorders>
            <w:vAlign w:val="center"/>
          </w:tcPr>
          <w:p w14:paraId="188C4D7C" w14:textId="77777777" w:rsidR="00D1714C" w:rsidRPr="00261F48" w:rsidRDefault="00D1714C" w:rsidP="00D1714C">
            <w:pPr>
              <w:rPr>
                <w:b/>
                <w:bCs/>
                <w:sz w:val="20"/>
              </w:rPr>
            </w:pPr>
            <w:r w:rsidRPr="00261F48">
              <w:rPr>
                <w:b/>
                <w:bCs/>
                <w:sz w:val="20"/>
              </w:rPr>
              <w:t>Range of concentrations (</w:t>
            </w:r>
            <w:proofErr w:type="spellStart"/>
            <w:r w:rsidRPr="00261F48">
              <w:rPr>
                <w:b/>
                <w:bCs/>
                <w:sz w:val="20"/>
              </w:rPr>
              <w:t>μg</w:t>
            </w:r>
            <w:proofErr w:type="spellEnd"/>
            <w:r w:rsidRPr="00261F48">
              <w:rPr>
                <w:b/>
                <w:bCs/>
                <w:sz w:val="20"/>
              </w:rPr>
              <w:t xml:space="preserve"> P L</w:t>
            </w:r>
            <w:r w:rsidRPr="00261F48">
              <w:rPr>
                <w:b/>
                <w:bCs/>
                <w:sz w:val="20"/>
                <w:vertAlign w:val="superscript"/>
              </w:rPr>
              <w:t>-1</w:t>
            </w:r>
            <w:r w:rsidRPr="00261F48">
              <w:rPr>
                <w:b/>
                <w:bCs/>
                <w:sz w:val="20"/>
              </w:rPr>
              <w:t>)</w:t>
            </w:r>
          </w:p>
        </w:tc>
        <w:tc>
          <w:tcPr>
            <w:tcW w:w="222" w:type="dxa"/>
            <w:tcBorders>
              <w:bottom w:val="single" w:sz="4" w:space="0" w:color="auto"/>
            </w:tcBorders>
            <w:vAlign w:val="center"/>
          </w:tcPr>
          <w:p w14:paraId="59855740" w14:textId="77777777" w:rsidR="00D1714C" w:rsidRPr="00261F48" w:rsidRDefault="00D1714C" w:rsidP="00D1714C">
            <w:pPr>
              <w:rPr>
                <w:b/>
                <w:bCs/>
                <w:sz w:val="20"/>
              </w:rPr>
            </w:pPr>
          </w:p>
        </w:tc>
        <w:tc>
          <w:tcPr>
            <w:tcW w:w="1350" w:type="dxa"/>
            <w:tcBorders>
              <w:top w:val="single" w:sz="4" w:space="0" w:color="auto"/>
              <w:bottom w:val="single" w:sz="4" w:space="0" w:color="auto"/>
            </w:tcBorders>
            <w:vAlign w:val="center"/>
          </w:tcPr>
          <w:p w14:paraId="6B711DD8" w14:textId="77777777" w:rsidR="00D1714C" w:rsidRPr="00261F48" w:rsidRDefault="00D1714C" w:rsidP="00D1714C">
            <w:pPr>
              <w:rPr>
                <w:b/>
                <w:bCs/>
                <w:sz w:val="20"/>
              </w:rPr>
            </w:pPr>
            <w:r w:rsidRPr="00261F48">
              <w:rPr>
                <w:b/>
                <w:bCs/>
                <w:sz w:val="20"/>
              </w:rPr>
              <w:t>Observations</w:t>
            </w:r>
          </w:p>
        </w:tc>
        <w:tc>
          <w:tcPr>
            <w:tcW w:w="1294" w:type="dxa"/>
            <w:tcBorders>
              <w:top w:val="single" w:sz="4" w:space="0" w:color="auto"/>
              <w:bottom w:val="single" w:sz="4" w:space="0" w:color="auto"/>
            </w:tcBorders>
            <w:vAlign w:val="center"/>
          </w:tcPr>
          <w:p w14:paraId="6D92E160" w14:textId="77777777" w:rsidR="00D1714C" w:rsidRPr="00261F48" w:rsidRDefault="00D1714C" w:rsidP="00D1714C">
            <w:pPr>
              <w:rPr>
                <w:b/>
                <w:bCs/>
                <w:sz w:val="20"/>
              </w:rPr>
            </w:pPr>
            <w:r w:rsidRPr="00261F48">
              <w:rPr>
                <w:b/>
                <w:bCs/>
                <w:sz w:val="20"/>
              </w:rPr>
              <w:t>Components</w:t>
            </w:r>
          </w:p>
        </w:tc>
        <w:tc>
          <w:tcPr>
            <w:tcW w:w="972" w:type="dxa"/>
            <w:tcBorders>
              <w:top w:val="single" w:sz="4" w:space="0" w:color="auto"/>
              <w:bottom w:val="single" w:sz="4" w:space="0" w:color="auto"/>
            </w:tcBorders>
            <w:vAlign w:val="center"/>
          </w:tcPr>
          <w:p w14:paraId="36DD0E18" w14:textId="77777777" w:rsidR="00D1714C" w:rsidRPr="00261F48" w:rsidRDefault="00D1714C" w:rsidP="00D1714C">
            <w:pPr>
              <w:rPr>
                <w:b/>
                <w:bCs/>
                <w:sz w:val="20"/>
              </w:rPr>
            </w:pPr>
            <w:r w:rsidRPr="00261F48">
              <w:rPr>
                <w:b/>
                <w:bCs/>
                <w:sz w:val="20"/>
              </w:rPr>
              <w:t xml:space="preserve">Training adj. </w:t>
            </w:r>
            <w:r w:rsidRPr="00261F48">
              <w:rPr>
                <w:b/>
                <w:bCs/>
                <w:i/>
                <w:iCs/>
                <w:sz w:val="20"/>
              </w:rPr>
              <w:t>R</w:t>
            </w:r>
            <w:r w:rsidRPr="00261F48">
              <w:rPr>
                <w:b/>
                <w:bCs/>
                <w:i/>
                <w:iCs/>
                <w:sz w:val="20"/>
                <w:vertAlign w:val="superscript"/>
              </w:rPr>
              <w:t>2</w:t>
            </w:r>
          </w:p>
        </w:tc>
        <w:tc>
          <w:tcPr>
            <w:tcW w:w="1375" w:type="dxa"/>
            <w:tcBorders>
              <w:top w:val="single" w:sz="4" w:space="0" w:color="auto"/>
              <w:bottom w:val="single" w:sz="4" w:space="0" w:color="auto"/>
            </w:tcBorders>
            <w:vAlign w:val="center"/>
          </w:tcPr>
          <w:p w14:paraId="5972900D" w14:textId="77777777" w:rsidR="00D1714C" w:rsidRPr="00261F48" w:rsidRDefault="00D1714C" w:rsidP="00D1714C">
            <w:pPr>
              <w:ind w:right="403"/>
              <w:rPr>
                <w:b/>
                <w:bCs/>
                <w:sz w:val="20"/>
              </w:rPr>
            </w:pPr>
            <w:r w:rsidRPr="00261F48">
              <w:rPr>
                <w:b/>
                <w:bCs/>
                <w:sz w:val="20"/>
              </w:rPr>
              <w:t xml:space="preserve">Training </w:t>
            </w:r>
          </w:p>
          <w:p w14:paraId="2B716105" w14:textId="77777777" w:rsidR="00D1714C" w:rsidRDefault="00D1714C" w:rsidP="00D1714C">
            <w:pPr>
              <w:rPr>
                <w:b/>
                <w:bCs/>
                <w:sz w:val="20"/>
              </w:rPr>
            </w:pPr>
            <w:r w:rsidRPr="00261F48">
              <w:rPr>
                <w:b/>
                <w:bCs/>
                <w:sz w:val="20"/>
              </w:rPr>
              <w:t xml:space="preserve">RMSE </w:t>
            </w:r>
          </w:p>
          <w:p w14:paraId="1B0D1AB1" w14:textId="7A4B07A6" w:rsidR="00D1714C" w:rsidRPr="00261F48" w:rsidRDefault="00D1714C" w:rsidP="00D1714C">
            <w:pPr>
              <w:rPr>
                <w:b/>
                <w:bCs/>
                <w:sz w:val="20"/>
              </w:rPr>
            </w:pPr>
            <w:r w:rsidRPr="00261F48">
              <w:rPr>
                <w:b/>
                <w:bCs/>
                <w:sz w:val="20"/>
              </w:rPr>
              <w:t>(</w:t>
            </w:r>
            <w:proofErr w:type="spellStart"/>
            <w:r w:rsidRPr="00261F48">
              <w:rPr>
                <w:b/>
                <w:bCs/>
                <w:sz w:val="20"/>
              </w:rPr>
              <w:t>μg</w:t>
            </w:r>
            <w:proofErr w:type="spellEnd"/>
            <w:r w:rsidRPr="00261F48">
              <w:rPr>
                <w:b/>
                <w:bCs/>
                <w:sz w:val="20"/>
              </w:rPr>
              <w:t xml:space="preserve"> P L</w:t>
            </w:r>
            <w:r w:rsidRPr="00261F48">
              <w:rPr>
                <w:b/>
                <w:bCs/>
                <w:sz w:val="20"/>
                <w:vertAlign w:val="superscript"/>
              </w:rPr>
              <w:t>-1</w:t>
            </w:r>
            <w:r w:rsidRPr="00261F48">
              <w:rPr>
                <w:b/>
                <w:bCs/>
                <w:sz w:val="20"/>
              </w:rPr>
              <w:t>)</w:t>
            </w:r>
          </w:p>
        </w:tc>
        <w:tc>
          <w:tcPr>
            <w:tcW w:w="1117" w:type="dxa"/>
            <w:tcBorders>
              <w:top w:val="single" w:sz="4" w:space="0" w:color="auto"/>
              <w:bottom w:val="single" w:sz="4" w:space="0" w:color="auto"/>
            </w:tcBorders>
            <w:vAlign w:val="center"/>
          </w:tcPr>
          <w:p w14:paraId="60C5B537" w14:textId="77777777" w:rsidR="00D1714C" w:rsidRPr="00261F48" w:rsidRDefault="00D1714C" w:rsidP="00D1714C">
            <w:pPr>
              <w:rPr>
                <w:b/>
                <w:bCs/>
                <w:sz w:val="20"/>
              </w:rPr>
            </w:pPr>
            <w:r w:rsidRPr="00261F48">
              <w:rPr>
                <w:b/>
                <w:bCs/>
                <w:sz w:val="20"/>
              </w:rPr>
              <w:t xml:space="preserve">Validation adj. </w:t>
            </w:r>
            <w:r w:rsidRPr="00261F48">
              <w:rPr>
                <w:b/>
                <w:bCs/>
                <w:i/>
                <w:iCs/>
                <w:sz w:val="20"/>
              </w:rPr>
              <w:t>R</w:t>
            </w:r>
            <w:r w:rsidRPr="00261F48">
              <w:rPr>
                <w:b/>
                <w:bCs/>
                <w:i/>
                <w:iCs/>
                <w:sz w:val="20"/>
                <w:vertAlign w:val="superscript"/>
              </w:rPr>
              <w:t>2</w:t>
            </w:r>
          </w:p>
        </w:tc>
        <w:tc>
          <w:tcPr>
            <w:tcW w:w="1101" w:type="dxa"/>
            <w:tcBorders>
              <w:top w:val="single" w:sz="4" w:space="0" w:color="auto"/>
              <w:bottom w:val="single" w:sz="4" w:space="0" w:color="auto"/>
            </w:tcBorders>
            <w:vAlign w:val="center"/>
          </w:tcPr>
          <w:p w14:paraId="1BC5F2AC" w14:textId="77777777" w:rsidR="00D1714C" w:rsidRPr="00261F48" w:rsidRDefault="00D1714C" w:rsidP="00D1714C">
            <w:pPr>
              <w:rPr>
                <w:b/>
                <w:bCs/>
                <w:sz w:val="20"/>
              </w:rPr>
            </w:pPr>
            <w:r w:rsidRPr="00261F48">
              <w:rPr>
                <w:b/>
                <w:bCs/>
                <w:sz w:val="20"/>
              </w:rPr>
              <w:t>Validation RMSE (</w:t>
            </w:r>
            <w:proofErr w:type="spellStart"/>
            <w:r w:rsidRPr="00261F48">
              <w:rPr>
                <w:b/>
                <w:bCs/>
                <w:sz w:val="20"/>
              </w:rPr>
              <w:t>μg</w:t>
            </w:r>
            <w:proofErr w:type="spellEnd"/>
            <w:r w:rsidRPr="00261F48">
              <w:rPr>
                <w:b/>
                <w:bCs/>
                <w:sz w:val="20"/>
              </w:rPr>
              <w:t xml:space="preserve"> P L</w:t>
            </w:r>
            <w:r w:rsidRPr="00261F48">
              <w:rPr>
                <w:b/>
                <w:bCs/>
                <w:sz w:val="20"/>
                <w:vertAlign w:val="superscript"/>
              </w:rPr>
              <w:t>-1</w:t>
            </w:r>
            <w:r w:rsidRPr="00261F48">
              <w:rPr>
                <w:b/>
                <w:bCs/>
                <w:sz w:val="20"/>
              </w:rPr>
              <w:t>)</w:t>
            </w:r>
          </w:p>
        </w:tc>
      </w:tr>
      <w:tr w:rsidR="00D1714C" w14:paraId="0974B0E2" w14:textId="77777777" w:rsidTr="00D1714C">
        <w:trPr>
          <w:trHeight w:val="360"/>
        </w:trPr>
        <w:tc>
          <w:tcPr>
            <w:tcW w:w="1194" w:type="dxa"/>
            <w:tcBorders>
              <w:top w:val="single" w:sz="4" w:space="0" w:color="auto"/>
            </w:tcBorders>
            <w:vAlign w:val="bottom"/>
          </w:tcPr>
          <w:p w14:paraId="30D18809" w14:textId="77777777" w:rsidR="00D1714C" w:rsidRDefault="00D1714C" w:rsidP="00D1714C">
            <w:pPr>
              <w:rPr>
                <w:sz w:val="20"/>
              </w:rPr>
            </w:pPr>
            <w:r>
              <w:rPr>
                <w:sz w:val="20"/>
              </w:rPr>
              <w:t>Agricultural</w:t>
            </w:r>
          </w:p>
        </w:tc>
        <w:tc>
          <w:tcPr>
            <w:tcW w:w="1394" w:type="dxa"/>
            <w:tcBorders>
              <w:top w:val="single" w:sz="4" w:space="0" w:color="auto"/>
            </w:tcBorders>
            <w:vAlign w:val="bottom"/>
          </w:tcPr>
          <w:p w14:paraId="715C9DA7" w14:textId="77777777" w:rsidR="00D1714C" w:rsidRDefault="00D1714C" w:rsidP="00D1714C">
            <w:pPr>
              <w:rPr>
                <w:sz w:val="20"/>
              </w:rPr>
            </w:pPr>
            <w:r>
              <w:rPr>
                <w:sz w:val="20"/>
              </w:rPr>
              <w:t>34.10</w:t>
            </w:r>
          </w:p>
        </w:tc>
        <w:tc>
          <w:tcPr>
            <w:tcW w:w="1472" w:type="dxa"/>
            <w:tcBorders>
              <w:top w:val="single" w:sz="4" w:space="0" w:color="auto"/>
            </w:tcBorders>
            <w:vAlign w:val="bottom"/>
          </w:tcPr>
          <w:p w14:paraId="09190E73" w14:textId="77777777" w:rsidR="00D1714C" w:rsidRDefault="00D1714C" w:rsidP="00D1714C">
            <w:pPr>
              <w:rPr>
                <w:sz w:val="20"/>
              </w:rPr>
            </w:pPr>
            <w:r>
              <w:rPr>
                <w:sz w:val="20"/>
              </w:rPr>
              <w:t>3.04 – 1239.00</w:t>
            </w:r>
          </w:p>
        </w:tc>
        <w:tc>
          <w:tcPr>
            <w:tcW w:w="222" w:type="dxa"/>
            <w:tcBorders>
              <w:top w:val="single" w:sz="4" w:space="0" w:color="auto"/>
            </w:tcBorders>
            <w:vAlign w:val="bottom"/>
          </w:tcPr>
          <w:p w14:paraId="214C1225" w14:textId="77777777" w:rsidR="00D1714C" w:rsidRDefault="00D1714C" w:rsidP="00D1714C">
            <w:pPr>
              <w:rPr>
                <w:sz w:val="20"/>
              </w:rPr>
            </w:pPr>
          </w:p>
        </w:tc>
        <w:tc>
          <w:tcPr>
            <w:tcW w:w="1350" w:type="dxa"/>
            <w:tcBorders>
              <w:top w:val="single" w:sz="4" w:space="0" w:color="auto"/>
            </w:tcBorders>
            <w:vAlign w:val="bottom"/>
          </w:tcPr>
          <w:p w14:paraId="7E60CA0A" w14:textId="77777777" w:rsidR="00D1714C" w:rsidRDefault="00D1714C" w:rsidP="00D1714C">
            <w:pPr>
              <w:rPr>
                <w:sz w:val="20"/>
              </w:rPr>
            </w:pPr>
            <w:r>
              <w:rPr>
                <w:sz w:val="20"/>
              </w:rPr>
              <w:t>153</w:t>
            </w:r>
          </w:p>
        </w:tc>
        <w:tc>
          <w:tcPr>
            <w:tcW w:w="1294" w:type="dxa"/>
            <w:tcBorders>
              <w:top w:val="single" w:sz="4" w:space="0" w:color="auto"/>
            </w:tcBorders>
            <w:vAlign w:val="bottom"/>
          </w:tcPr>
          <w:p w14:paraId="6233CF1A" w14:textId="77777777" w:rsidR="00D1714C" w:rsidRDefault="00D1714C" w:rsidP="00D1714C">
            <w:pPr>
              <w:rPr>
                <w:sz w:val="20"/>
              </w:rPr>
            </w:pPr>
            <w:r>
              <w:rPr>
                <w:sz w:val="20"/>
              </w:rPr>
              <w:t>9</w:t>
            </w:r>
          </w:p>
        </w:tc>
        <w:tc>
          <w:tcPr>
            <w:tcW w:w="972" w:type="dxa"/>
            <w:tcBorders>
              <w:top w:val="single" w:sz="4" w:space="0" w:color="auto"/>
            </w:tcBorders>
            <w:vAlign w:val="bottom"/>
          </w:tcPr>
          <w:p w14:paraId="789D00D1" w14:textId="77777777" w:rsidR="00D1714C" w:rsidRDefault="00D1714C" w:rsidP="00D1714C">
            <w:pPr>
              <w:rPr>
                <w:sz w:val="20"/>
              </w:rPr>
            </w:pPr>
            <w:r>
              <w:rPr>
                <w:sz w:val="20"/>
              </w:rPr>
              <w:t>0.81</w:t>
            </w:r>
          </w:p>
        </w:tc>
        <w:tc>
          <w:tcPr>
            <w:tcW w:w="1375" w:type="dxa"/>
            <w:tcBorders>
              <w:top w:val="single" w:sz="4" w:space="0" w:color="auto"/>
            </w:tcBorders>
            <w:vAlign w:val="bottom"/>
          </w:tcPr>
          <w:p w14:paraId="3A35531A" w14:textId="77777777" w:rsidR="00D1714C" w:rsidRDefault="00D1714C" w:rsidP="00D1714C">
            <w:pPr>
              <w:rPr>
                <w:sz w:val="20"/>
              </w:rPr>
            </w:pPr>
            <w:r>
              <w:rPr>
                <w:sz w:val="20"/>
              </w:rPr>
              <w:t>55</w:t>
            </w:r>
          </w:p>
        </w:tc>
        <w:tc>
          <w:tcPr>
            <w:tcW w:w="1117" w:type="dxa"/>
            <w:tcBorders>
              <w:top w:val="single" w:sz="4" w:space="0" w:color="auto"/>
            </w:tcBorders>
            <w:vAlign w:val="bottom"/>
          </w:tcPr>
          <w:p w14:paraId="2AC1EBFB" w14:textId="77777777" w:rsidR="00D1714C" w:rsidRDefault="00D1714C" w:rsidP="00D1714C">
            <w:pPr>
              <w:rPr>
                <w:sz w:val="20"/>
              </w:rPr>
            </w:pPr>
            <w:r>
              <w:rPr>
                <w:sz w:val="20"/>
              </w:rPr>
              <w:t>0.54</w:t>
            </w:r>
          </w:p>
        </w:tc>
        <w:tc>
          <w:tcPr>
            <w:tcW w:w="1101" w:type="dxa"/>
            <w:tcBorders>
              <w:top w:val="single" w:sz="4" w:space="0" w:color="auto"/>
            </w:tcBorders>
            <w:vAlign w:val="bottom"/>
          </w:tcPr>
          <w:p w14:paraId="6C86C65C" w14:textId="77777777" w:rsidR="00D1714C" w:rsidRDefault="00D1714C" w:rsidP="00D1714C">
            <w:pPr>
              <w:rPr>
                <w:sz w:val="20"/>
              </w:rPr>
            </w:pPr>
            <w:r>
              <w:rPr>
                <w:sz w:val="20"/>
              </w:rPr>
              <w:t>106</w:t>
            </w:r>
          </w:p>
        </w:tc>
      </w:tr>
      <w:tr w:rsidR="00D1714C" w14:paraId="2A0E7FEE" w14:textId="77777777" w:rsidTr="00D1714C">
        <w:trPr>
          <w:trHeight w:val="360"/>
        </w:trPr>
        <w:tc>
          <w:tcPr>
            <w:tcW w:w="1194" w:type="dxa"/>
            <w:vAlign w:val="bottom"/>
          </w:tcPr>
          <w:p w14:paraId="5CB29282" w14:textId="77777777" w:rsidR="00D1714C" w:rsidRDefault="00D1714C" w:rsidP="00D1714C">
            <w:pPr>
              <w:rPr>
                <w:sz w:val="20"/>
              </w:rPr>
            </w:pPr>
            <w:r>
              <w:rPr>
                <w:sz w:val="20"/>
              </w:rPr>
              <w:t>Urban</w:t>
            </w:r>
          </w:p>
        </w:tc>
        <w:tc>
          <w:tcPr>
            <w:tcW w:w="1394" w:type="dxa"/>
            <w:vAlign w:val="bottom"/>
          </w:tcPr>
          <w:p w14:paraId="49AB7F36" w14:textId="77777777" w:rsidR="00D1714C" w:rsidRDefault="00D1714C" w:rsidP="00D1714C">
            <w:pPr>
              <w:rPr>
                <w:sz w:val="20"/>
              </w:rPr>
            </w:pPr>
            <w:r>
              <w:rPr>
                <w:sz w:val="20"/>
              </w:rPr>
              <w:t>16.40</w:t>
            </w:r>
          </w:p>
        </w:tc>
        <w:tc>
          <w:tcPr>
            <w:tcW w:w="1472" w:type="dxa"/>
            <w:vAlign w:val="bottom"/>
          </w:tcPr>
          <w:p w14:paraId="533C095E" w14:textId="77777777" w:rsidR="00D1714C" w:rsidRDefault="00D1714C" w:rsidP="00D1714C">
            <w:pPr>
              <w:rPr>
                <w:sz w:val="20"/>
              </w:rPr>
            </w:pPr>
            <w:r>
              <w:rPr>
                <w:sz w:val="20"/>
              </w:rPr>
              <w:t>0.34 – 231.00</w:t>
            </w:r>
          </w:p>
        </w:tc>
        <w:tc>
          <w:tcPr>
            <w:tcW w:w="222" w:type="dxa"/>
            <w:vAlign w:val="bottom"/>
          </w:tcPr>
          <w:p w14:paraId="41403151" w14:textId="77777777" w:rsidR="00D1714C" w:rsidRDefault="00D1714C" w:rsidP="00D1714C">
            <w:pPr>
              <w:rPr>
                <w:sz w:val="20"/>
              </w:rPr>
            </w:pPr>
          </w:p>
        </w:tc>
        <w:tc>
          <w:tcPr>
            <w:tcW w:w="1350" w:type="dxa"/>
            <w:vAlign w:val="bottom"/>
          </w:tcPr>
          <w:p w14:paraId="56B0C5EB" w14:textId="77777777" w:rsidR="00D1714C" w:rsidRDefault="00D1714C" w:rsidP="00D1714C">
            <w:pPr>
              <w:rPr>
                <w:sz w:val="20"/>
              </w:rPr>
            </w:pPr>
            <w:r>
              <w:rPr>
                <w:sz w:val="20"/>
              </w:rPr>
              <w:t>109</w:t>
            </w:r>
          </w:p>
        </w:tc>
        <w:tc>
          <w:tcPr>
            <w:tcW w:w="1294" w:type="dxa"/>
            <w:vAlign w:val="bottom"/>
          </w:tcPr>
          <w:p w14:paraId="56A5ABE0" w14:textId="77777777" w:rsidR="00D1714C" w:rsidRDefault="00D1714C" w:rsidP="00D1714C">
            <w:pPr>
              <w:rPr>
                <w:sz w:val="20"/>
              </w:rPr>
            </w:pPr>
            <w:r>
              <w:rPr>
                <w:sz w:val="20"/>
              </w:rPr>
              <w:t>9</w:t>
            </w:r>
          </w:p>
        </w:tc>
        <w:tc>
          <w:tcPr>
            <w:tcW w:w="972" w:type="dxa"/>
            <w:vAlign w:val="bottom"/>
          </w:tcPr>
          <w:p w14:paraId="2CBF929C" w14:textId="77777777" w:rsidR="00D1714C" w:rsidRDefault="00D1714C" w:rsidP="00D1714C">
            <w:pPr>
              <w:rPr>
                <w:sz w:val="20"/>
              </w:rPr>
            </w:pPr>
            <w:r>
              <w:rPr>
                <w:sz w:val="20"/>
              </w:rPr>
              <w:t>0.88</w:t>
            </w:r>
          </w:p>
        </w:tc>
        <w:tc>
          <w:tcPr>
            <w:tcW w:w="1375" w:type="dxa"/>
            <w:vAlign w:val="bottom"/>
          </w:tcPr>
          <w:p w14:paraId="4C68232B" w14:textId="77777777" w:rsidR="00D1714C" w:rsidRDefault="00D1714C" w:rsidP="00D1714C">
            <w:pPr>
              <w:rPr>
                <w:sz w:val="20"/>
              </w:rPr>
            </w:pPr>
            <w:r>
              <w:rPr>
                <w:sz w:val="20"/>
              </w:rPr>
              <w:t>18</w:t>
            </w:r>
          </w:p>
        </w:tc>
        <w:tc>
          <w:tcPr>
            <w:tcW w:w="1117" w:type="dxa"/>
            <w:vAlign w:val="bottom"/>
          </w:tcPr>
          <w:p w14:paraId="521A00D0" w14:textId="77777777" w:rsidR="00D1714C" w:rsidRDefault="00D1714C" w:rsidP="00D1714C">
            <w:pPr>
              <w:rPr>
                <w:sz w:val="20"/>
              </w:rPr>
            </w:pPr>
            <w:r>
              <w:rPr>
                <w:sz w:val="20"/>
              </w:rPr>
              <w:t>0.65</w:t>
            </w:r>
          </w:p>
        </w:tc>
        <w:tc>
          <w:tcPr>
            <w:tcW w:w="1101" w:type="dxa"/>
            <w:vAlign w:val="bottom"/>
          </w:tcPr>
          <w:p w14:paraId="4A9DFD62" w14:textId="77777777" w:rsidR="00D1714C" w:rsidRDefault="00D1714C" w:rsidP="00D1714C">
            <w:pPr>
              <w:rPr>
                <w:sz w:val="20"/>
              </w:rPr>
            </w:pPr>
            <w:r>
              <w:rPr>
                <w:sz w:val="20"/>
              </w:rPr>
              <w:t>30</w:t>
            </w:r>
          </w:p>
        </w:tc>
      </w:tr>
      <w:tr w:rsidR="00D1714C" w14:paraId="2344DDCB" w14:textId="77777777" w:rsidTr="00D1714C">
        <w:trPr>
          <w:trHeight w:val="360"/>
        </w:trPr>
        <w:tc>
          <w:tcPr>
            <w:tcW w:w="1194" w:type="dxa"/>
            <w:tcBorders>
              <w:bottom w:val="single" w:sz="4" w:space="0" w:color="auto"/>
            </w:tcBorders>
            <w:vAlign w:val="bottom"/>
          </w:tcPr>
          <w:p w14:paraId="094E9373" w14:textId="77777777" w:rsidR="00D1714C" w:rsidRDefault="00D1714C" w:rsidP="00D1714C">
            <w:pPr>
              <w:rPr>
                <w:sz w:val="20"/>
              </w:rPr>
            </w:pPr>
            <w:r>
              <w:rPr>
                <w:sz w:val="20"/>
              </w:rPr>
              <w:t>Forested</w:t>
            </w:r>
          </w:p>
        </w:tc>
        <w:tc>
          <w:tcPr>
            <w:tcW w:w="1394" w:type="dxa"/>
            <w:tcBorders>
              <w:bottom w:val="single" w:sz="4" w:space="0" w:color="auto"/>
            </w:tcBorders>
            <w:vAlign w:val="bottom"/>
          </w:tcPr>
          <w:p w14:paraId="267B48EB" w14:textId="77777777" w:rsidR="00D1714C" w:rsidRDefault="00D1714C" w:rsidP="00D1714C">
            <w:pPr>
              <w:rPr>
                <w:sz w:val="20"/>
              </w:rPr>
            </w:pPr>
            <w:r>
              <w:rPr>
                <w:sz w:val="20"/>
              </w:rPr>
              <w:t>3.59</w:t>
            </w:r>
          </w:p>
        </w:tc>
        <w:tc>
          <w:tcPr>
            <w:tcW w:w="1472" w:type="dxa"/>
            <w:tcBorders>
              <w:bottom w:val="single" w:sz="4" w:space="0" w:color="auto"/>
            </w:tcBorders>
            <w:vAlign w:val="bottom"/>
          </w:tcPr>
          <w:p w14:paraId="62A9244E" w14:textId="77777777" w:rsidR="00D1714C" w:rsidRDefault="00D1714C" w:rsidP="00D1714C">
            <w:pPr>
              <w:rPr>
                <w:sz w:val="20"/>
              </w:rPr>
            </w:pPr>
            <w:r>
              <w:rPr>
                <w:sz w:val="20"/>
              </w:rPr>
              <w:t>0.60 – 22.80</w:t>
            </w:r>
          </w:p>
        </w:tc>
        <w:tc>
          <w:tcPr>
            <w:tcW w:w="222" w:type="dxa"/>
            <w:tcBorders>
              <w:bottom w:val="single" w:sz="4" w:space="0" w:color="auto"/>
            </w:tcBorders>
            <w:vAlign w:val="bottom"/>
          </w:tcPr>
          <w:p w14:paraId="0DE2A260" w14:textId="77777777" w:rsidR="00D1714C" w:rsidRDefault="00D1714C" w:rsidP="00D1714C">
            <w:pPr>
              <w:rPr>
                <w:sz w:val="20"/>
              </w:rPr>
            </w:pPr>
          </w:p>
        </w:tc>
        <w:tc>
          <w:tcPr>
            <w:tcW w:w="1350" w:type="dxa"/>
            <w:tcBorders>
              <w:bottom w:val="single" w:sz="4" w:space="0" w:color="auto"/>
            </w:tcBorders>
            <w:vAlign w:val="bottom"/>
          </w:tcPr>
          <w:p w14:paraId="4A7BEEC7" w14:textId="77777777" w:rsidR="00D1714C" w:rsidRDefault="00D1714C" w:rsidP="00D1714C">
            <w:pPr>
              <w:rPr>
                <w:sz w:val="20"/>
              </w:rPr>
            </w:pPr>
            <w:r>
              <w:rPr>
                <w:sz w:val="20"/>
              </w:rPr>
              <w:t>126</w:t>
            </w:r>
          </w:p>
        </w:tc>
        <w:tc>
          <w:tcPr>
            <w:tcW w:w="1294" w:type="dxa"/>
            <w:tcBorders>
              <w:bottom w:val="single" w:sz="4" w:space="0" w:color="auto"/>
            </w:tcBorders>
            <w:vAlign w:val="bottom"/>
          </w:tcPr>
          <w:p w14:paraId="0F842116" w14:textId="77777777" w:rsidR="00D1714C" w:rsidRDefault="00D1714C" w:rsidP="00D1714C">
            <w:pPr>
              <w:rPr>
                <w:sz w:val="20"/>
              </w:rPr>
            </w:pPr>
            <w:r>
              <w:rPr>
                <w:sz w:val="20"/>
              </w:rPr>
              <w:t>8</w:t>
            </w:r>
          </w:p>
        </w:tc>
        <w:tc>
          <w:tcPr>
            <w:tcW w:w="972" w:type="dxa"/>
            <w:tcBorders>
              <w:bottom w:val="single" w:sz="4" w:space="0" w:color="auto"/>
            </w:tcBorders>
            <w:vAlign w:val="bottom"/>
          </w:tcPr>
          <w:p w14:paraId="5AF605D5" w14:textId="77777777" w:rsidR="00D1714C" w:rsidRDefault="00D1714C" w:rsidP="00D1714C">
            <w:pPr>
              <w:rPr>
                <w:sz w:val="20"/>
              </w:rPr>
            </w:pPr>
            <w:r>
              <w:rPr>
                <w:sz w:val="20"/>
              </w:rPr>
              <w:t>0.83</w:t>
            </w:r>
          </w:p>
        </w:tc>
        <w:tc>
          <w:tcPr>
            <w:tcW w:w="1375" w:type="dxa"/>
            <w:tcBorders>
              <w:bottom w:val="single" w:sz="4" w:space="0" w:color="auto"/>
            </w:tcBorders>
            <w:vAlign w:val="bottom"/>
          </w:tcPr>
          <w:p w14:paraId="2B4AA91A" w14:textId="77777777" w:rsidR="00D1714C" w:rsidRDefault="00D1714C" w:rsidP="00D1714C">
            <w:pPr>
              <w:rPr>
                <w:sz w:val="20"/>
              </w:rPr>
            </w:pPr>
            <w:r>
              <w:rPr>
                <w:sz w:val="20"/>
              </w:rPr>
              <w:t>2.0</w:t>
            </w:r>
          </w:p>
        </w:tc>
        <w:tc>
          <w:tcPr>
            <w:tcW w:w="1117" w:type="dxa"/>
            <w:tcBorders>
              <w:bottom w:val="single" w:sz="4" w:space="0" w:color="auto"/>
            </w:tcBorders>
            <w:vAlign w:val="bottom"/>
          </w:tcPr>
          <w:p w14:paraId="6A46136C" w14:textId="77777777" w:rsidR="00D1714C" w:rsidRDefault="00D1714C" w:rsidP="00D1714C">
            <w:pPr>
              <w:rPr>
                <w:sz w:val="20"/>
              </w:rPr>
            </w:pPr>
            <w:r>
              <w:rPr>
                <w:sz w:val="20"/>
              </w:rPr>
              <w:t>0.76</w:t>
            </w:r>
          </w:p>
        </w:tc>
        <w:tc>
          <w:tcPr>
            <w:tcW w:w="1101" w:type="dxa"/>
            <w:tcBorders>
              <w:bottom w:val="single" w:sz="4" w:space="0" w:color="auto"/>
            </w:tcBorders>
            <w:vAlign w:val="bottom"/>
          </w:tcPr>
          <w:p w14:paraId="1D64134B" w14:textId="77777777" w:rsidR="00D1714C" w:rsidRDefault="00D1714C" w:rsidP="00D1714C">
            <w:pPr>
              <w:rPr>
                <w:sz w:val="20"/>
              </w:rPr>
            </w:pPr>
            <w:r>
              <w:rPr>
                <w:sz w:val="20"/>
              </w:rPr>
              <w:t>2.4</w:t>
            </w:r>
          </w:p>
        </w:tc>
      </w:tr>
    </w:tbl>
    <w:p w14:paraId="068CCC9F" w14:textId="14D55CBC" w:rsidR="00D1714C" w:rsidRDefault="00D1714C" w:rsidP="0066722B">
      <w:pPr>
        <w:pStyle w:val="SMHeading"/>
        <w:rPr>
          <w:rFonts w:ascii="Myriad Pro" w:hAnsi="Myriad Pro"/>
          <w:sz w:val="22"/>
          <w:szCs w:val="22"/>
        </w:rPr>
      </w:pPr>
    </w:p>
    <w:p w14:paraId="62D8009F" w14:textId="77777777" w:rsidR="00D1714C" w:rsidRDefault="00D1714C" w:rsidP="0066722B">
      <w:pPr>
        <w:pStyle w:val="SMHeading"/>
        <w:rPr>
          <w:rFonts w:ascii="Myriad Pro" w:hAnsi="Myriad Pro"/>
          <w:sz w:val="22"/>
          <w:szCs w:val="22"/>
        </w:rPr>
      </w:pPr>
    </w:p>
    <w:p w14:paraId="1FBFE720" w14:textId="77777777" w:rsidR="00D1714C" w:rsidRDefault="00D1714C" w:rsidP="0066722B">
      <w:pPr>
        <w:pStyle w:val="SMHeading"/>
        <w:rPr>
          <w:rFonts w:ascii="Myriad Pro" w:hAnsi="Myriad Pro"/>
          <w:sz w:val="22"/>
          <w:szCs w:val="22"/>
        </w:rPr>
      </w:pPr>
    </w:p>
    <w:p w14:paraId="7EC4EA5F" w14:textId="77777777" w:rsidR="00D1714C" w:rsidRDefault="00D1714C" w:rsidP="0066722B">
      <w:pPr>
        <w:pStyle w:val="SMHeading"/>
        <w:rPr>
          <w:rFonts w:ascii="Myriad Pro" w:hAnsi="Myriad Pro"/>
          <w:sz w:val="22"/>
          <w:szCs w:val="22"/>
        </w:rPr>
      </w:pPr>
    </w:p>
    <w:p w14:paraId="7CD7554B" w14:textId="3C329F8E" w:rsidR="00D1714C" w:rsidRDefault="008D54B0" w:rsidP="0066722B">
      <w:pPr>
        <w:pStyle w:val="SMHeading"/>
        <w:rPr>
          <w:rFonts w:ascii="Myriad Pro" w:hAnsi="Myriad Pro"/>
          <w:sz w:val="22"/>
          <w:szCs w:val="22"/>
        </w:rPr>
      </w:pPr>
      <w:r w:rsidRPr="005314B5">
        <w:rPr>
          <w:rFonts w:ascii="Myriad Pro" w:hAnsi="Myriad Pro"/>
          <w:sz w:val="22"/>
          <w:szCs w:val="22"/>
        </w:rPr>
        <w:t>Table S</w:t>
      </w:r>
      <w:r>
        <w:rPr>
          <w:rFonts w:ascii="Myriad Pro" w:hAnsi="Myriad Pro"/>
          <w:sz w:val="22"/>
          <w:szCs w:val="22"/>
        </w:rPr>
        <w:t>2</w:t>
      </w:r>
      <w:r w:rsidRPr="005314B5">
        <w:rPr>
          <w:rFonts w:ascii="Myriad Pro" w:hAnsi="Myriad Pro"/>
          <w:sz w:val="22"/>
          <w:szCs w:val="22"/>
        </w:rPr>
        <w:t xml:space="preserve">. </w:t>
      </w:r>
      <w:r w:rsidRPr="008D54B0">
        <w:rPr>
          <w:rFonts w:ascii="Myriad Pro" w:hAnsi="Myriad Pro"/>
          <w:b w:val="0"/>
          <w:sz w:val="22"/>
          <w:szCs w:val="22"/>
        </w:rPr>
        <w:t xml:space="preserve">Results of partial least squares regression (PLSR) relating lab analyses of soluble reactive phosphorus (SRP) concentrations to absorbance spectra of the same samples measured using the </w:t>
      </w:r>
      <w:proofErr w:type="gramStart"/>
      <w:r w:rsidRPr="008D54B0">
        <w:rPr>
          <w:rFonts w:ascii="Myriad Pro" w:hAnsi="Myriad Pro"/>
          <w:b w:val="0"/>
          <w:sz w:val="22"/>
          <w:szCs w:val="22"/>
        </w:rPr>
        <w:t>s::</w:t>
      </w:r>
      <w:proofErr w:type="gramEnd"/>
      <w:r w:rsidRPr="008D54B0">
        <w:rPr>
          <w:rFonts w:ascii="Myriad Pro" w:hAnsi="Myriad Pro"/>
          <w:b w:val="0"/>
          <w:sz w:val="22"/>
          <w:szCs w:val="22"/>
        </w:rPr>
        <w:t xml:space="preserve">can </w:t>
      </w:r>
      <w:proofErr w:type="spellStart"/>
      <w:r w:rsidRPr="008D54B0">
        <w:rPr>
          <w:rFonts w:ascii="Myriad Pro" w:hAnsi="Myriad Pro"/>
          <w:b w:val="0"/>
          <w:sz w:val="22"/>
          <w:szCs w:val="22"/>
        </w:rPr>
        <w:t>spectro</w:t>
      </w:r>
      <w:proofErr w:type="spellEnd"/>
      <w:r w:rsidRPr="008D54B0">
        <w:rPr>
          <w:rFonts w:ascii="Myriad Pro" w:hAnsi="Myriad Pro"/>
          <w:b w:val="0"/>
          <w:sz w:val="22"/>
          <w:szCs w:val="22"/>
        </w:rPr>
        <w:t>::</w:t>
      </w:r>
      <w:proofErr w:type="spellStart"/>
      <w:r w:rsidRPr="008D54B0">
        <w:rPr>
          <w:rFonts w:ascii="Myriad Pro" w:hAnsi="Myriad Pro"/>
          <w:b w:val="0"/>
          <w:sz w:val="22"/>
          <w:szCs w:val="22"/>
        </w:rPr>
        <w:t>lyser</w:t>
      </w:r>
      <w:proofErr w:type="spellEnd"/>
      <w:r w:rsidRPr="008D54B0">
        <w:rPr>
          <w:rFonts w:ascii="Myriad Pro" w:hAnsi="Myriad Pro"/>
          <w:b w:val="0"/>
          <w:sz w:val="22"/>
          <w:szCs w:val="22"/>
        </w:rPr>
        <w:t xml:space="preserve"> UV-Visible spectrophotometers. A detailed description of our approach can be found in Vaughan et al., (2018). Briefly, training and validation prediction sets were generated for each site using all data from that site (i.e., all years). For each training dataset, 85% of available observations were selected randomly to generate a model. The training model was then used to predict a validation set, which was comprised of the remaining 15% of observations that were randomly withheld. This process was repeated 1000 times with replacement, and predictions and statistics for each model were collected and aggregated. Sensor performance was evaluated by performing linear correlations on the mean predicted value for training and validation sets vs. the corresponding lab-measured values. Adjusted R</w:t>
      </w:r>
      <w:r w:rsidRPr="008D54B0">
        <w:rPr>
          <w:rFonts w:ascii="Myriad Pro" w:hAnsi="Myriad Pro"/>
          <w:b w:val="0"/>
          <w:sz w:val="22"/>
          <w:szCs w:val="22"/>
          <w:vertAlign w:val="superscript"/>
        </w:rPr>
        <w:t>2</w:t>
      </w:r>
      <w:r w:rsidRPr="008D54B0">
        <w:rPr>
          <w:rFonts w:ascii="Myriad Pro" w:hAnsi="Myriad Pro"/>
          <w:b w:val="0"/>
          <w:sz w:val="22"/>
          <w:szCs w:val="22"/>
        </w:rPr>
        <w:t xml:space="preserve"> values are presented to compare goodness of fit for regressions to remove the bias associated with differing sample sizes, and root mean square errors (RMSEs) are presented as estimates of model </w:t>
      </w:r>
      <w:r w:rsidR="004847E5">
        <w:rPr>
          <w:rFonts w:ascii="Myriad Pro" w:hAnsi="Myriad Pro"/>
          <w:b w:val="0"/>
          <w:sz w:val="22"/>
          <w:szCs w:val="22"/>
        </w:rPr>
        <w:t>error</w:t>
      </w:r>
      <w:r w:rsidRPr="008D54B0">
        <w:rPr>
          <w:rFonts w:ascii="Myriad Pro" w:hAnsi="Myriad Pro"/>
          <w:b w:val="0"/>
          <w:sz w:val="22"/>
          <w:szCs w:val="22"/>
        </w:rPr>
        <w:t>.</w:t>
      </w:r>
    </w:p>
    <w:p w14:paraId="77CF7C72" w14:textId="77777777" w:rsidR="00D1714C" w:rsidRDefault="00D1714C" w:rsidP="0066722B">
      <w:pPr>
        <w:pStyle w:val="SMHeading"/>
        <w:rPr>
          <w:rFonts w:ascii="Myriad Pro" w:hAnsi="Myriad Pro"/>
          <w:sz w:val="22"/>
          <w:szCs w:val="22"/>
        </w:rPr>
      </w:pPr>
    </w:p>
    <w:p w14:paraId="4E740345" w14:textId="6BF02BDC" w:rsidR="00D1714C" w:rsidRDefault="00D1714C" w:rsidP="0066722B">
      <w:pPr>
        <w:pStyle w:val="SMHeading"/>
        <w:rPr>
          <w:rFonts w:ascii="Myriad Pro" w:hAnsi="Myriad Pro"/>
          <w:sz w:val="22"/>
          <w:szCs w:val="22"/>
        </w:rPr>
        <w:sectPr w:rsidR="00D1714C" w:rsidSect="00051E98">
          <w:pgSz w:w="15840" w:h="12240" w:orient="landscape"/>
          <w:pgMar w:top="1800" w:right="1440" w:bottom="1800" w:left="1440" w:header="720" w:footer="720" w:gutter="0"/>
          <w:cols w:space="720"/>
          <w:docGrid w:linePitch="360"/>
        </w:sectPr>
      </w:pPr>
    </w:p>
    <w:p w14:paraId="58535630" w14:textId="23FD7B68" w:rsidR="00D1714C" w:rsidRDefault="00D1714C" w:rsidP="0066722B">
      <w:pPr>
        <w:pStyle w:val="SMHeading"/>
        <w:rPr>
          <w:rFonts w:ascii="Myriad Pro" w:hAnsi="Myriad Pro"/>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890"/>
        <w:gridCol w:w="1980"/>
        <w:gridCol w:w="1350"/>
        <w:gridCol w:w="1530"/>
      </w:tblGrid>
      <w:tr w:rsidR="008D54B0" w:rsidRPr="00943CEE" w14:paraId="5CF6CF94" w14:textId="77777777" w:rsidTr="00BC5D2C">
        <w:tc>
          <w:tcPr>
            <w:tcW w:w="1350" w:type="dxa"/>
            <w:tcBorders>
              <w:top w:val="single" w:sz="4" w:space="0" w:color="auto"/>
              <w:bottom w:val="single" w:sz="4" w:space="0" w:color="auto"/>
            </w:tcBorders>
            <w:vAlign w:val="center"/>
          </w:tcPr>
          <w:p w14:paraId="1F8C61B3" w14:textId="77777777" w:rsidR="008D54B0" w:rsidRPr="00943CEE" w:rsidRDefault="008D54B0" w:rsidP="00BC5D2C">
            <w:pPr>
              <w:pStyle w:val="NormalWeb"/>
              <w:rPr>
                <w:b/>
                <w:bCs/>
                <w:sz w:val="20"/>
                <w:szCs w:val="20"/>
              </w:rPr>
            </w:pPr>
            <w:r w:rsidRPr="00943CEE">
              <w:rPr>
                <w:b/>
                <w:bCs/>
                <w:sz w:val="20"/>
                <w:szCs w:val="20"/>
              </w:rPr>
              <w:t>Site</w:t>
            </w:r>
          </w:p>
        </w:tc>
        <w:tc>
          <w:tcPr>
            <w:tcW w:w="1890" w:type="dxa"/>
            <w:tcBorders>
              <w:top w:val="single" w:sz="4" w:space="0" w:color="auto"/>
              <w:bottom w:val="single" w:sz="4" w:space="0" w:color="auto"/>
            </w:tcBorders>
            <w:vAlign w:val="center"/>
          </w:tcPr>
          <w:p w14:paraId="678CE13F" w14:textId="77777777" w:rsidR="008D54B0" w:rsidRPr="00943CEE" w:rsidRDefault="008D54B0" w:rsidP="00BC5D2C">
            <w:pPr>
              <w:pStyle w:val="NormalWeb"/>
              <w:rPr>
                <w:b/>
                <w:bCs/>
                <w:sz w:val="20"/>
                <w:szCs w:val="20"/>
              </w:rPr>
            </w:pPr>
            <w:r w:rsidRPr="00943CEE">
              <w:rPr>
                <w:b/>
                <w:bCs/>
                <w:sz w:val="20"/>
                <w:szCs w:val="20"/>
              </w:rPr>
              <w:t>Peaking threshold (minimum peak discharge in m</w:t>
            </w:r>
            <w:r w:rsidRPr="00943CEE">
              <w:rPr>
                <w:b/>
                <w:bCs/>
                <w:sz w:val="20"/>
                <w:szCs w:val="20"/>
                <w:vertAlign w:val="superscript"/>
              </w:rPr>
              <w:t>3</w:t>
            </w:r>
            <w:r w:rsidRPr="00943CEE">
              <w:rPr>
                <w:b/>
                <w:bCs/>
                <w:sz w:val="20"/>
                <w:szCs w:val="20"/>
              </w:rPr>
              <w:t>s</w:t>
            </w:r>
            <w:r w:rsidRPr="00943CEE">
              <w:rPr>
                <w:b/>
                <w:bCs/>
                <w:sz w:val="20"/>
                <w:szCs w:val="20"/>
                <w:vertAlign w:val="superscript"/>
              </w:rPr>
              <w:t>-1</w:t>
            </w:r>
            <w:r w:rsidRPr="00943CEE">
              <w:rPr>
                <w:b/>
                <w:bCs/>
                <w:sz w:val="20"/>
                <w:szCs w:val="20"/>
              </w:rPr>
              <w:t>)</w:t>
            </w:r>
          </w:p>
        </w:tc>
        <w:tc>
          <w:tcPr>
            <w:tcW w:w="1980" w:type="dxa"/>
            <w:tcBorders>
              <w:top w:val="single" w:sz="4" w:space="0" w:color="auto"/>
              <w:bottom w:val="single" w:sz="4" w:space="0" w:color="auto"/>
            </w:tcBorders>
            <w:vAlign w:val="center"/>
          </w:tcPr>
          <w:p w14:paraId="22AA2A32" w14:textId="77777777" w:rsidR="008D54B0" w:rsidRPr="00943CEE" w:rsidRDefault="008D54B0" w:rsidP="00BC5D2C">
            <w:pPr>
              <w:pStyle w:val="NormalWeb"/>
              <w:rPr>
                <w:b/>
                <w:bCs/>
                <w:sz w:val="20"/>
                <w:szCs w:val="20"/>
              </w:rPr>
            </w:pPr>
            <w:r w:rsidRPr="00943CEE">
              <w:rPr>
                <w:b/>
                <w:bCs/>
                <w:sz w:val="20"/>
                <w:szCs w:val="20"/>
              </w:rPr>
              <w:t>Baseflow separation filtering coefficient</w:t>
            </w:r>
          </w:p>
        </w:tc>
        <w:tc>
          <w:tcPr>
            <w:tcW w:w="1350" w:type="dxa"/>
            <w:tcBorders>
              <w:top w:val="single" w:sz="4" w:space="0" w:color="auto"/>
              <w:bottom w:val="single" w:sz="4" w:space="0" w:color="auto"/>
            </w:tcBorders>
            <w:vAlign w:val="center"/>
          </w:tcPr>
          <w:p w14:paraId="752180C0" w14:textId="77777777" w:rsidR="008D54B0" w:rsidRPr="00943CEE" w:rsidRDefault="008D54B0" w:rsidP="00BC5D2C">
            <w:pPr>
              <w:pStyle w:val="NormalWeb"/>
              <w:rPr>
                <w:b/>
                <w:bCs/>
                <w:sz w:val="20"/>
                <w:szCs w:val="20"/>
              </w:rPr>
            </w:pPr>
            <w:r w:rsidRPr="00943CEE">
              <w:rPr>
                <w:b/>
                <w:bCs/>
                <w:sz w:val="20"/>
                <w:szCs w:val="20"/>
              </w:rPr>
              <w:t>Return ratio (0 to 1)</w:t>
            </w:r>
          </w:p>
        </w:tc>
        <w:tc>
          <w:tcPr>
            <w:tcW w:w="1530" w:type="dxa"/>
            <w:tcBorders>
              <w:top w:val="single" w:sz="4" w:space="0" w:color="auto"/>
              <w:bottom w:val="single" w:sz="4" w:space="0" w:color="auto"/>
            </w:tcBorders>
            <w:vAlign w:val="center"/>
          </w:tcPr>
          <w:p w14:paraId="2155359F" w14:textId="77777777" w:rsidR="008D54B0" w:rsidRPr="00943CEE" w:rsidRDefault="008D54B0" w:rsidP="00BC5D2C">
            <w:pPr>
              <w:pStyle w:val="NormalWeb"/>
              <w:rPr>
                <w:b/>
                <w:bCs/>
                <w:sz w:val="20"/>
                <w:szCs w:val="20"/>
              </w:rPr>
            </w:pPr>
            <w:r w:rsidRPr="00943CEE">
              <w:rPr>
                <w:b/>
                <w:bCs/>
                <w:sz w:val="20"/>
                <w:szCs w:val="20"/>
              </w:rPr>
              <w:t>Minimum duration (hours)</w:t>
            </w:r>
          </w:p>
        </w:tc>
      </w:tr>
      <w:tr w:rsidR="008D54B0" w:rsidRPr="00943CEE" w14:paraId="0440B558" w14:textId="77777777" w:rsidTr="00BC5D2C">
        <w:trPr>
          <w:trHeight w:val="360"/>
        </w:trPr>
        <w:tc>
          <w:tcPr>
            <w:tcW w:w="1350" w:type="dxa"/>
            <w:tcBorders>
              <w:top w:val="single" w:sz="4" w:space="0" w:color="auto"/>
            </w:tcBorders>
            <w:vAlign w:val="bottom"/>
          </w:tcPr>
          <w:p w14:paraId="03865129" w14:textId="77777777" w:rsidR="008D54B0" w:rsidRPr="00943CEE" w:rsidRDefault="008D54B0" w:rsidP="00BC5D2C">
            <w:pPr>
              <w:pStyle w:val="NormalWeb"/>
              <w:rPr>
                <w:sz w:val="20"/>
                <w:szCs w:val="20"/>
              </w:rPr>
            </w:pPr>
            <w:r>
              <w:rPr>
                <w:sz w:val="20"/>
                <w:szCs w:val="20"/>
              </w:rPr>
              <w:t>Agricultural</w:t>
            </w:r>
          </w:p>
        </w:tc>
        <w:tc>
          <w:tcPr>
            <w:tcW w:w="1890" w:type="dxa"/>
            <w:tcBorders>
              <w:top w:val="single" w:sz="4" w:space="0" w:color="auto"/>
            </w:tcBorders>
            <w:vAlign w:val="bottom"/>
          </w:tcPr>
          <w:p w14:paraId="52E4570D" w14:textId="77777777" w:rsidR="008D54B0" w:rsidRPr="00943CEE" w:rsidRDefault="008D54B0" w:rsidP="00BC5D2C">
            <w:pPr>
              <w:pStyle w:val="NormalWeb"/>
              <w:rPr>
                <w:sz w:val="20"/>
                <w:szCs w:val="20"/>
              </w:rPr>
            </w:pPr>
            <w:r>
              <w:rPr>
                <w:sz w:val="20"/>
                <w:szCs w:val="20"/>
              </w:rPr>
              <w:t>0.10</w:t>
            </w:r>
          </w:p>
        </w:tc>
        <w:tc>
          <w:tcPr>
            <w:tcW w:w="1980" w:type="dxa"/>
            <w:tcBorders>
              <w:top w:val="single" w:sz="4" w:space="0" w:color="auto"/>
            </w:tcBorders>
            <w:vAlign w:val="bottom"/>
          </w:tcPr>
          <w:p w14:paraId="1CEC80AA" w14:textId="77777777" w:rsidR="008D54B0" w:rsidRPr="00943CEE" w:rsidRDefault="008D54B0" w:rsidP="00BC5D2C">
            <w:pPr>
              <w:pStyle w:val="NormalWeb"/>
              <w:rPr>
                <w:sz w:val="20"/>
                <w:szCs w:val="20"/>
              </w:rPr>
            </w:pPr>
            <w:r>
              <w:rPr>
                <w:sz w:val="20"/>
                <w:szCs w:val="20"/>
              </w:rPr>
              <w:t>0.996</w:t>
            </w:r>
          </w:p>
        </w:tc>
        <w:tc>
          <w:tcPr>
            <w:tcW w:w="1350" w:type="dxa"/>
            <w:tcBorders>
              <w:top w:val="single" w:sz="4" w:space="0" w:color="auto"/>
            </w:tcBorders>
            <w:vAlign w:val="bottom"/>
          </w:tcPr>
          <w:p w14:paraId="3810C5A9" w14:textId="77777777" w:rsidR="008D54B0" w:rsidRPr="00943CEE" w:rsidRDefault="008D54B0" w:rsidP="00BC5D2C">
            <w:pPr>
              <w:pStyle w:val="NormalWeb"/>
              <w:rPr>
                <w:sz w:val="20"/>
                <w:szCs w:val="20"/>
              </w:rPr>
            </w:pPr>
            <w:r>
              <w:rPr>
                <w:sz w:val="20"/>
                <w:szCs w:val="20"/>
              </w:rPr>
              <w:t>0.18</w:t>
            </w:r>
          </w:p>
        </w:tc>
        <w:tc>
          <w:tcPr>
            <w:tcW w:w="1530" w:type="dxa"/>
            <w:tcBorders>
              <w:top w:val="single" w:sz="4" w:space="0" w:color="auto"/>
            </w:tcBorders>
            <w:vAlign w:val="bottom"/>
          </w:tcPr>
          <w:p w14:paraId="767BBE4E" w14:textId="77777777" w:rsidR="008D54B0" w:rsidRPr="00943CEE" w:rsidRDefault="008D54B0" w:rsidP="00BC5D2C">
            <w:pPr>
              <w:pStyle w:val="NormalWeb"/>
              <w:rPr>
                <w:sz w:val="20"/>
                <w:szCs w:val="20"/>
              </w:rPr>
            </w:pPr>
            <w:r>
              <w:rPr>
                <w:sz w:val="20"/>
                <w:szCs w:val="20"/>
              </w:rPr>
              <w:t>6</w:t>
            </w:r>
          </w:p>
        </w:tc>
      </w:tr>
      <w:tr w:rsidR="008D54B0" w:rsidRPr="00943CEE" w14:paraId="7D87A60B" w14:textId="77777777" w:rsidTr="00BC5D2C">
        <w:trPr>
          <w:trHeight w:val="360"/>
        </w:trPr>
        <w:tc>
          <w:tcPr>
            <w:tcW w:w="1350" w:type="dxa"/>
            <w:vAlign w:val="bottom"/>
          </w:tcPr>
          <w:p w14:paraId="41799FF3" w14:textId="77777777" w:rsidR="008D54B0" w:rsidRPr="00943CEE" w:rsidRDefault="008D54B0" w:rsidP="00BC5D2C">
            <w:pPr>
              <w:pStyle w:val="NormalWeb"/>
              <w:rPr>
                <w:sz w:val="20"/>
                <w:szCs w:val="20"/>
              </w:rPr>
            </w:pPr>
            <w:r>
              <w:rPr>
                <w:sz w:val="20"/>
                <w:szCs w:val="20"/>
              </w:rPr>
              <w:t>Urban</w:t>
            </w:r>
          </w:p>
        </w:tc>
        <w:tc>
          <w:tcPr>
            <w:tcW w:w="1890" w:type="dxa"/>
            <w:vAlign w:val="bottom"/>
          </w:tcPr>
          <w:p w14:paraId="71FA02D8" w14:textId="77777777" w:rsidR="008D54B0" w:rsidRPr="00943CEE" w:rsidRDefault="008D54B0" w:rsidP="00BC5D2C">
            <w:pPr>
              <w:pStyle w:val="NormalWeb"/>
              <w:rPr>
                <w:sz w:val="20"/>
                <w:szCs w:val="20"/>
              </w:rPr>
            </w:pPr>
            <w:r>
              <w:rPr>
                <w:sz w:val="20"/>
                <w:szCs w:val="20"/>
              </w:rPr>
              <w:t>0.05</w:t>
            </w:r>
          </w:p>
        </w:tc>
        <w:tc>
          <w:tcPr>
            <w:tcW w:w="1980" w:type="dxa"/>
            <w:vAlign w:val="bottom"/>
          </w:tcPr>
          <w:p w14:paraId="1F4C02F2" w14:textId="77777777" w:rsidR="008D54B0" w:rsidRPr="00943CEE" w:rsidRDefault="008D54B0" w:rsidP="00BC5D2C">
            <w:pPr>
              <w:pStyle w:val="NormalWeb"/>
              <w:rPr>
                <w:sz w:val="20"/>
                <w:szCs w:val="20"/>
              </w:rPr>
            </w:pPr>
            <w:r>
              <w:rPr>
                <w:sz w:val="20"/>
                <w:szCs w:val="20"/>
              </w:rPr>
              <w:t>0.996</w:t>
            </w:r>
          </w:p>
        </w:tc>
        <w:tc>
          <w:tcPr>
            <w:tcW w:w="1350" w:type="dxa"/>
            <w:vAlign w:val="bottom"/>
          </w:tcPr>
          <w:p w14:paraId="4219B5BC" w14:textId="77777777" w:rsidR="008D54B0" w:rsidRPr="00943CEE" w:rsidRDefault="008D54B0" w:rsidP="00BC5D2C">
            <w:pPr>
              <w:pStyle w:val="NormalWeb"/>
              <w:rPr>
                <w:sz w:val="20"/>
                <w:szCs w:val="20"/>
              </w:rPr>
            </w:pPr>
            <w:r>
              <w:rPr>
                <w:sz w:val="20"/>
                <w:szCs w:val="20"/>
              </w:rPr>
              <w:t>0.18</w:t>
            </w:r>
          </w:p>
        </w:tc>
        <w:tc>
          <w:tcPr>
            <w:tcW w:w="1530" w:type="dxa"/>
            <w:vAlign w:val="bottom"/>
          </w:tcPr>
          <w:p w14:paraId="6F5DD37F" w14:textId="77777777" w:rsidR="008D54B0" w:rsidRPr="00943CEE" w:rsidRDefault="008D54B0" w:rsidP="00BC5D2C">
            <w:pPr>
              <w:pStyle w:val="NormalWeb"/>
              <w:rPr>
                <w:sz w:val="20"/>
                <w:szCs w:val="20"/>
              </w:rPr>
            </w:pPr>
            <w:r>
              <w:rPr>
                <w:sz w:val="20"/>
                <w:szCs w:val="20"/>
              </w:rPr>
              <w:t>4</w:t>
            </w:r>
          </w:p>
        </w:tc>
      </w:tr>
      <w:tr w:rsidR="008D54B0" w:rsidRPr="00943CEE" w14:paraId="49B6DEDD" w14:textId="77777777" w:rsidTr="00BC5D2C">
        <w:trPr>
          <w:trHeight w:val="360"/>
        </w:trPr>
        <w:tc>
          <w:tcPr>
            <w:tcW w:w="1350" w:type="dxa"/>
            <w:tcBorders>
              <w:bottom w:val="single" w:sz="4" w:space="0" w:color="auto"/>
            </w:tcBorders>
            <w:vAlign w:val="bottom"/>
          </w:tcPr>
          <w:p w14:paraId="57F9FE63" w14:textId="77777777" w:rsidR="008D54B0" w:rsidRPr="00943CEE" w:rsidRDefault="008D54B0" w:rsidP="00BC5D2C">
            <w:pPr>
              <w:pStyle w:val="NormalWeb"/>
              <w:rPr>
                <w:sz w:val="20"/>
                <w:szCs w:val="20"/>
              </w:rPr>
            </w:pPr>
            <w:r>
              <w:rPr>
                <w:sz w:val="20"/>
                <w:szCs w:val="20"/>
              </w:rPr>
              <w:t>Forested</w:t>
            </w:r>
          </w:p>
        </w:tc>
        <w:tc>
          <w:tcPr>
            <w:tcW w:w="1890" w:type="dxa"/>
            <w:tcBorders>
              <w:bottom w:val="single" w:sz="4" w:space="0" w:color="auto"/>
            </w:tcBorders>
            <w:vAlign w:val="bottom"/>
          </w:tcPr>
          <w:p w14:paraId="2CA108B0" w14:textId="77777777" w:rsidR="008D54B0" w:rsidRPr="00943CEE" w:rsidRDefault="008D54B0" w:rsidP="00BC5D2C">
            <w:pPr>
              <w:pStyle w:val="NormalWeb"/>
              <w:rPr>
                <w:sz w:val="20"/>
                <w:szCs w:val="20"/>
              </w:rPr>
            </w:pPr>
            <w:r>
              <w:rPr>
                <w:sz w:val="20"/>
                <w:szCs w:val="20"/>
              </w:rPr>
              <w:t>0.12</w:t>
            </w:r>
          </w:p>
        </w:tc>
        <w:tc>
          <w:tcPr>
            <w:tcW w:w="1980" w:type="dxa"/>
            <w:tcBorders>
              <w:bottom w:val="single" w:sz="4" w:space="0" w:color="auto"/>
            </w:tcBorders>
            <w:vAlign w:val="bottom"/>
          </w:tcPr>
          <w:p w14:paraId="38D710EB" w14:textId="77777777" w:rsidR="008D54B0" w:rsidRPr="00943CEE" w:rsidRDefault="008D54B0" w:rsidP="00BC5D2C">
            <w:pPr>
              <w:pStyle w:val="NormalWeb"/>
              <w:rPr>
                <w:sz w:val="20"/>
                <w:szCs w:val="20"/>
              </w:rPr>
            </w:pPr>
            <w:r>
              <w:rPr>
                <w:sz w:val="20"/>
                <w:szCs w:val="20"/>
              </w:rPr>
              <w:t>0.996</w:t>
            </w:r>
          </w:p>
        </w:tc>
        <w:tc>
          <w:tcPr>
            <w:tcW w:w="1350" w:type="dxa"/>
            <w:tcBorders>
              <w:bottom w:val="single" w:sz="4" w:space="0" w:color="auto"/>
            </w:tcBorders>
            <w:vAlign w:val="bottom"/>
          </w:tcPr>
          <w:p w14:paraId="2DB0DE11" w14:textId="77777777" w:rsidR="008D54B0" w:rsidRPr="00943CEE" w:rsidRDefault="008D54B0" w:rsidP="00BC5D2C">
            <w:pPr>
              <w:pStyle w:val="NormalWeb"/>
              <w:rPr>
                <w:sz w:val="20"/>
                <w:szCs w:val="20"/>
              </w:rPr>
            </w:pPr>
            <w:r>
              <w:rPr>
                <w:sz w:val="20"/>
                <w:szCs w:val="20"/>
              </w:rPr>
              <w:t>0.20</w:t>
            </w:r>
          </w:p>
        </w:tc>
        <w:tc>
          <w:tcPr>
            <w:tcW w:w="1530" w:type="dxa"/>
            <w:tcBorders>
              <w:bottom w:val="single" w:sz="4" w:space="0" w:color="auto"/>
            </w:tcBorders>
            <w:vAlign w:val="bottom"/>
          </w:tcPr>
          <w:p w14:paraId="7543EBB8" w14:textId="77777777" w:rsidR="008D54B0" w:rsidRPr="00943CEE" w:rsidRDefault="008D54B0" w:rsidP="00BC5D2C">
            <w:pPr>
              <w:pStyle w:val="NormalWeb"/>
              <w:rPr>
                <w:sz w:val="20"/>
                <w:szCs w:val="20"/>
              </w:rPr>
            </w:pPr>
            <w:r>
              <w:rPr>
                <w:sz w:val="20"/>
                <w:szCs w:val="20"/>
              </w:rPr>
              <w:t>4</w:t>
            </w:r>
          </w:p>
        </w:tc>
      </w:tr>
    </w:tbl>
    <w:p w14:paraId="3407B03C" w14:textId="243E10A1" w:rsidR="008D54B0" w:rsidRDefault="008D54B0" w:rsidP="008D54B0">
      <w:pPr>
        <w:pStyle w:val="SMHeading"/>
        <w:rPr>
          <w:rFonts w:ascii="Myriad Pro" w:hAnsi="Myriad Pro"/>
          <w:sz w:val="22"/>
          <w:szCs w:val="22"/>
        </w:rPr>
      </w:pPr>
      <w:r w:rsidRPr="005314B5">
        <w:rPr>
          <w:rFonts w:ascii="Myriad Pro" w:hAnsi="Myriad Pro"/>
          <w:sz w:val="22"/>
          <w:szCs w:val="22"/>
        </w:rPr>
        <w:t>Table S</w:t>
      </w:r>
      <w:r>
        <w:rPr>
          <w:rFonts w:ascii="Myriad Pro" w:hAnsi="Myriad Pro"/>
          <w:sz w:val="22"/>
          <w:szCs w:val="22"/>
        </w:rPr>
        <w:t>3</w:t>
      </w:r>
      <w:r w:rsidRPr="005314B5">
        <w:rPr>
          <w:rFonts w:ascii="Myriad Pro" w:hAnsi="Myriad Pro"/>
          <w:sz w:val="22"/>
          <w:szCs w:val="22"/>
        </w:rPr>
        <w:t xml:space="preserve">. </w:t>
      </w:r>
      <w:r w:rsidRPr="008D54B0">
        <w:rPr>
          <w:rFonts w:ascii="Myriad Pro" w:hAnsi="Myriad Pro"/>
          <w:b w:val="0"/>
          <w:sz w:val="22"/>
          <w:szCs w:val="22"/>
        </w:rPr>
        <w:t xml:space="preserve">Parameter values used in the </w:t>
      </w:r>
      <w:proofErr w:type="spellStart"/>
      <w:r w:rsidRPr="008D54B0">
        <w:rPr>
          <w:rFonts w:ascii="Myriad Pro" w:hAnsi="Myriad Pro"/>
          <w:b w:val="0"/>
          <w:sz w:val="22"/>
          <w:szCs w:val="22"/>
        </w:rPr>
        <w:t>HydRun</w:t>
      </w:r>
      <w:proofErr w:type="spellEnd"/>
      <w:r w:rsidRPr="008D54B0">
        <w:rPr>
          <w:rFonts w:ascii="Myriad Pro" w:hAnsi="Myriad Pro"/>
          <w:b w:val="0"/>
          <w:sz w:val="22"/>
          <w:szCs w:val="22"/>
        </w:rPr>
        <w:t xml:space="preserve"> package to optimize event delineations.</w:t>
      </w:r>
    </w:p>
    <w:p w14:paraId="7D3D01A0" w14:textId="77777777" w:rsidR="008D54B0" w:rsidRDefault="008D54B0" w:rsidP="0066722B">
      <w:pPr>
        <w:pStyle w:val="SMHeading"/>
        <w:rPr>
          <w:rFonts w:ascii="Myriad Pro" w:hAnsi="Myriad Pro"/>
          <w:sz w:val="22"/>
          <w:szCs w:val="22"/>
        </w:rPr>
      </w:pPr>
    </w:p>
    <w:p w14:paraId="6E598E0A" w14:textId="433C595C" w:rsidR="000C4DC5" w:rsidRDefault="000C4DC5" w:rsidP="0066722B">
      <w:pPr>
        <w:pStyle w:val="SMHeading"/>
        <w:rPr>
          <w:rFonts w:ascii="Myriad Pro" w:hAnsi="Myriad Pro"/>
          <w:sz w:val="22"/>
          <w:szCs w:val="22"/>
        </w:rPr>
        <w:sectPr w:rsidR="000C4DC5" w:rsidSect="00051E98">
          <w:pgSz w:w="12240" w:h="15840"/>
          <w:pgMar w:top="1440" w:right="1800" w:bottom="1440" w:left="1800" w:header="720" w:footer="720" w:gutter="0"/>
          <w:cols w:space="720"/>
          <w:docGrid w:linePitch="360"/>
        </w:sectPr>
      </w:pPr>
    </w:p>
    <w:tbl>
      <w:tblPr>
        <w:tblW w:w="8190" w:type="dxa"/>
        <w:tblLayout w:type="fixed"/>
        <w:tblLook w:val="04A0" w:firstRow="1" w:lastRow="0" w:firstColumn="1" w:lastColumn="0" w:noHBand="0" w:noVBand="1"/>
      </w:tblPr>
      <w:tblGrid>
        <w:gridCol w:w="1300"/>
        <w:gridCol w:w="1060"/>
        <w:gridCol w:w="1960"/>
        <w:gridCol w:w="740"/>
        <w:gridCol w:w="1060"/>
        <w:gridCol w:w="990"/>
        <w:gridCol w:w="1080"/>
      </w:tblGrid>
      <w:tr w:rsidR="000C4DC5" w:rsidRPr="00305823" w14:paraId="304C4688" w14:textId="77777777" w:rsidTr="000C4DC5">
        <w:trPr>
          <w:trHeight w:val="560"/>
        </w:trPr>
        <w:tc>
          <w:tcPr>
            <w:tcW w:w="1300" w:type="dxa"/>
            <w:tcBorders>
              <w:top w:val="single" w:sz="4" w:space="0" w:color="auto"/>
              <w:left w:val="nil"/>
              <w:bottom w:val="single" w:sz="4" w:space="0" w:color="auto"/>
              <w:right w:val="nil"/>
            </w:tcBorders>
            <w:shd w:val="clear" w:color="auto" w:fill="auto"/>
            <w:vAlign w:val="bottom"/>
            <w:hideMark/>
          </w:tcPr>
          <w:p w14:paraId="72F55B99" w14:textId="77777777" w:rsidR="008D54B0" w:rsidRPr="00305823" w:rsidRDefault="008D54B0" w:rsidP="00BC5D2C">
            <w:pPr>
              <w:rPr>
                <w:b/>
                <w:bCs/>
                <w:color w:val="000000"/>
                <w:sz w:val="20"/>
              </w:rPr>
            </w:pPr>
            <w:r w:rsidRPr="00305823">
              <w:rPr>
                <w:b/>
                <w:bCs/>
                <w:color w:val="000000"/>
                <w:sz w:val="20"/>
              </w:rPr>
              <w:lastRenderedPageBreak/>
              <w:t>Site</w:t>
            </w:r>
          </w:p>
        </w:tc>
        <w:tc>
          <w:tcPr>
            <w:tcW w:w="1060" w:type="dxa"/>
            <w:tcBorders>
              <w:top w:val="single" w:sz="4" w:space="0" w:color="auto"/>
              <w:left w:val="nil"/>
              <w:bottom w:val="single" w:sz="4" w:space="0" w:color="auto"/>
              <w:right w:val="nil"/>
            </w:tcBorders>
            <w:shd w:val="clear" w:color="auto" w:fill="auto"/>
            <w:vAlign w:val="bottom"/>
            <w:hideMark/>
          </w:tcPr>
          <w:p w14:paraId="49C7FAB0" w14:textId="77777777" w:rsidR="008D54B0" w:rsidRPr="00305823" w:rsidRDefault="008D54B0" w:rsidP="00BC5D2C">
            <w:pPr>
              <w:rPr>
                <w:b/>
                <w:bCs/>
                <w:color w:val="000000"/>
                <w:sz w:val="20"/>
              </w:rPr>
            </w:pPr>
            <w:r w:rsidRPr="00305823">
              <w:rPr>
                <w:b/>
                <w:bCs/>
                <w:color w:val="000000"/>
                <w:sz w:val="20"/>
              </w:rPr>
              <w:t>Season</w:t>
            </w:r>
          </w:p>
        </w:tc>
        <w:tc>
          <w:tcPr>
            <w:tcW w:w="1960" w:type="dxa"/>
            <w:tcBorders>
              <w:top w:val="single" w:sz="4" w:space="0" w:color="auto"/>
              <w:left w:val="nil"/>
              <w:bottom w:val="single" w:sz="4" w:space="0" w:color="auto"/>
              <w:right w:val="nil"/>
            </w:tcBorders>
            <w:shd w:val="clear" w:color="auto" w:fill="auto"/>
            <w:vAlign w:val="bottom"/>
            <w:hideMark/>
          </w:tcPr>
          <w:p w14:paraId="17E90064" w14:textId="77777777" w:rsidR="008D54B0" w:rsidRPr="00305823" w:rsidRDefault="008D54B0" w:rsidP="00BC5D2C">
            <w:pPr>
              <w:rPr>
                <w:b/>
                <w:bCs/>
                <w:color w:val="000000"/>
                <w:sz w:val="20"/>
              </w:rPr>
            </w:pPr>
            <w:r w:rsidRPr="00305823">
              <w:rPr>
                <w:b/>
                <w:bCs/>
                <w:color w:val="000000"/>
                <w:sz w:val="20"/>
              </w:rPr>
              <w:t>Regression formula</w:t>
            </w:r>
          </w:p>
        </w:tc>
        <w:tc>
          <w:tcPr>
            <w:tcW w:w="740" w:type="dxa"/>
            <w:tcBorders>
              <w:top w:val="single" w:sz="4" w:space="0" w:color="auto"/>
              <w:left w:val="nil"/>
              <w:bottom w:val="single" w:sz="4" w:space="0" w:color="auto"/>
              <w:right w:val="nil"/>
            </w:tcBorders>
            <w:shd w:val="clear" w:color="auto" w:fill="auto"/>
            <w:vAlign w:val="bottom"/>
            <w:hideMark/>
          </w:tcPr>
          <w:p w14:paraId="60C0B69F" w14:textId="77777777" w:rsidR="008D54B0" w:rsidRPr="00305823" w:rsidRDefault="008D54B0" w:rsidP="00BC5D2C">
            <w:pPr>
              <w:rPr>
                <w:b/>
                <w:bCs/>
                <w:color w:val="000000"/>
                <w:sz w:val="20"/>
              </w:rPr>
            </w:pPr>
            <w:r w:rsidRPr="00305823">
              <w:rPr>
                <w:b/>
                <w:bCs/>
                <w:color w:val="000000"/>
                <w:sz w:val="20"/>
              </w:rPr>
              <w:t>Slope</w:t>
            </w:r>
          </w:p>
        </w:tc>
        <w:tc>
          <w:tcPr>
            <w:tcW w:w="1060" w:type="dxa"/>
            <w:tcBorders>
              <w:top w:val="single" w:sz="4" w:space="0" w:color="auto"/>
              <w:left w:val="nil"/>
              <w:bottom w:val="single" w:sz="4" w:space="0" w:color="auto"/>
              <w:right w:val="nil"/>
            </w:tcBorders>
            <w:shd w:val="clear" w:color="auto" w:fill="auto"/>
            <w:vAlign w:val="bottom"/>
            <w:hideMark/>
          </w:tcPr>
          <w:p w14:paraId="5C2AD7BD" w14:textId="77777777" w:rsidR="008D54B0" w:rsidRPr="00305823" w:rsidRDefault="008D54B0" w:rsidP="00BC5D2C">
            <w:pPr>
              <w:rPr>
                <w:b/>
                <w:bCs/>
                <w:color w:val="000000"/>
                <w:sz w:val="20"/>
              </w:rPr>
            </w:pPr>
            <w:r w:rsidRPr="00305823">
              <w:rPr>
                <w:b/>
                <w:bCs/>
                <w:color w:val="000000"/>
                <w:sz w:val="20"/>
              </w:rPr>
              <w:t>Standard error</w:t>
            </w:r>
          </w:p>
        </w:tc>
        <w:tc>
          <w:tcPr>
            <w:tcW w:w="990" w:type="dxa"/>
            <w:tcBorders>
              <w:top w:val="single" w:sz="4" w:space="0" w:color="auto"/>
              <w:left w:val="nil"/>
              <w:bottom w:val="single" w:sz="4" w:space="0" w:color="auto"/>
              <w:right w:val="nil"/>
            </w:tcBorders>
            <w:shd w:val="clear" w:color="auto" w:fill="auto"/>
            <w:vAlign w:val="bottom"/>
            <w:hideMark/>
          </w:tcPr>
          <w:p w14:paraId="72A34FAA" w14:textId="77777777" w:rsidR="008D54B0" w:rsidRPr="00305823" w:rsidRDefault="008D54B0" w:rsidP="00BC5D2C">
            <w:pPr>
              <w:rPr>
                <w:b/>
                <w:bCs/>
                <w:color w:val="000000"/>
                <w:sz w:val="20"/>
              </w:rPr>
            </w:pPr>
            <w:r w:rsidRPr="00305823">
              <w:rPr>
                <w:b/>
                <w:bCs/>
                <w:color w:val="000000"/>
                <w:sz w:val="20"/>
              </w:rPr>
              <w:t>p-value</w:t>
            </w:r>
          </w:p>
        </w:tc>
        <w:tc>
          <w:tcPr>
            <w:tcW w:w="1080" w:type="dxa"/>
            <w:tcBorders>
              <w:top w:val="single" w:sz="4" w:space="0" w:color="auto"/>
              <w:left w:val="nil"/>
              <w:bottom w:val="single" w:sz="4" w:space="0" w:color="auto"/>
              <w:right w:val="nil"/>
            </w:tcBorders>
            <w:shd w:val="clear" w:color="auto" w:fill="auto"/>
            <w:vAlign w:val="bottom"/>
            <w:hideMark/>
          </w:tcPr>
          <w:p w14:paraId="7E341D12" w14:textId="77777777" w:rsidR="008D54B0" w:rsidRPr="00305823" w:rsidRDefault="008D54B0" w:rsidP="00BC5D2C">
            <w:pPr>
              <w:rPr>
                <w:b/>
                <w:bCs/>
                <w:color w:val="000000"/>
                <w:sz w:val="20"/>
              </w:rPr>
            </w:pPr>
            <w:r w:rsidRPr="00305823">
              <w:rPr>
                <w:b/>
                <w:bCs/>
                <w:color w:val="000000"/>
                <w:sz w:val="20"/>
              </w:rPr>
              <w:t>Adjusted R</w:t>
            </w:r>
            <w:r w:rsidRPr="00305823">
              <w:rPr>
                <w:b/>
                <w:bCs/>
                <w:color w:val="000000"/>
                <w:sz w:val="20"/>
                <w:vertAlign w:val="superscript"/>
              </w:rPr>
              <w:t>2</w:t>
            </w:r>
          </w:p>
        </w:tc>
      </w:tr>
      <w:tr w:rsidR="000C4DC5" w:rsidRPr="00305823" w14:paraId="77901C89" w14:textId="77777777" w:rsidTr="000C4DC5">
        <w:trPr>
          <w:trHeight w:val="432"/>
        </w:trPr>
        <w:tc>
          <w:tcPr>
            <w:tcW w:w="1300" w:type="dxa"/>
            <w:tcBorders>
              <w:top w:val="nil"/>
              <w:left w:val="nil"/>
              <w:bottom w:val="nil"/>
              <w:right w:val="nil"/>
            </w:tcBorders>
            <w:shd w:val="clear" w:color="auto" w:fill="auto"/>
            <w:noWrap/>
            <w:hideMark/>
          </w:tcPr>
          <w:p w14:paraId="793AA725"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5A2B2B2E"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45245D8D"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1F25BBE6" w14:textId="77777777" w:rsidR="008D54B0" w:rsidRPr="00305823" w:rsidRDefault="008D54B0" w:rsidP="000C4DC5">
            <w:pPr>
              <w:rPr>
                <w:color w:val="000000"/>
                <w:sz w:val="20"/>
              </w:rPr>
            </w:pPr>
            <w:r w:rsidRPr="00305823">
              <w:rPr>
                <w:color w:val="000000"/>
                <w:sz w:val="20"/>
              </w:rPr>
              <w:t>3.204</w:t>
            </w:r>
          </w:p>
        </w:tc>
        <w:tc>
          <w:tcPr>
            <w:tcW w:w="1060" w:type="dxa"/>
            <w:tcBorders>
              <w:top w:val="nil"/>
              <w:left w:val="nil"/>
              <w:bottom w:val="nil"/>
              <w:right w:val="nil"/>
            </w:tcBorders>
            <w:shd w:val="clear" w:color="auto" w:fill="auto"/>
            <w:noWrap/>
            <w:hideMark/>
          </w:tcPr>
          <w:p w14:paraId="05A61996" w14:textId="77777777" w:rsidR="008D54B0" w:rsidRPr="00305823" w:rsidRDefault="008D54B0" w:rsidP="000C4DC5">
            <w:pPr>
              <w:rPr>
                <w:color w:val="000000"/>
                <w:sz w:val="20"/>
              </w:rPr>
            </w:pPr>
            <w:r w:rsidRPr="00305823">
              <w:rPr>
                <w:color w:val="000000"/>
                <w:sz w:val="20"/>
              </w:rPr>
              <w:t>0.1643</w:t>
            </w:r>
          </w:p>
        </w:tc>
        <w:tc>
          <w:tcPr>
            <w:tcW w:w="990" w:type="dxa"/>
            <w:tcBorders>
              <w:top w:val="nil"/>
              <w:left w:val="nil"/>
              <w:bottom w:val="nil"/>
              <w:right w:val="nil"/>
            </w:tcBorders>
            <w:shd w:val="clear" w:color="auto" w:fill="auto"/>
            <w:noWrap/>
            <w:hideMark/>
          </w:tcPr>
          <w:p w14:paraId="5030375A"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4C869CF" w14:textId="77777777" w:rsidR="008D54B0" w:rsidRPr="00305823" w:rsidRDefault="008D54B0" w:rsidP="000C4DC5">
            <w:pPr>
              <w:rPr>
                <w:color w:val="000000"/>
                <w:sz w:val="20"/>
              </w:rPr>
            </w:pPr>
            <w:r w:rsidRPr="00305823">
              <w:rPr>
                <w:color w:val="000000"/>
                <w:sz w:val="20"/>
              </w:rPr>
              <w:t>0.75</w:t>
            </w:r>
          </w:p>
        </w:tc>
      </w:tr>
      <w:tr w:rsidR="000C4DC5" w:rsidRPr="00305823" w14:paraId="22A449AB" w14:textId="77777777" w:rsidTr="000C4DC5">
        <w:trPr>
          <w:trHeight w:val="432"/>
        </w:trPr>
        <w:tc>
          <w:tcPr>
            <w:tcW w:w="1300" w:type="dxa"/>
            <w:tcBorders>
              <w:top w:val="nil"/>
              <w:left w:val="nil"/>
              <w:bottom w:val="nil"/>
              <w:right w:val="nil"/>
            </w:tcBorders>
            <w:shd w:val="clear" w:color="auto" w:fill="auto"/>
            <w:noWrap/>
            <w:hideMark/>
          </w:tcPr>
          <w:p w14:paraId="6EA3BB03"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1A4A5D0D"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31E0720C"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0A84044A" w14:textId="77777777" w:rsidR="008D54B0" w:rsidRPr="00305823" w:rsidRDefault="008D54B0" w:rsidP="000C4DC5">
            <w:pPr>
              <w:rPr>
                <w:color w:val="000000"/>
                <w:sz w:val="20"/>
              </w:rPr>
            </w:pPr>
            <w:r w:rsidRPr="00305823">
              <w:rPr>
                <w:color w:val="000000"/>
                <w:sz w:val="20"/>
              </w:rPr>
              <w:t>0.295</w:t>
            </w:r>
          </w:p>
        </w:tc>
        <w:tc>
          <w:tcPr>
            <w:tcW w:w="1060" w:type="dxa"/>
            <w:tcBorders>
              <w:top w:val="nil"/>
              <w:left w:val="nil"/>
              <w:bottom w:val="nil"/>
              <w:right w:val="nil"/>
            </w:tcBorders>
            <w:shd w:val="clear" w:color="auto" w:fill="auto"/>
            <w:noWrap/>
            <w:hideMark/>
          </w:tcPr>
          <w:p w14:paraId="05A53AC4" w14:textId="77777777" w:rsidR="008D54B0" w:rsidRPr="00305823" w:rsidRDefault="008D54B0" w:rsidP="000C4DC5">
            <w:pPr>
              <w:rPr>
                <w:color w:val="000000"/>
                <w:sz w:val="20"/>
              </w:rPr>
            </w:pPr>
            <w:r w:rsidRPr="00305823">
              <w:rPr>
                <w:color w:val="000000"/>
                <w:sz w:val="20"/>
              </w:rPr>
              <w:t>0.0235</w:t>
            </w:r>
          </w:p>
        </w:tc>
        <w:tc>
          <w:tcPr>
            <w:tcW w:w="990" w:type="dxa"/>
            <w:tcBorders>
              <w:top w:val="nil"/>
              <w:left w:val="nil"/>
              <w:bottom w:val="nil"/>
              <w:right w:val="nil"/>
            </w:tcBorders>
            <w:shd w:val="clear" w:color="auto" w:fill="auto"/>
            <w:noWrap/>
            <w:hideMark/>
          </w:tcPr>
          <w:p w14:paraId="2ECC274D"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90C945B" w14:textId="77777777" w:rsidR="008D54B0" w:rsidRPr="00305823" w:rsidRDefault="008D54B0" w:rsidP="000C4DC5">
            <w:pPr>
              <w:rPr>
                <w:color w:val="000000"/>
                <w:sz w:val="20"/>
              </w:rPr>
            </w:pPr>
            <w:r w:rsidRPr="00305823">
              <w:rPr>
                <w:color w:val="000000"/>
                <w:sz w:val="20"/>
              </w:rPr>
              <w:t>0.63</w:t>
            </w:r>
          </w:p>
        </w:tc>
      </w:tr>
      <w:tr w:rsidR="000C4DC5" w:rsidRPr="00305823" w14:paraId="5A84AB6B" w14:textId="77777777" w:rsidTr="000C4DC5">
        <w:trPr>
          <w:trHeight w:val="432"/>
        </w:trPr>
        <w:tc>
          <w:tcPr>
            <w:tcW w:w="1300" w:type="dxa"/>
            <w:tcBorders>
              <w:top w:val="nil"/>
              <w:left w:val="nil"/>
              <w:bottom w:val="nil"/>
              <w:right w:val="nil"/>
            </w:tcBorders>
            <w:shd w:val="clear" w:color="auto" w:fill="auto"/>
            <w:noWrap/>
            <w:hideMark/>
          </w:tcPr>
          <w:p w14:paraId="13AADA19"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1C7DB4AB"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1D88D7D2"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25CC42A5" w14:textId="77777777" w:rsidR="008D54B0" w:rsidRPr="00305823" w:rsidRDefault="008D54B0" w:rsidP="000C4DC5">
            <w:pPr>
              <w:rPr>
                <w:color w:val="000000"/>
                <w:sz w:val="20"/>
              </w:rPr>
            </w:pPr>
            <w:r w:rsidRPr="00305823">
              <w:rPr>
                <w:color w:val="000000"/>
                <w:sz w:val="20"/>
              </w:rPr>
              <w:t>0.218</w:t>
            </w:r>
          </w:p>
        </w:tc>
        <w:tc>
          <w:tcPr>
            <w:tcW w:w="1060" w:type="dxa"/>
            <w:tcBorders>
              <w:top w:val="nil"/>
              <w:left w:val="nil"/>
              <w:bottom w:val="nil"/>
              <w:right w:val="nil"/>
            </w:tcBorders>
            <w:shd w:val="clear" w:color="auto" w:fill="auto"/>
            <w:noWrap/>
            <w:hideMark/>
          </w:tcPr>
          <w:p w14:paraId="282585FD" w14:textId="77777777" w:rsidR="008D54B0" w:rsidRPr="00305823" w:rsidRDefault="008D54B0" w:rsidP="000C4DC5">
            <w:pPr>
              <w:rPr>
                <w:color w:val="000000"/>
                <w:sz w:val="20"/>
              </w:rPr>
            </w:pPr>
            <w:r w:rsidRPr="00305823">
              <w:rPr>
                <w:color w:val="000000"/>
                <w:sz w:val="20"/>
              </w:rPr>
              <w:t>0.0132</w:t>
            </w:r>
          </w:p>
        </w:tc>
        <w:tc>
          <w:tcPr>
            <w:tcW w:w="990" w:type="dxa"/>
            <w:tcBorders>
              <w:top w:val="nil"/>
              <w:left w:val="nil"/>
              <w:bottom w:val="nil"/>
              <w:right w:val="nil"/>
            </w:tcBorders>
            <w:shd w:val="clear" w:color="auto" w:fill="auto"/>
            <w:noWrap/>
            <w:hideMark/>
          </w:tcPr>
          <w:p w14:paraId="429210C7"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789A8246" w14:textId="77777777" w:rsidR="008D54B0" w:rsidRPr="00305823" w:rsidRDefault="008D54B0" w:rsidP="000C4DC5">
            <w:pPr>
              <w:rPr>
                <w:color w:val="000000"/>
                <w:sz w:val="20"/>
              </w:rPr>
            </w:pPr>
            <w:r w:rsidRPr="00305823">
              <w:rPr>
                <w:color w:val="000000"/>
                <w:sz w:val="20"/>
              </w:rPr>
              <w:t>0.60</w:t>
            </w:r>
          </w:p>
        </w:tc>
      </w:tr>
      <w:tr w:rsidR="000C4DC5" w:rsidRPr="00305823" w14:paraId="48A46014" w14:textId="77777777" w:rsidTr="000C4DC5">
        <w:trPr>
          <w:trHeight w:val="432"/>
        </w:trPr>
        <w:tc>
          <w:tcPr>
            <w:tcW w:w="1300" w:type="dxa"/>
            <w:tcBorders>
              <w:top w:val="nil"/>
              <w:left w:val="nil"/>
              <w:bottom w:val="nil"/>
              <w:right w:val="nil"/>
            </w:tcBorders>
            <w:shd w:val="clear" w:color="auto" w:fill="auto"/>
            <w:noWrap/>
            <w:hideMark/>
          </w:tcPr>
          <w:p w14:paraId="2EB1089B"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58A3E8E4"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232A50B7"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296746D0" w14:textId="77777777" w:rsidR="008D54B0" w:rsidRPr="00305823" w:rsidRDefault="008D54B0" w:rsidP="000C4DC5">
            <w:pPr>
              <w:rPr>
                <w:color w:val="000000"/>
                <w:sz w:val="20"/>
              </w:rPr>
            </w:pPr>
            <w:r w:rsidRPr="00305823">
              <w:rPr>
                <w:color w:val="000000"/>
                <w:sz w:val="20"/>
              </w:rPr>
              <w:t>0.149</w:t>
            </w:r>
          </w:p>
        </w:tc>
        <w:tc>
          <w:tcPr>
            <w:tcW w:w="1060" w:type="dxa"/>
            <w:tcBorders>
              <w:top w:val="nil"/>
              <w:left w:val="nil"/>
              <w:bottom w:val="nil"/>
              <w:right w:val="nil"/>
            </w:tcBorders>
            <w:shd w:val="clear" w:color="auto" w:fill="auto"/>
            <w:noWrap/>
            <w:hideMark/>
          </w:tcPr>
          <w:p w14:paraId="7A14543A" w14:textId="77777777" w:rsidR="008D54B0" w:rsidRPr="00305823" w:rsidRDefault="008D54B0" w:rsidP="000C4DC5">
            <w:pPr>
              <w:rPr>
                <w:color w:val="000000"/>
                <w:sz w:val="20"/>
              </w:rPr>
            </w:pPr>
            <w:r w:rsidRPr="00305823">
              <w:rPr>
                <w:color w:val="000000"/>
                <w:sz w:val="20"/>
              </w:rPr>
              <w:t>0.0163</w:t>
            </w:r>
          </w:p>
        </w:tc>
        <w:tc>
          <w:tcPr>
            <w:tcW w:w="990" w:type="dxa"/>
            <w:tcBorders>
              <w:top w:val="nil"/>
              <w:left w:val="nil"/>
              <w:bottom w:val="nil"/>
              <w:right w:val="nil"/>
            </w:tcBorders>
            <w:shd w:val="clear" w:color="auto" w:fill="auto"/>
            <w:noWrap/>
            <w:hideMark/>
          </w:tcPr>
          <w:p w14:paraId="78F03DE3"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33832161" w14:textId="77777777" w:rsidR="008D54B0" w:rsidRPr="00305823" w:rsidRDefault="008D54B0" w:rsidP="000C4DC5">
            <w:pPr>
              <w:rPr>
                <w:color w:val="000000"/>
                <w:sz w:val="20"/>
              </w:rPr>
            </w:pPr>
            <w:r w:rsidRPr="00305823">
              <w:rPr>
                <w:color w:val="000000"/>
                <w:sz w:val="20"/>
              </w:rPr>
              <w:t>0.39</w:t>
            </w:r>
          </w:p>
        </w:tc>
      </w:tr>
      <w:tr w:rsidR="000C4DC5" w:rsidRPr="00305823" w14:paraId="7DFCE4C8" w14:textId="77777777" w:rsidTr="000C4DC5">
        <w:trPr>
          <w:trHeight w:val="432"/>
        </w:trPr>
        <w:tc>
          <w:tcPr>
            <w:tcW w:w="1300" w:type="dxa"/>
            <w:tcBorders>
              <w:top w:val="nil"/>
              <w:left w:val="nil"/>
              <w:bottom w:val="nil"/>
              <w:right w:val="nil"/>
            </w:tcBorders>
            <w:shd w:val="clear" w:color="auto" w:fill="auto"/>
            <w:noWrap/>
            <w:hideMark/>
          </w:tcPr>
          <w:p w14:paraId="6506B0EF"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4CBEC094"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4CEEBBFE"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7DAECB06" w14:textId="77777777" w:rsidR="008D54B0" w:rsidRPr="00305823" w:rsidRDefault="008D54B0" w:rsidP="000C4DC5">
            <w:pPr>
              <w:rPr>
                <w:color w:val="000000"/>
                <w:sz w:val="20"/>
              </w:rPr>
            </w:pPr>
            <w:r w:rsidRPr="00305823">
              <w:rPr>
                <w:color w:val="000000"/>
                <w:sz w:val="20"/>
              </w:rPr>
              <w:t>0.086</w:t>
            </w:r>
          </w:p>
        </w:tc>
        <w:tc>
          <w:tcPr>
            <w:tcW w:w="1060" w:type="dxa"/>
            <w:tcBorders>
              <w:top w:val="nil"/>
              <w:left w:val="nil"/>
              <w:bottom w:val="nil"/>
              <w:right w:val="nil"/>
            </w:tcBorders>
            <w:shd w:val="clear" w:color="auto" w:fill="auto"/>
            <w:noWrap/>
            <w:hideMark/>
          </w:tcPr>
          <w:p w14:paraId="35AF9785" w14:textId="77777777" w:rsidR="008D54B0" w:rsidRPr="00305823" w:rsidRDefault="008D54B0" w:rsidP="000C4DC5">
            <w:pPr>
              <w:rPr>
                <w:color w:val="000000"/>
                <w:sz w:val="20"/>
              </w:rPr>
            </w:pPr>
            <w:r w:rsidRPr="00305823">
              <w:rPr>
                <w:color w:val="000000"/>
                <w:sz w:val="20"/>
              </w:rPr>
              <w:t>0.0044</w:t>
            </w:r>
          </w:p>
        </w:tc>
        <w:tc>
          <w:tcPr>
            <w:tcW w:w="990" w:type="dxa"/>
            <w:tcBorders>
              <w:top w:val="nil"/>
              <w:left w:val="nil"/>
              <w:bottom w:val="nil"/>
              <w:right w:val="nil"/>
            </w:tcBorders>
            <w:shd w:val="clear" w:color="auto" w:fill="auto"/>
            <w:noWrap/>
            <w:hideMark/>
          </w:tcPr>
          <w:p w14:paraId="2C54AA5A"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4717FACA" w14:textId="77777777" w:rsidR="008D54B0" w:rsidRPr="00305823" w:rsidRDefault="008D54B0" w:rsidP="000C4DC5">
            <w:pPr>
              <w:rPr>
                <w:color w:val="000000"/>
                <w:sz w:val="20"/>
              </w:rPr>
            </w:pPr>
            <w:r w:rsidRPr="00305823">
              <w:rPr>
                <w:color w:val="000000"/>
                <w:sz w:val="20"/>
              </w:rPr>
              <w:t>0.80</w:t>
            </w:r>
          </w:p>
        </w:tc>
      </w:tr>
      <w:tr w:rsidR="000C4DC5" w:rsidRPr="00305823" w14:paraId="0D3A8EFC" w14:textId="77777777" w:rsidTr="000C4DC5">
        <w:trPr>
          <w:trHeight w:val="432"/>
        </w:trPr>
        <w:tc>
          <w:tcPr>
            <w:tcW w:w="1300" w:type="dxa"/>
            <w:tcBorders>
              <w:top w:val="nil"/>
              <w:left w:val="nil"/>
              <w:bottom w:val="nil"/>
              <w:right w:val="nil"/>
            </w:tcBorders>
            <w:shd w:val="clear" w:color="auto" w:fill="auto"/>
            <w:noWrap/>
            <w:hideMark/>
          </w:tcPr>
          <w:p w14:paraId="69E1BED8"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14635DC8" w14:textId="77777777" w:rsidR="008D54B0" w:rsidRPr="00305823" w:rsidRDefault="008D54B0" w:rsidP="000C4DC5">
            <w:pPr>
              <w:rPr>
                <w:color w:val="000000"/>
                <w:sz w:val="20"/>
              </w:rPr>
            </w:pPr>
            <w:r w:rsidRPr="00305823">
              <w:rPr>
                <w:color w:val="000000"/>
                <w:sz w:val="20"/>
              </w:rPr>
              <w:t>All</w:t>
            </w:r>
          </w:p>
        </w:tc>
        <w:tc>
          <w:tcPr>
            <w:tcW w:w="1960" w:type="dxa"/>
            <w:tcBorders>
              <w:top w:val="nil"/>
              <w:left w:val="nil"/>
              <w:bottom w:val="nil"/>
              <w:right w:val="nil"/>
            </w:tcBorders>
            <w:shd w:val="clear" w:color="auto" w:fill="auto"/>
            <w:noWrap/>
            <w:hideMark/>
          </w:tcPr>
          <w:p w14:paraId="4311780E"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103785FC" w14:textId="77777777" w:rsidR="008D54B0" w:rsidRPr="00305823" w:rsidRDefault="008D54B0" w:rsidP="000C4DC5">
            <w:pPr>
              <w:rPr>
                <w:color w:val="000000"/>
                <w:sz w:val="20"/>
              </w:rPr>
            </w:pPr>
            <w:r w:rsidRPr="00305823">
              <w:rPr>
                <w:color w:val="000000"/>
                <w:sz w:val="20"/>
              </w:rPr>
              <w:t>0.007</w:t>
            </w:r>
          </w:p>
        </w:tc>
        <w:tc>
          <w:tcPr>
            <w:tcW w:w="1060" w:type="dxa"/>
            <w:tcBorders>
              <w:top w:val="nil"/>
              <w:left w:val="nil"/>
              <w:bottom w:val="nil"/>
              <w:right w:val="nil"/>
            </w:tcBorders>
            <w:shd w:val="clear" w:color="auto" w:fill="auto"/>
            <w:noWrap/>
            <w:hideMark/>
          </w:tcPr>
          <w:p w14:paraId="3D1BC04E" w14:textId="77777777" w:rsidR="008D54B0" w:rsidRPr="00305823" w:rsidRDefault="008D54B0" w:rsidP="000C4DC5">
            <w:pPr>
              <w:rPr>
                <w:color w:val="000000"/>
                <w:sz w:val="20"/>
              </w:rPr>
            </w:pPr>
            <w:r w:rsidRPr="00305823">
              <w:rPr>
                <w:color w:val="000000"/>
                <w:sz w:val="20"/>
              </w:rPr>
              <w:t>0.0002</w:t>
            </w:r>
          </w:p>
        </w:tc>
        <w:tc>
          <w:tcPr>
            <w:tcW w:w="990" w:type="dxa"/>
            <w:tcBorders>
              <w:top w:val="nil"/>
              <w:left w:val="nil"/>
              <w:bottom w:val="nil"/>
              <w:right w:val="nil"/>
            </w:tcBorders>
            <w:shd w:val="clear" w:color="auto" w:fill="auto"/>
            <w:noWrap/>
            <w:hideMark/>
          </w:tcPr>
          <w:p w14:paraId="6CAD4D2B"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4F766CD9" w14:textId="77777777" w:rsidR="008D54B0" w:rsidRPr="00305823" w:rsidRDefault="008D54B0" w:rsidP="000C4DC5">
            <w:pPr>
              <w:rPr>
                <w:color w:val="000000"/>
                <w:sz w:val="20"/>
              </w:rPr>
            </w:pPr>
            <w:r w:rsidRPr="00305823">
              <w:rPr>
                <w:color w:val="000000"/>
                <w:sz w:val="20"/>
              </w:rPr>
              <w:t>0.86</w:t>
            </w:r>
          </w:p>
        </w:tc>
      </w:tr>
      <w:tr w:rsidR="000C4DC5" w:rsidRPr="00305823" w14:paraId="73972222" w14:textId="77777777" w:rsidTr="000C4DC5">
        <w:trPr>
          <w:trHeight w:val="432"/>
        </w:trPr>
        <w:tc>
          <w:tcPr>
            <w:tcW w:w="1300" w:type="dxa"/>
            <w:tcBorders>
              <w:top w:val="nil"/>
              <w:left w:val="nil"/>
              <w:bottom w:val="nil"/>
              <w:right w:val="nil"/>
            </w:tcBorders>
            <w:shd w:val="clear" w:color="auto" w:fill="auto"/>
            <w:noWrap/>
            <w:hideMark/>
          </w:tcPr>
          <w:p w14:paraId="1A8C1E55"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0C7472FB"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6A6BC153"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42E48B8E" w14:textId="77777777" w:rsidR="008D54B0" w:rsidRPr="00305823" w:rsidRDefault="008D54B0" w:rsidP="000C4DC5">
            <w:pPr>
              <w:rPr>
                <w:color w:val="000000"/>
                <w:sz w:val="20"/>
              </w:rPr>
            </w:pPr>
            <w:r w:rsidRPr="00305823">
              <w:rPr>
                <w:color w:val="000000"/>
                <w:sz w:val="20"/>
              </w:rPr>
              <w:t>4.158</w:t>
            </w:r>
          </w:p>
        </w:tc>
        <w:tc>
          <w:tcPr>
            <w:tcW w:w="1060" w:type="dxa"/>
            <w:tcBorders>
              <w:top w:val="nil"/>
              <w:left w:val="nil"/>
              <w:bottom w:val="nil"/>
              <w:right w:val="nil"/>
            </w:tcBorders>
            <w:shd w:val="clear" w:color="auto" w:fill="auto"/>
            <w:noWrap/>
            <w:hideMark/>
          </w:tcPr>
          <w:p w14:paraId="54CAB0D5" w14:textId="77777777" w:rsidR="008D54B0" w:rsidRPr="00305823" w:rsidRDefault="008D54B0" w:rsidP="000C4DC5">
            <w:pPr>
              <w:rPr>
                <w:color w:val="000000"/>
                <w:sz w:val="20"/>
              </w:rPr>
            </w:pPr>
            <w:r w:rsidRPr="00305823">
              <w:rPr>
                <w:color w:val="000000"/>
                <w:sz w:val="20"/>
              </w:rPr>
              <w:t>0.2527</w:t>
            </w:r>
          </w:p>
        </w:tc>
        <w:tc>
          <w:tcPr>
            <w:tcW w:w="990" w:type="dxa"/>
            <w:tcBorders>
              <w:top w:val="nil"/>
              <w:left w:val="nil"/>
              <w:bottom w:val="nil"/>
              <w:right w:val="nil"/>
            </w:tcBorders>
            <w:shd w:val="clear" w:color="auto" w:fill="auto"/>
            <w:noWrap/>
            <w:hideMark/>
          </w:tcPr>
          <w:p w14:paraId="7EEECAF2"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29EC9183" w14:textId="77777777" w:rsidR="008D54B0" w:rsidRPr="00305823" w:rsidRDefault="008D54B0" w:rsidP="000C4DC5">
            <w:pPr>
              <w:rPr>
                <w:color w:val="000000"/>
                <w:sz w:val="20"/>
              </w:rPr>
            </w:pPr>
            <w:r w:rsidRPr="00305823">
              <w:rPr>
                <w:color w:val="000000"/>
                <w:sz w:val="20"/>
              </w:rPr>
              <w:t>0.83</w:t>
            </w:r>
          </w:p>
        </w:tc>
      </w:tr>
      <w:tr w:rsidR="000C4DC5" w:rsidRPr="00305823" w14:paraId="02241AE6" w14:textId="77777777" w:rsidTr="000C4DC5">
        <w:trPr>
          <w:trHeight w:val="432"/>
        </w:trPr>
        <w:tc>
          <w:tcPr>
            <w:tcW w:w="1300" w:type="dxa"/>
            <w:tcBorders>
              <w:top w:val="nil"/>
              <w:left w:val="nil"/>
              <w:bottom w:val="nil"/>
              <w:right w:val="nil"/>
            </w:tcBorders>
            <w:shd w:val="clear" w:color="auto" w:fill="auto"/>
            <w:noWrap/>
            <w:hideMark/>
          </w:tcPr>
          <w:p w14:paraId="08056080"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5153C293"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155C6476"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1486BB4B" w14:textId="77777777" w:rsidR="008D54B0" w:rsidRPr="00305823" w:rsidRDefault="008D54B0" w:rsidP="000C4DC5">
            <w:pPr>
              <w:rPr>
                <w:color w:val="000000"/>
                <w:sz w:val="20"/>
              </w:rPr>
            </w:pPr>
            <w:r w:rsidRPr="00305823">
              <w:rPr>
                <w:color w:val="000000"/>
                <w:sz w:val="20"/>
              </w:rPr>
              <w:t>4.143</w:t>
            </w:r>
          </w:p>
        </w:tc>
        <w:tc>
          <w:tcPr>
            <w:tcW w:w="1060" w:type="dxa"/>
            <w:tcBorders>
              <w:top w:val="nil"/>
              <w:left w:val="nil"/>
              <w:bottom w:val="nil"/>
              <w:right w:val="nil"/>
            </w:tcBorders>
            <w:shd w:val="clear" w:color="auto" w:fill="auto"/>
            <w:noWrap/>
            <w:hideMark/>
          </w:tcPr>
          <w:p w14:paraId="0FCBD71C" w14:textId="77777777" w:rsidR="008D54B0" w:rsidRPr="00305823" w:rsidRDefault="008D54B0" w:rsidP="000C4DC5">
            <w:pPr>
              <w:rPr>
                <w:color w:val="000000"/>
                <w:sz w:val="20"/>
              </w:rPr>
            </w:pPr>
            <w:r w:rsidRPr="00305823">
              <w:rPr>
                <w:color w:val="000000"/>
                <w:sz w:val="20"/>
              </w:rPr>
              <w:t>0.2649</w:t>
            </w:r>
          </w:p>
        </w:tc>
        <w:tc>
          <w:tcPr>
            <w:tcW w:w="990" w:type="dxa"/>
            <w:tcBorders>
              <w:top w:val="nil"/>
              <w:left w:val="nil"/>
              <w:bottom w:val="nil"/>
              <w:right w:val="nil"/>
            </w:tcBorders>
            <w:shd w:val="clear" w:color="auto" w:fill="auto"/>
            <w:noWrap/>
            <w:hideMark/>
          </w:tcPr>
          <w:p w14:paraId="1A07FCC1"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3F7838B4" w14:textId="77777777" w:rsidR="008D54B0" w:rsidRPr="00305823" w:rsidRDefault="008D54B0" w:rsidP="000C4DC5">
            <w:pPr>
              <w:rPr>
                <w:color w:val="000000"/>
                <w:sz w:val="20"/>
              </w:rPr>
            </w:pPr>
            <w:r w:rsidRPr="00305823">
              <w:rPr>
                <w:color w:val="000000"/>
                <w:sz w:val="20"/>
              </w:rPr>
              <w:t>0.87</w:t>
            </w:r>
          </w:p>
        </w:tc>
      </w:tr>
      <w:tr w:rsidR="000C4DC5" w:rsidRPr="00305823" w14:paraId="0B4D48E2" w14:textId="77777777" w:rsidTr="000C4DC5">
        <w:trPr>
          <w:trHeight w:val="432"/>
        </w:trPr>
        <w:tc>
          <w:tcPr>
            <w:tcW w:w="1300" w:type="dxa"/>
            <w:tcBorders>
              <w:top w:val="nil"/>
              <w:left w:val="nil"/>
              <w:bottom w:val="nil"/>
              <w:right w:val="nil"/>
            </w:tcBorders>
            <w:shd w:val="clear" w:color="auto" w:fill="auto"/>
            <w:noWrap/>
            <w:hideMark/>
          </w:tcPr>
          <w:p w14:paraId="3E28A44D"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3833E109"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nil"/>
              <w:right w:val="nil"/>
            </w:tcBorders>
            <w:shd w:val="clear" w:color="auto" w:fill="auto"/>
            <w:noWrap/>
            <w:hideMark/>
          </w:tcPr>
          <w:p w14:paraId="394CF68E"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589B68B8" w14:textId="77777777" w:rsidR="008D54B0" w:rsidRPr="00305823" w:rsidRDefault="008D54B0" w:rsidP="000C4DC5">
            <w:pPr>
              <w:rPr>
                <w:color w:val="000000"/>
                <w:sz w:val="20"/>
              </w:rPr>
            </w:pPr>
            <w:r w:rsidRPr="00305823">
              <w:rPr>
                <w:color w:val="000000"/>
                <w:sz w:val="20"/>
              </w:rPr>
              <w:t>2.085</w:t>
            </w:r>
          </w:p>
        </w:tc>
        <w:tc>
          <w:tcPr>
            <w:tcW w:w="1060" w:type="dxa"/>
            <w:tcBorders>
              <w:top w:val="nil"/>
              <w:left w:val="nil"/>
              <w:bottom w:val="nil"/>
              <w:right w:val="nil"/>
            </w:tcBorders>
            <w:shd w:val="clear" w:color="auto" w:fill="auto"/>
            <w:noWrap/>
            <w:hideMark/>
          </w:tcPr>
          <w:p w14:paraId="5D0D5174" w14:textId="77777777" w:rsidR="008D54B0" w:rsidRPr="00305823" w:rsidRDefault="008D54B0" w:rsidP="000C4DC5">
            <w:pPr>
              <w:rPr>
                <w:color w:val="000000"/>
                <w:sz w:val="20"/>
              </w:rPr>
            </w:pPr>
            <w:r w:rsidRPr="00305823">
              <w:rPr>
                <w:color w:val="000000"/>
                <w:sz w:val="20"/>
              </w:rPr>
              <w:t>0.0997</w:t>
            </w:r>
          </w:p>
        </w:tc>
        <w:tc>
          <w:tcPr>
            <w:tcW w:w="990" w:type="dxa"/>
            <w:tcBorders>
              <w:top w:val="nil"/>
              <w:left w:val="nil"/>
              <w:bottom w:val="nil"/>
              <w:right w:val="nil"/>
            </w:tcBorders>
            <w:shd w:val="clear" w:color="auto" w:fill="auto"/>
            <w:noWrap/>
            <w:hideMark/>
          </w:tcPr>
          <w:p w14:paraId="62FABD95"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4847F34A" w14:textId="77777777" w:rsidR="008D54B0" w:rsidRPr="00305823" w:rsidRDefault="008D54B0" w:rsidP="000C4DC5">
            <w:pPr>
              <w:rPr>
                <w:color w:val="000000"/>
                <w:sz w:val="20"/>
              </w:rPr>
            </w:pPr>
            <w:r w:rsidRPr="00305823">
              <w:rPr>
                <w:color w:val="000000"/>
                <w:sz w:val="20"/>
              </w:rPr>
              <w:t>0.93</w:t>
            </w:r>
          </w:p>
        </w:tc>
      </w:tr>
      <w:tr w:rsidR="000C4DC5" w:rsidRPr="00305823" w14:paraId="4209778D" w14:textId="77777777" w:rsidTr="000C4DC5">
        <w:trPr>
          <w:trHeight w:val="432"/>
        </w:trPr>
        <w:tc>
          <w:tcPr>
            <w:tcW w:w="1300" w:type="dxa"/>
            <w:tcBorders>
              <w:top w:val="nil"/>
              <w:left w:val="nil"/>
              <w:bottom w:val="nil"/>
              <w:right w:val="nil"/>
            </w:tcBorders>
            <w:shd w:val="clear" w:color="auto" w:fill="auto"/>
            <w:noWrap/>
            <w:hideMark/>
          </w:tcPr>
          <w:p w14:paraId="2EF1C844"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0C9C9B18"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6EF698A5"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054AE33D" w14:textId="77777777" w:rsidR="008D54B0" w:rsidRPr="00305823" w:rsidRDefault="008D54B0" w:rsidP="000C4DC5">
            <w:pPr>
              <w:rPr>
                <w:color w:val="000000"/>
                <w:sz w:val="20"/>
              </w:rPr>
            </w:pPr>
            <w:r w:rsidRPr="00305823">
              <w:rPr>
                <w:color w:val="000000"/>
                <w:sz w:val="20"/>
              </w:rPr>
              <w:t>0.128</w:t>
            </w:r>
          </w:p>
        </w:tc>
        <w:tc>
          <w:tcPr>
            <w:tcW w:w="1060" w:type="dxa"/>
            <w:tcBorders>
              <w:top w:val="nil"/>
              <w:left w:val="nil"/>
              <w:bottom w:val="nil"/>
              <w:right w:val="nil"/>
            </w:tcBorders>
            <w:shd w:val="clear" w:color="auto" w:fill="auto"/>
            <w:noWrap/>
            <w:hideMark/>
          </w:tcPr>
          <w:p w14:paraId="24FC40DA" w14:textId="77777777" w:rsidR="008D54B0" w:rsidRPr="00305823" w:rsidRDefault="008D54B0" w:rsidP="000C4DC5">
            <w:pPr>
              <w:rPr>
                <w:color w:val="000000"/>
                <w:sz w:val="20"/>
              </w:rPr>
            </w:pPr>
            <w:r w:rsidRPr="00305823">
              <w:rPr>
                <w:color w:val="000000"/>
                <w:sz w:val="20"/>
              </w:rPr>
              <w:t>0.0191</w:t>
            </w:r>
          </w:p>
        </w:tc>
        <w:tc>
          <w:tcPr>
            <w:tcW w:w="990" w:type="dxa"/>
            <w:tcBorders>
              <w:top w:val="nil"/>
              <w:left w:val="nil"/>
              <w:bottom w:val="nil"/>
              <w:right w:val="nil"/>
            </w:tcBorders>
            <w:shd w:val="clear" w:color="auto" w:fill="auto"/>
            <w:noWrap/>
            <w:hideMark/>
          </w:tcPr>
          <w:p w14:paraId="7C50ACAE"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3DFD85F9" w14:textId="77777777" w:rsidR="008D54B0" w:rsidRPr="00305823" w:rsidRDefault="008D54B0" w:rsidP="000C4DC5">
            <w:pPr>
              <w:rPr>
                <w:color w:val="000000"/>
                <w:sz w:val="20"/>
              </w:rPr>
            </w:pPr>
            <w:r w:rsidRPr="00305823">
              <w:rPr>
                <w:color w:val="000000"/>
                <w:sz w:val="20"/>
              </w:rPr>
              <w:t>0.60</w:t>
            </w:r>
          </w:p>
        </w:tc>
      </w:tr>
      <w:tr w:rsidR="000C4DC5" w:rsidRPr="00305823" w14:paraId="3DF4F40C" w14:textId="77777777" w:rsidTr="000C4DC5">
        <w:trPr>
          <w:trHeight w:val="432"/>
        </w:trPr>
        <w:tc>
          <w:tcPr>
            <w:tcW w:w="1300" w:type="dxa"/>
            <w:tcBorders>
              <w:top w:val="nil"/>
              <w:left w:val="nil"/>
              <w:bottom w:val="nil"/>
              <w:right w:val="nil"/>
            </w:tcBorders>
            <w:shd w:val="clear" w:color="auto" w:fill="auto"/>
            <w:noWrap/>
            <w:hideMark/>
          </w:tcPr>
          <w:p w14:paraId="003C2AC0"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1F40C904"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136C59F3"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3EC389AE" w14:textId="77777777" w:rsidR="008D54B0" w:rsidRPr="00305823" w:rsidRDefault="008D54B0" w:rsidP="000C4DC5">
            <w:pPr>
              <w:rPr>
                <w:color w:val="000000"/>
                <w:sz w:val="20"/>
              </w:rPr>
            </w:pPr>
            <w:r w:rsidRPr="00305823">
              <w:rPr>
                <w:color w:val="000000"/>
                <w:sz w:val="20"/>
              </w:rPr>
              <w:t>0.234</w:t>
            </w:r>
          </w:p>
        </w:tc>
        <w:tc>
          <w:tcPr>
            <w:tcW w:w="1060" w:type="dxa"/>
            <w:tcBorders>
              <w:top w:val="nil"/>
              <w:left w:val="nil"/>
              <w:bottom w:val="nil"/>
              <w:right w:val="nil"/>
            </w:tcBorders>
            <w:shd w:val="clear" w:color="auto" w:fill="auto"/>
            <w:noWrap/>
            <w:hideMark/>
          </w:tcPr>
          <w:p w14:paraId="6E85C035" w14:textId="77777777" w:rsidR="008D54B0" w:rsidRPr="00305823" w:rsidRDefault="008D54B0" w:rsidP="000C4DC5">
            <w:pPr>
              <w:rPr>
                <w:color w:val="000000"/>
                <w:sz w:val="20"/>
              </w:rPr>
            </w:pPr>
            <w:r w:rsidRPr="00305823">
              <w:rPr>
                <w:color w:val="000000"/>
                <w:sz w:val="20"/>
              </w:rPr>
              <w:t>0.0282</w:t>
            </w:r>
          </w:p>
        </w:tc>
        <w:tc>
          <w:tcPr>
            <w:tcW w:w="990" w:type="dxa"/>
            <w:tcBorders>
              <w:top w:val="nil"/>
              <w:left w:val="nil"/>
              <w:bottom w:val="nil"/>
              <w:right w:val="nil"/>
            </w:tcBorders>
            <w:shd w:val="clear" w:color="auto" w:fill="auto"/>
            <w:noWrap/>
            <w:hideMark/>
          </w:tcPr>
          <w:p w14:paraId="1C2BB5F4"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53F01F7D" w14:textId="77777777" w:rsidR="008D54B0" w:rsidRPr="00305823" w:rsidRDefault="008D54B0" w:rsidP="000C4DC5">
            <w:pPr>
              <w:rPr>
                <w:color w:val="000000"/>
                <w:sz w:val="20"/>
              </w:rPr>
            </w:pPr>
            <w:r w:rsidRPr="00305823">
              <w:rPr>
                <w:color w:val="000000"/>
                <w:sz w:val="20"/>
              </w:rPr>
              <w:t>0.67</w:t>
            </w:r>
          </w:p>
        </w:tc>
      </w:tr>
      <w:tr w:rsidR="000C4DC5" w:rsidRPr="00305823" w14:paraId="26A43590" w14:textId="77777777" w:rsidTr="000C4DC5">
        <w:trPr>
          <w:trHeight w:val="432"/>
        </w:trPr>
        <w:tc>
          <w:tcPr>
            <w:tcW w:w="1300" w:type="dxa"/>
            <w:tcBorders>
              <w:top w:val="nil"/>
              <w:left w:val="nil"/>
              <w:bottom w:val="nil"/>
              <w:right w:val="nil"/>
            </w:tcBorders>
            <w:shd w:val="clear" w:color="auto" w:fill="auto"/>
            <w:noWrap/>
            <w:hideMark/>
          </w:tcPr>
          <w:p w14:paraId="794350F0"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26850C90"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nil"/>
              <w:right w:val="nil"/>
            </w:tcBorders>
            <w:shd w:val="clear" w:color="auto" w:fill="auto"/>
            <w:noWrap/>
            <w:hideMark/>
          </w:tcPr>
          <w:p w14:paraId="593FB013"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7B52B8D8" w14:textId="77777777" w:rsidR="008D54B0" w:rsidRPr="00305823" w:rsidRDefault="008D54B0" w:rsidP="000C4DC5">
            <w:pPr>
              <w:rPr>
                <w:color w:val="000000"/>
                <w:sz w:val="20"/>
              </w:rPr>
            </w:pPr>
            <w:r w:rsidRPr="00305823">
              <w:rPr>
                <w:color w:val="000000"/>
                <w:sz w:val="20"/>
              </w:rPr>
              <w:t>0.522</w:t>
            </w:r>
          </w:p>
        </w:tc>
        <w:tc>
          <w:tcPr>
            <w:tcW w:w="1060" w:type="dxa"/>
            <w:tcBorders>
              <w:top w:val="nil"/>
              <w:left w:val="nil"/>
              <w:bottom w:val="nil"/>
              <w:right w:val="nil"/>
            </w:tcBorders>
            <w:shd w:val="clear" w:color="auto" w:fill="auto"/>
            <w:noWrap/>
            <w:hideMark/>
          </w:tcPr>
          <w:p w14:paraId="2F8A1E8C" w14:textId="77777777" w:rsidR="008D54B0" w:rsidRPr="00305823" w:rsidRDefault="008D54B0" w:rsidP="000C4DC5">
            <w:pPr>
              <w:rPr>
                <w:color w:val="000000"/>
                <w:sz w:val="20"/>
              </w:rPr>
            </w:pPr>
            <w:r w:rsidRPr="00305823">
              <w:rPr>
                <w:color w:val="000000"/>
                <w:sz w:val="20"/>
              </w:rPr>
              <w:t>0.0217</w:t>
            </w:r>
          </w:p>
        </w:tc>
        <w:tc>
          <w:tcPr>
            <w:tcW w:w="990" w:type="dxa"/>
            <w:tcBorders>
              <w:top w:val="nil"/>
              <w:left w:val="nil"/>
              <w:bottom w:val="nil"/>
              <w:right w:val="nil"/>
            </w:tcBorders>
            <w:shd w:val="clear" w:color="auto" w:fill="auto"/>
            <w:noWrap/>
            <w:hideMark/>
          </w:tcPr>
          <w:p w14:paraId="60C29FDF"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257C2500" w14:textId="77777777" w:rsidR="008D54B0" w:rsidRPr="00305823" w:rsidRDefault="008D54B0" w:rsidP="000C4DC5">
            <w:pPr>
              <w:rPr>
                <w:color w:val="000000"/>
                <w:sz w:val="20"/>
              </w:rPr>
            </w:pPr>
            <w:r w:rsidRPr="00305823">
              <w:rPr>
                <w:color w:val="000000"/>
                <w:sz w:val="20"/>
              </w:rPr>
              <w:t>0.96</w:t>
            </w:r>
          </w:p>
        </w:tc>
      </w:tr>
      <w:tr w:rsidR="000C4DC5" w:rsidRPr="00305823" w14:paraId="61362EED" w14:textId="77777777" w:rsidTr="000C4DC5">
        <w:trPr>
          <w:trHeight w:val="432"/>
        </w:trPr>
        <w:tc>
          <w:tcPr>
            <w:tcW w:w="1300" w:type="dxa"/>
            <w:tcBorders>
              <w:top w:val="nil"/>
              <w:left w:val="nil"/>
              <w:bottom w:val="nil"/>
              <w:right w:val="nil"/>
            </w:tcBorders>
            <w:shd w:val="clear" w:color="auto" w:fill="auto"/>
            <w:noWrap/>
            <w:hideMark/>
          </w:tcPr>
          <w:p w14:paraId="04A79083"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2B5F91BC"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0C66B038"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5A82FC6E" w14:textId="77777777" w:rsidR="008D54B0" w:rsidRPr="00305823" w:rsidRDefault="008D54B0" w:rsidP="000C4DC5">
            <w:pPr>
              <w:rPr>
                <w:color w:val="000000"/>
                <w:sz w:val="20"/>
              </w:rPr>
            </w:pPr>
            <w:r w:rsidRPr="00305823">
              <w:rPr>
                <w:color w:val="000000"/>
                <w:sz w:val="20"/>
              </w:rPr>
              <w:t>0.048</w:t>
            </w:r>
          </w:p>
        </w:tc>
        <w:tc>
          <w:tcPr>
            <w:tcW w:w="1060" w:type="dxa"/>
            <w:tcBorders>
              <w:top w:val="nil"/>
              <w:left w:val="nil"/>
              <w:bottom w:val="nil"/>
              <w:right w:val="nil"/>
            </w:tcBorders>
            <w:shd w:val="clear" w:color="auto" w:fill="auto"/>
            <w:noWrap/>
            <w:hideMark/>
          </w:tcPr>
          <w:p w14:paraId="6E1AE89E" w14:textId="77777777" w:rsidR="008D54B0" w:rsidRPr="00305823" w:rsidRDefault="008D54B0" w:rsidP="000C4DC5">
            <w:pPr>
              <w:rPr>
                <w:color w:val="000000"/>
                <w:sz w:val="20"/>
              </w:rPr>
            </w:pPr>
            <w:r w:rsidRPr="00305823">
              <w:rPr>
                <w:color w:val="000000"/>
                <w:sz w:val="20"/>
              </w:rPr>
              <w:t>0.0042</w:t>
            </w:r>
          </w:p>
        </w:tc>
        <w:tc>
          <w:tcPr>
            <w:tcW w:w="990" w:type="dxa"/>
            <w:tcBorders>
              <w:top w:val="nil"/>
              <w:left w:val="nil"/>
              <w:bottom w:val="nil"/>
              <w:right w:val="nil"/>
            </w:tcBorders>
            <w:shd w:val="clear" w:color="auto" w:fill="auto"/>
            <w:noWrap/>
            <w:hideMark/>
          </w:tcPr>
          <w:p w14:paraId="195ADB61"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4D9ED3F5" w14:textId="77777777" w:rsidR="008D54B0" w:rsidRPr="00305823" w:rsidRDefault="008D54B0" w:rsidP="000C4DC5">
            <w:pPr>
              <w:rPr>
                <w:color w:val="000000"/>
                <w:sz w:val="20"/>
              </w:rPr>
            </w:pPr>
            <w:r w:rsidRPr="00305823">
              <w:rPr>
                <w:color w:val="000000"/>
                <w:sz w:val="20"/>
              </w:rPr>
              <w:t>0.63</w:t>
            </w:r>
          </w:p>
        </w:tc>
      </w:tr>
      <w:tr w:rsidR="000C4DC5" w:rsidRPr="00305823" w14:paraId="1FF7D724" w14:textId="77777777" w:rsidTr="000C4DC5">
        <w:trPr>
          <w:trHeight w:val="432"/>
        </w:trPr>
        <w:tc>
          <w:tcPr>
            <w:tcW w:w="1300" w:type="dxa"/>
            <w:tcBorders>
              <w:top w:val="nil"/>
              <w:left w:val="nil"/>
              <w:bottom w:val="nil"/>
              <w:right w:val="nil"/>
            </w:tcBorders>
            <w:shd w:val="clear" w:color="auto" w:fill="auto"/>
            <w:noWrap/>
            <w:hideMark/>
          </w:tcPr>
          <w:p w14:paraId="76B31A87"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500DA47A"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366BCAD7"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605170DF" w14:textId="77777777" w:rsidR="008D54B0" w:rsidRPr="00305823" w:rsidRDefault="008D54B0" w:rsidP="000C4DC5">
            <w:pPr>
              <w:rPr>
                <w:color w:val="000000"/>
                <w:sz w:val="20"/>
              </w:rPr>
            </w:pPr>
            <w:r w:rsidRPr="00305823">
              <w:rPr>
                <w:color w:val="000000"/>
                <w:sz w:val="20"/>
              </w:rPr>
              <w:t>0.103</w:t>
            </w:r>
          </w:p>
        </w:tc>
        <w:tc>
          <w:tcPr>
            <w:tcW w:w="1060" w:type="dxa"/>
            <w:tcBorders>
              <w:top w:val="nil"/>
              <w:left w:val="nil"/>
              <w:bottom w:val="nil"/>
              <w:right w:val="nil"/>
            </w:tcBorders>
            <w:shd w:val="clear" w:color="auto" w:fill="auto"/>
            <w:noWrap/>
            <w:hideMark/>
          </w:tcPr>
          <w:p w14:paraId="2F6401E4" w14:textId="77777777" w:rsidR="008D54B0" w:rsidRPr="00305823" w:rsidRDefault="008D54B0" w:rsidP="000C4DC5">
            <w:pPr>
              <w:rPr>
                <w:color w:val="000000"/>
                <w:sz w:val="20"/>
              </w:rPr>
            </w:pPr>
            <w:r w:rsidRPr="00305823">
              <w:rPr>
                <w:color w:val="000000"/>
                <w:sz w:val="20"/>
              </w:rPr>
              <w:t>0.0104</w:t>
            </w:r>
          </w:p>
        </w:tc>
        <w:tc>
          <w:tcPr>
            <w:tcW w:w="990" w:type="dxa"/>
            <w:tcBorders>
              <w:top w:val="nil"/>
              <w:left w:val="nil"/>
              <w:bottom w:val="nil"/>
              <w:right w:val="nil"/>
            </w:tcBorders>
            <w:shd w:val="clear" w:color="auto" w:fill="auto"/>
            <w:noWrap/>
            <w:hideMark/>
          </w:tcPr>
          <w:p w14:paraId="2AA94A5E"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3B96B704" w14:textId="77777777" w:rsidR="008D54B0" w:rsidRPr="00305823" w:rsidRDefault="008D54B0" w:rsidP="000C4DC5">
            <w:pPr>
              <w:rPr>
                <w:color w:val="000000"/>
                <w:sz w:val="20"/>
              </w:rPr>
            </w:pPr>
            <w:r w:rsidRPr="00305823">
              <w:rPr>
                <w:color w:val="000000"/>
                <w:sz w:val="20"/>
              </w:rPr>
              <w:t>0.66</w:t>
            </w:r>
          </w:p>
        </w:tc>
      </w:tr>
      <w:tr w:rsidR="000C4DC5" w:rsidRPr="00305823" w14:paraId="31DAD07F" w14:textId="77777777" w:rsidTr="000C4DC5">
        <w:trPr>
          <w:trHeight w:val="432"/>
        </w:trPr>
        <w:tc>
          <w:tcPr>
            <w:tcW w:w="1300" w:type="dxa"/>
            <w:tcBorders>
              <w:top w:val="nil"/>
              <w:left w:val="nil"/>
              <w:bottom w:val="nil"/>
              <w:right w:val="nil"/>
            </w:tcBorders>
            <w:shd w:val="clear" w:color="auto" w:fill="auto"/>
            <w:noWrap/>
            <w:hideMark/>
          </w:tcPr>
          <w:p w14:paraId="02054CE2"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2063348C"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nil"/>
              <w:right w:val="nil"/>
            </w:tcBorders>
            <w:shd w:val="clear" w:color="auto" w:fill="auto"/>
            <w:noWrap/>
            <w:hideMark/>
          </w:tcPr>
          <w:p w14:paraId="18E3AC6A" w14:textId="77777777" w:rsidR="008D54B0" w:rsidRPr="00305823" w:rsidRDefault="008D54B0" w:rsidP="000C4DC5">
            <w:pPr>
              <w:rPr>
                <w:color w:val="000000"/>
                <w:sz w:val="20"/>
              </w:rPr>
            </w:pPr>
            <w:r w:rsidRPr="00305823">
              <w:rPr>
                <w:color w:val="000000"/>
                <w:sz w:val="20"/>
              </w:rPr>
              <w:t>event NO3 yield ~ event water yield</w:t>
            </w:r>
          </w:p>
        </w:tc>
        <w:tc>
          <w:tcPr>
            <w:tcW w:w="740" w:type="dxa"/>
            <w:tcBorders>
              <w:top w:val="nil"/>
              <w:left w:val="nil"/>
              <w:bottom w:val="nil"/>
              <w:right w:val="nil"/>
            </w:tcBorders>
            <w:shd w:val="clear" w:color="auto" w:fill="auto"/>
            <w:noWrap/>
            <w:hideMark/>
          </w:tcPr>
          <w:p w14:paraId="715A28E9" w14:textId="77777777" w:rsidR="008D54B0" w:rsidRPr="00305823" w:rsidRDefault="008D54B0" w:rsidP="000C4DC5">
            <w:pPr>
              <w:rPr>
                <w:color w:val="000000"/>
                <w:sz w:val="20"/>
              </w:rPr>
            </w:pPr>
            <w:r w:rsidRPr="00305823">
              <w:rPr>
                <w:color w:val="000000"/>
                <w:sz w:val="20"/>
              </w:rPr>
              <w:t>0.305</w:t>
            </w:r>
          </w:p>
        </w:tc>
        <w:tc>
          <w:tcPr>
            <w:tcW w:w="1060" w:type="dxa"/>
            <w:tcBorders>
              <w:top w:val="nil"/>
              <w:left w:val="nil"/>
              <w:bottom w:val="nil"/>
              <w:right w:val="nil"/>
            </w:tcBorders>
            <w:shd w:val="clear" w:color="auto" w:fill="auto"/>
            <w:noWrap/>
            <w:hideMark/>
          </w:tcPr>
          <w:p w14:paraId="2AE05AA6" w14:textId="77777777" w:rsidR="008D54B0" w:rsidRPr="00305823" w:rsidRDefault="008D54B0" w:rsidP="000C4DC5">
            <w:pPr>
              <w:rPr>
                <w:color w:val="000000"/>
                <w:sz w:val="20"/>
              </w:rPr>
            </w:pPr>
            <w:r w:rsidRPr="00305823">
              <w:rPr>
                <w:color w:val="000000"/>
                <w:sz w:val="20"/>
              </w:rPr>
              <w:t>0.0218</w:t>
            </w:r>
          </w:p>
        </w:tc>
        <w:tc>
          <w:tcPr>
            <w:tcW w:w="990" w:type="dxa"/>
            <w:tcBorders>
              <w:top w:val="nil"/>
              <w:left w:val="nil"/>
              <w:bottom w:val="nil"/>
              <w:right w:val="nil"/>
            </w:tcBorders>
            <w:shd w:val="clear" w:color="auto" w:fill="auto"/>
            <w:noWrap/>
            <w:hideMark/>
          </w:tcPr>
          <w:p w14:paraId="7C024A46"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7EE85391" w14:textId="77777777" w:rsidR="008D54B0" w:rsidRPr="00305823" w:rsidRDefault="008D54B0" w:rsidP="000C4DC5">
            <w:pPr>
              <w:rPr>
                <w:color w:val="000000"/>
                <w:sz w:val="20"/>
              </w:rPr>
            </w:pPr>
            <w:r w:rsidRPr="00305823">
              <w:rPr>
                <w:color w:val="000000"/>
                <w:sz w:val="20"/>
              </w:rPr>
              <w:t>0.80</w:t>
            </w:r>
          </w:p>
        </w:tc>
      </w:tr>
      <w:tr w:rsidR="000C4DC5" w:rsidRPr="00305823" w14:paraId="746116C1" w14:textId="77777777" w:rsidTr="000C4DC5">
        <w:trPr>
          <w:trHeight w:val="432"/>
        </w:trPr>
        <w:tc>
          <w:tcPr>
            <w:tcW w:w="1300" w:type="dxa"/>
            <w:tcBorders>
              <w:top w:val="nil"/>
              <w:left w:val="nil"/>
              <w:bottom w:val="nil"/>
              <w:right w:val="nil"/>
            </w:tcBorders>
            <w:shd w:val="clear" w:color="auto" w:fill="auto"/>
            <w:noWrap/>
            <w:hideMark/>
          </w:tcPr>
          <w:p w14:paraId="327D647D"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0F84ECC6"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797C27D7"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2B1160FD" w14:textId="77777777" w:rsidR="008D54B0" w:rsidRPr="00305823" w:rsidRDefault="008D54B0" w:rsidP="000C4DC5">
            <w:pPr>
              <w:rPr>
                <w:color w:val="000000"/>
                <w:sz w:val="20"/>
              </w:rPr>
            </w:pPr>
            <w:r w:rsidRPr="00305823">
              <w:rPr>
                <w:color w:val="000000"/>
                <w:sz w:val="20"/>
              </w:rPr>
              <w:t>0.217</w:t>
            </w:r>
          </w:p>
        </w:tc>
        <w:tc>
          <w:tcPr>
            <w:tcW w:w="1060" w:type="dxa"/>
            <w:tcBorders>
              <w:top w:val="nil"/>
              <w:left w:val="nil"/>
              <w:bottom w:val="nil"/>
              <w:right w:val="nil"/>
            </w:tcBorders>
            <w:shd w:val="clear" w:color="auto" w:fill="auto"/>
            <w:noWrap/>
            <w:hideMark/>
          </w:tcPr>
          <w:p w14:paraId="54C28361" w14:textId="77777777" w:rsidR="008D54B0" w:rsidRPr="00305823" w:rsidRDefault="008D54B0" w:rsidP="000C4DC5">
            <w:pPr>
              <w:rPr>
                <w:color w:val="000000"/>
                <w:sz w:val="20"/>
              </w:rPr>
            </w:pPr>
            <w:r w:rsidRPr="00305823">
              <w:rPr>
                <w:color w:val="000000"/>
                <w:sz w:val="20"/>
              </w:rPr>
              <w:t>0.0181</w:t>
            </w:r>
          </w:p>
        </w:tc>
        <w:tc>
          <w:tcPr>
            <w:tcW w:w="990" w:type="dxa"/>
            <w:tcBorders>
              <w:top w:val="nil"/>
              <w:left w:val="nil"/>
              <w:bottom w:val="nil"/>
              <w:right w:val="nil"/>
            </w:tcBorders>
            <w:shd w:val="clear" w:color="auto" w:fill="auto"/>
            <w:noWrap/>
            <w:hideMark/>
          </w:tcPr>
          <w:p w14:paraId="4537064A"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AF92DDB" w14:textId="77777777" w:rsidR="008D54B0" w:rsidRPr="00305823" w:rsidRDefault="008D54B0" w:rsidP="000C4DC5">
            <w:pPr>
              <w:rPr>
                <w:color w:val="000000"/>
                <w:sz w:val="20"/>
              </w:rPr>
            </w:pPr>
            <w:r w:rsidRPr="00305823">
              <w:rPr>
                <w:color w:val="000000"/>
                <w:sz w:val="20"/>
              </w:rPr>
              <w:t>0.72</w:t>
            </w:r>
          </w:p>
        </w:tc>
      </w:tr>
      <w:tr w:rsidR="000C4DC5" w:rsidRPr="00305823" w14:paraId="2B839566" w14:textId="77777777" w:rsidTr="000C4DC5">
        <w:trPr>
          <w:trHeight w:val="432"/>
        </w:trPr>
        <w:tc>
          <w:tcPr>
            <w:tcW w:w="1300" w:type="dxa"/>
            <w:tcBorders>
              <w:top w:val="nil"/>
              <w:left w:val="nil"/>
              <w:bottom w:val="nil"/>
              <w:right w:val="nil"/>
            </w:tcBorders>
            <w:shd w:val="clear" w:color="auto" w:fill="auto"/>
            <w:noWrap/>
            <w:hideMark/>
          </w:tcPr>
          <w:p w14:paraId="4BB2CF0B"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25BDA640"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779FA323"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42427744" w14:textId="77777777" w:rsidR="008D54B0" w:rsidRPr="00305823" w:rsidRDefault="008D54B0" w:rsidP="000C4DC5">
            <w:pPr>
              <w:rPr>
                <w:color w:val="000000"/>
                <w:sz w:val="20"/>
              </w:rPr>
            </w:pPr>
            <w:r w:rsidRPr="00305823">
              <w:rPr>
                <w:color w:val="000000"/>
                <w:sz w:val="20"/>
              </w:rPr>
              <w:t>0.274</w:t>
            </w:r>
          </w:p>
        </w:tc>
        <w:tc>
          <w:tcPr>
            <w:tcW w:w="1060" w:type="dxa"/>
            <w:tcBorders>
              <w:top w:val="nil"/>
              <w:left w:val="nil"/>
              <w:bottom w:val="nil"/>
              <w:right w:val="nil"/>
            </w:tcBorders>
            <w:shd w:val="clear" w:color="auto" w:fill="auto"/>
            <w:noWrap/>
            <w:hideMark/>
          </w:tcPr>
          <w:p w14:paraId="0AE647CB" w14:textId="77777777" w:rsidR="008D54B0" w:rsidRPr="00305823" w:rsidRDefault="008D54B0" w:rsidP="000C4DC5">
            <w:pPr>
              <w:rPr>
                <w:color w:val="000000"/>
                <w:sz w:val="20"/>
              </w:rPr>
            </w:pPr>
            <w:r w:rsidRPr="00305823">
              <w:rPr>
                <w:color w:val="000000"/>
                <w:sz w:val="20"/>
              </w:rPr>
              <w:t>0.0349</w:t>
            </w:r>
          </w:p>
        </w:tc>
        <w:tc>
          <w:tcPr>
            <w:tcW w:w="990" w:type="dxa"/>
            <w:tcBorders>
              <w:top w:val="nil"/>
              <w:left w:val="nil"/>
              <w:bottom w:val="nil"/>
              <w:right w:val="nil"/>
            </w:tcBorders>
            <w:shd w:val="clear" w:color="auto" w:fill="auto"/>
            <w:noWrap/>
            <w:hideMark/>
          </w:tcPr>
          <w:p w14:paraId="3F5CF34A"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BEE2EBA" w14:textId="77777777" w:rsidR="008D54B0" w:rsidRPr="00305823" w:rsidRDefault="008D54B0" w:rsidP="000C4DC5">
            <w:pPr>
              <w:rPr>
                <w:color w:val="000000"/>
                <w:sz w:val="20"/>
              </w:rPr>
            </w:pPr>
            <w:r w:rsidRPr="00305823">
              <w:rPr>
                <w:color w:val="000000"/>
                <w:sz w:val="20"/>
              </w:rPr>
              <w:t>0.63</w:t>
            </w:r>
          </w:p>
        </w:tc>
      </w:tr>
      <w:tr w:rsidR="000C4DC5" w:rsidRPr="00305823" w14:paraId="498D650D" w14:textId="77777777" w:rsidTr="000C4DC5">
        <w:trPr>
          <w:trHeight w:val="432"/>
        </w:trPr>
        <w:tc>
          <w:tcPr>
            <w:tcW w:w="1300" w:type="dxa"/>
            <w:tcBorders>
              <w:top w:val="nil"/>
              <w:left w:val="nil"/>
              <w:bottom w:val="nil"/>
              <w:right w:val="nil"/>
            </w:tcBorders>
            <w:shd w:val="clear" w:color="auto" w:fill="auto"/>
            <w:noWrap/>
            <w:hideMark/>
          </w:tcPr>
          <w:p w14:paraId="72073F65" w14:textId="77777777" w:rsidR="008D54B0" w:rsidRPr="00305823" w:rsidRDefault="008D54B0" w:rsidP="000C4DC5">
            <w:pPr>
              <w:rPr>
                <w:color w:val="000000"/>
                <w:sz w:val="20"/>
              </w:rPr>
            </w:pPr>
            <w:r w:rsidRPr="00305823">
              <w:rPr>
                <w:color w:val="000000"/>
                <w:sz w:val="20"/>
              </w:rPr>
              <w:t>Agricultural</w:t>
            </w:r>
          </w:p>
        </w:tc>
        <w:tc>
          <w:tcPr>
            <w:tcW w:w="1060" w:type="dxa"/>
            <w:tcBorders>
              <w:top w:val="nil"/>
              <w:left w:val="nil"/>
              <w:bottom w:val="nil"/>
              <w:right w:val="nil"/>
            </w:tcBorders>
            <w:shd w:val="clear" w:color="auto" w:fill="auto"/>
            <w:noWrap/>
            <w:hideMark/>
          </w:tcPr>
          <w:p w14:paraId="1B1801A0"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nil"/>
              <w:right w:val="nil"/>
            </w:tcBorders>
            <w:shd w:val="clear" w:color="auto" w:fill="auto"/>
            <w:noWrap/>
            <w:hideMark/>
          </w:tcPr>
          <w:p w14:paraId="03031B64"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293E6AA6" w14:textId="77777777" w:rsidR="008D54B0" w:rsidRPr="00305823" w:rsidRDefault="008D54B0" w:rsidP="000C4DC5">
            <w:pPr>
              <w:rPr>
                <w:color w:val="000000"/>
                <w:sz w:val="20"/>
              </w:rPr>
            </w:pPr>
            <w:r w:rsidRPr="00305823">
              <w:rPr>
                <w:color w:val="000000"/>
                <w:sz w:val="20"/>
              </w:rPr>
              <w:t>0.039</w:t>
            </w:r>
          </w:p>
        </w:tc>
        <w:tc>
          <w:tcPr>
            <w:tcW w:w="1060" w:type="dxa"/>
            <w:tcBorders>
              <w:top w:val="nil"/>
              <w:left w:val="nil"/>
              <w:bottom w:val="nil"/>
              <w:right w:val="nil"/>
            </w:tcBorders>
            <w:shd w:val="clear" w:color="auto" w:fill="auto"/>
            <w:noWrap/>
            <w:hideMark/>
          </w:tcPr>
          <w:p w14:paraId="5A8E394C" w14:textId="77777777" w:rsidR="008D54B0" w:rsidRPr="00305823" w:rsidRDefault="008D54B0" w:rsidP="000C4DC5">
            <w:pPr>
              <w:rPr>
                <w:color w:val="000000"/>
                <w:sz w:val="20"/>
              </w:rPr>
            </w:pPr>
            <w:r w:rsidRPr="00305823">
              <w:rPr>
                <w:color w:val="000000"/>
                <w:sz w:val="20"/>
              </w:rPr>
              <w:t>0.0073</w:t>
            </w:r>
          </w:p>
        </w:tc>
        <w:tc>
          <w:tcPr>
            <w:tcW w:w="990" w:type="dxa"/>
            <w:tcBorders>
              <w:top w:val="nil"/>
              <w:left w:val="nil"/>
              <w:bottom w:val="nil"/>
              <w:right w:val="nil"/>
            </w:tcBorders>
            <w:shd w:val="clear" w:color="auto" w:fill="auto"/>
            <w:noWrap/>
            <w:hideMark/>
          </w:tcPr>
          <w:p w14:paraId="1D390508"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2F82D761" w14:textId="77777777" w:rsidR="008D54B0" w:rsidRPr="00305823" w:rsidRDefault="008D54B0" w:rsidP="000C4DC5">
            <w:pPr>
              <w:rPr>
                <w:color w:val="000000"/>
                <w:sz w:val="20"/>
              </w:rPr>
            </w:pPr>
            <w:r w:rsidRPr="00305823">
              <w:rPr>
                <w:color w:val="000000"/>
                <w:sz w:val="20"/>
              </w:rPr>
              <w:t>0.45</w:t>
            </w:r>
          </w:p>
        </w:tc>
      </w:tr>
      <w:tr w:rsidR="000C4DC5" w:rsidRPr="00305823" w14:paraId="0A281E88" w14:textId="77777777" w:rsidTr="000C4DC5">
        <w:trPr>
          <w:trHeight w:val="432"/>
        </w:trPr>
        <w:tc>
          <w:tcPr>
            <w:tcW w:w="1300" w:type="dxa"/>
            <w:tcBorders>
              <w:top w:val="nil"/>
              <w:left w:val="nil"/>
              <w:bottom w:val="nil"/>
              <w:right w:val="nil"/>
            </w:tcBorders>
            <w:shd w:val="clear" w:color="auto" w:fill="auto"/>
            <w:noWrap/>
            <w:hideMark/>
          </w:tcPr>
          <w:p w14:paraId="506A8222"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210F2719"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5D5BAE44"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21394BC9" w14:textId="77777777" w:rsidR="008D54B0" w:rsidRPr="00305823" w:rsidRDefault="008D54B0" w:rsidP="000C4DC5">
            <w:pPr>
              <w:rPr>
                <w:color w:val="000000"/>
                <w:sz w:val="20"/>
              </w:rPr>
            </w:pPr>
            <w:r w:rsidRPr="00305823">
              <w:rPr>
                <w:color w:val="000000"/>
                <w:sz w:val="20"/>
              </w:rPr>
              <w:t>0.114</w:t>
            </w:r>
          </w:p>
        </w:tc>
        <w:tc>
          <w:tcPr>
            <w:tcW w:w="1060" w:type="dxa"/>
            <w:tcBorders>
              <w:top w:val="nil"/>
              <w:left w:val="nil"/>
              <w:bottom w:val="nil"/>
              <w:right w:val="nil"/>
            </w:tcBorders>
            <w:shd w:val="clear" w:color="auto" w:fill="auto"/>
            <w:noWrap/>
            <w:hideMark/>
          </w:tcPr>
          <w:p w14:paraId="2E1D12C5" w14:textId="77777777" w:rsidR="008D54B0" w:rsidRPr="00305823" w:rsidRDefault="008D54B0" w:rsidP="000C4DC5">
            <w:pPr>
              <w:rPr>
                <w:color w:val="000000"/>
                <w:sz w:val="20"/>
              </w:rPr>
            </w:pPr>
            <w:r w:rsidRPr="00305823">
              <w:rPr>
                <w:color w:val="000000"/>
                <w:sz w:val="20"/>
              </w:rPr>
              <w:t>0.0050</w:t>
            </w:r>
          </w:p>
        </w:tc>
        <w:tc>
          <w:tcPr>
            <w:tcW w:w="990" w:type="dxa"/>
            <w:tcBorders>
              <w:top w:val="nil"/>
              <w:left w:val="nil"/>
              <w:bottom w:val="nil"/>
              <w:right w:val="nil"/>
            </w:tcBorders>
            <w:shd w:val="clear" w:color="auto" w:fill="auto"/>
            <w:noWrap/>
            <w:hideMark/>
          </w:tcPr>
          <w:p w14:paraId="2C65E49D"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5C0014BB" w14:textId="77777777" w:rsidR="008D54B0" w:rsidRPr="00305823" w:rsidRDefault="008D54B0" w:rsidP="000C4DC5">
            <w:pPr>
              <w:rPr>
                <w:color w:val="000000"/>
                <w:sz w:val="20"/>
              </w:rPr>
            </w:pPr>
            <w:r w:rsidRPr="00305823">
              <w:rPr>
                <w:color w:val="000000"/>
                <w:sz w:val="20"/>
              </w:rPr>
              <w:t>0.95</w:t>
            </w:r>
          </w:p>
        </w:tc>
      </w:tr>
      <w:tr w:rsidR="000C4DC5" w:rsidRPr="00305823" w14:paraId="6FE77E3F" w14:textId="77777777" w:rsidTr="000C4DC5">
        <w:trPr>
          <w:trHeight w:val="432"/>
        </w:trPr>
        <w:tc>
          <w:tcPr>
            <w:tcW w:w="1300" w:type="dxa"/>
            <w:tcBorders>
              <w:top w:val="nil"/>
              <w:left w:val="nil"/>
              <w:bottom w:val="nil"/>
              <w:right w:val="nil"/>
            </w:tcBorders>
            <w:shd w:val="clear" w:color="auto" w:fill="auto"/>
            <w:noWrap/>
            <w:hideMark/>
          </w:tcPr>
          <w:p w14:paraId="4027FDA8"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593ADCFD"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423CB046"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2D434985" w14:textId="77777777" w:rsidR="008D54B0" w:rsidRPr="00305823" w:rsidRDefault="008D54B0" w:rsidP="000C4DC5">
            <w:pPr>
              <w:rPr>
                <w:color w:val="000000"/>
                <w:sz w:val="20"/>
              </w:rPr>
            </w:pPr>
            <w:r w:rsidRPr="00305823">
              <w:rPr>
                <w:color w:val="000000"/>
                <w:sz w:val="20"/>
              </w:rPr>
              <w:t>0.097</w:t>
            </w:r>
          </w:p>
        </w:tc>
        <w:tc>
          <w:tcPr>
            <w:tcW w:w="1060" w:type="dxa"/>
            <w:tcBorders>
              <w:top w:val="nil"/>
              <w:left w:val="nil"/>
              <w:bottom w:val="nil"/>
              <w:right w:val="nil"/>
            </w:tcBorders>
            <w:shd w:val="clear" w:color="auto" w:fill="auto"/>
            <w:noWrap/>
            <w:hideMark/>
          </w:tcPr>
          <w:p w14:paraId="09682FDD" w14:textId="77777777" w:rsidR="008D54B0" w:rsidRPr="00305823" w:rsidRDefault="008D54B0" w:rsidP="000C4DC5">
            <w:pPr>
              <w:rPr>
                <w:color w:val="000000"/>
                <w:sz w:val="20"/>
              </w:rPr>
            </w:pPr>
            <w:r w:rsidRPr="00305823">
              <w:rPr>
                <w:color w:val="000000"/>
                <w:sz w:val="20"/>
              </w:rPr>
              <w:t>0.0051</w:t>
            </w:r>
          </w:p>
        </w:tc>
        <w:tc>
          <w:tcPr>
            <w:tcW w:w="990" w:type="dxa"/>
            <w:tcBorders>
              <w:top w:val="nil"/>
              <w:left w:val="nil"/>
              <w:bottom w:val="nil"/>
              <w:right w:val="nil"/>
            </w:tcBorders>
            <w:shd w:val="clear" w:color="auto" w:fill="auto"/>
            <w:noWrap/>
            <w:hideMark/>
          </w:tcPr>
          <w:p w14:paraId="7D00DBC4"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24FBEE08" w14:textId="77777777" w:rsidR="008D54B0" w:rsidRPr="00305823" w:rsidRDefault="008D54B0" w:rsidP="000C4DC5">
            <w:pPr>
              <w:rPr>
                <w:color w:val="000000"/>
                <w:sz w:val="20"/>
              </w:rPr>
            </w:pPr>
            <w:r w:rsidRPr="00305823">
              <w:rPr>
                <w:color w:val="000000"/>
                <w:sz w:val="20"/>
              </w:rPr>
              <w:t>0.91</w:t>
            </w:r>
          </w:p>
        </w:tc>
      </w:tr>
      <w:tr w:rsidR="000C4DC5" w:rsidRPr="00305823" w14:paraId="7ABFCAFB" w14:textId="77777777" w:rsidTr="000C4DC5">
        <w:trPr>
          <w:trHeight w:val="432"/>
        </w:trPr>
        <w:tc>
          <w:tcPr>
            <w:tcW w:w="1300" w:type="dxa"/>
            <w:tcBorders>
              <w:top w:val="nil"/>
              <w:left w:val="nil"/>
              <w:bottom w:val="nil"/>
              <w:right w:val="nil"/>
            </w:tcBorders>
            <w:shd w:val="clear" w:color="auto" w:fill="auto"/>
            <w:noWrap/>
            <w:hideMark/>
          </w:tcPr>
          <w:p w14:paraId="1EE332D2" w14:textId="77777777" w:rsidR="008D54B0" w:rsidRPr="00305823" w:rsidRDefault="008D54B0" w:rsidP="000C4DC5">
            <w:pPr>
              <w:rPr>
                <w:color w:val="000000"/>
                <w:sz w:val="20"/>
              </w:rPr>
            </w:pPr>
            <w:r w:rsidRPr="00305823">
              <w:rPr>
                <w:color w:val="000000"/>
                <w:sz w:val="20"/>
              </w:rPr>
              <w:t>Urban</w:t>
            </w:r>
          </w:p>
        </w:tc>
        <w:tc>
          <w:tcPr>
            <w:tcW w:w="1060" w:type="dxa"/>
            <w:tcBorders>
              <w:top w:val="nil"/>
              <w:left w:val="nil"/>
              <w:bottom w:val="nil"/>
              <w:right w:val="nil"/>
            </w:tcBorders>
            <w:shd w:val="clear" w:color="auto" w:fill="auto"/>
            <w:noWrap/>
            <w:hideMark/>
          </w:tcPr>
          <w:p w14:paraId="0D21668D"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nil"/>
              <w:right w:val="nil"/>
            </w:tcBorders>
            <w:shd w:val="clear" w:color="auto" w:fill="auto"/>
            <w:noWrap/>
            <w:hideMark/>
          </w:tcPr>
          <w:p w14:paraId="5567F4E8"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102B3F47" w14:textId="77777777" w:rsidR="008D54B0" w:rsidRPr="00305823" w:rsidRDefault="008D54B0" w:rsidP="000C4DC5">
            <w:pPr>
              <w:rPr>
                <w:color w:val="000000"/>
                <w:sz w:val="20"/>
              </w:rPr>
            </w:pPr>
            <w:r w:rsidRPr="00305823">
              <w:rPr>
                <w:color w:val="000000"/>
                <w:sz w:val="20"/>
              </w:rPr>
              <w:t>0.050</w:t>
            </w:r>
          </w:p>
        </w:tc>
        <w:tc>
          <w:tcPr>
            <w:tcW w:w="1060" w:type="dxa"/>
            <w:tcBorders>
              <w:top w:val="nil"/>
              <w:left w:val="nil"/>
              <w:bottom w:val="nil"/>
              <w:right w:val="nil"/>
            </w:tcBorders>
            <w:shd w:val="clear" w:color="auto" w:fill="auto"/>
            <w:noWrap/>
            <w:hideMark/>
          </w:tcPr>
          <w:p w14:paraId="662735D9" w14:textId="77777777" w:rsidR="008D54B0" w:rsidRPr="00305823" w:rsidRDefault="008D54B0" w:rsidP="000C4DC5">
            <w:pPr>
              <w:rPr>
                <w:color w:val="000000"/>
                <w:sz w:val="20"/>
              </w:rPr>
            </w:pPr>
            <w:r w:rsidRPr="00305823">
              <w:rPr>
                <w:color w:val="000000"/>
                <w:sz w:val="20"/>
              </w:rPr>
              <w:t>0.0045</w:t>
            </w:r>
          </w:p>
        </w:tc>
        <w:tc>
          <w:tcPr>
            <w:tcW w:w="990" w:type="dxa"/>
            <w:tcBorders>
              <w:top w:val="nil"/>
              <w:left w:val="nil"/>
              <w:bottom w:val="nil"/>
              <w:right w:val="nil"/>
            </w:tcBorders>
            <w:shd w:val="clear" w:color="auto" w:fill="auto"/>
            <w:noWrap/>
            <w:hideMark/>
          </w:tcPr>
          <w:p w14:paraId="0949A25F"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8E6D680" w14:textId="77777777" w:rsidR="008D54B0" w:rsidRPr="00305823" w:rsidRDefault="008D54B0" w:rsidP="000C4DC5">
            <w:pPr>
              <w:rPr>
                <w:color w:val="000000"/>
                <w:sz w:val="20"/>
              </w:rPr>
            </w:pPr>
            <w:r w:rsidRPr="00305823">
              <w:rPr>
                <w:color w:val="000000"/>
                <w:sz w:val="20"/>
              </w:rPr>
              <w:t>0.82</w:t>
            </w:r>
          </w:p>
        </w:tc>
      </w:tr>
      <w:tr w:rsidR="000C4DC5" w:rsidRPr="00305823" w14:paraId="53BE909B" w14:textId="77777777" w:rsidTr="000C4DC5">
        <w:trPr>
          <w:trHeight w:val="432"/>
        </w:trPr>
        <w:tc>
          <w:tcPr>
            <w:tcW w:w="1300" w:type="dxa"/>
            <w:tcBorders>
              <w:top w:val="nil"/>
              <w:left w:val="nil"/>
              <w:bottom w:val="nil"/>
              <w:right w:val="nil"/>
            </w:tcBorders>
            <w:shd w:val="clear" w:color="auto" w:fill="auto"/>
            <w:noWrap/>
            <w:hideMark/>
          </w:tcPr>
          <w:p w14:paraId="2ADB0143"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2ECC2768" w14:textId="77777777" w:rsidR="008D54B0" w:rsidRPr="00305823" w:rsidRDefault="008D54B0" w:rsidP="000C4DC5">
            <w:pPr>
              <w:rPr>
                <w:color w:val="000000"/>
                <w:sz w:val="20"/>
              </w:rPr>
            </w:pPr>
            <w:r w:rsidRPr="00305823">
              <w:rPr>
                <w:color w:val="000000"/>
                <w:sz w:val="20"/>
              </w:rPr>
              <w:t>Summer</w:t>
            </w:r>
          </w:p>
        </w:tc>
        <w:tc>
          <w:tcPr>
            <w:tcW w:w="1960" w:type="dxa"/>
            <w:tcBorders>
              <w:top w:val="nil"/>
              <w:left w:val="nil"/>
              <w:bottom w:val="nil"/>
              <w:right w:val="nil"/>
            </w:tcBorders>
            <w:shd w:val="clear" w:color="auto" w:fill="auto"/>
            <w:noWrap/>
            <w:hideMark/>
          </w:tcPr>
          <w:p w14:paraId="69107FDE"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3906659B" w14:textId="77777777" w:rsidR="008D54B0" w:rsidRPr="00305823" w:rsidRDefault="008D54B0" w:rsidP="000C4DC5">
            <w:pPr>
              <w:rPr>
                <w:color w:val="000000"/>
                <w:sz w:val="20"/>
              </w:rPr>
            </w:pPr>
            <w:r w:rsidRPr="00305823">
              <w:rPr>
                <w:color w:val="000000"/>
                <w:sz w:val="20"/>
              </w:rPr>
              <w:t>0.009</w:t>
            </w:r>
          </w:p>
        </w:tc>
        <w:tc>
          <w:tcPr>
            <w:tcW w:w="1060" w:type="dxa"/>
            <w:tcBorders>
              <w:top w:val="nil"/>
              <w:left w:val="nil"/>
              <w:bottom w:val="nil"/>
              <w:right w:val="nil"/>
            </w:tcBorders>
            <w:shd w:val="clear" w:color="auto" w:fill="auto"/>
            <w:noWrap/>
            <w:hideMark/>
          </w:tcPr>
          <w:p w14:paraId="4574ABBF" w14:textId="77777777" w:rsidR="008D54B0" w:rsidRPr="00305823" w:rsidRDefault="008D54B0" w:rsidP="000C4DC5">
            <w:pPr>
              <w:rPr>
                <w:color w:val="000000"/>
                <w:sz w:val="20"/>
              </w:rPr>
            </w:pPr>
            <w:r w:rsidRPr="00305823">
              <w:rPr>
                <w:color w:val="000000"/>
                <w:sz w:val="20"/>
              </w:rPr>
              <w:t>0.0003</w:t>
            </w:r>
          </w:p>
        </w:tc>
        <w:tc>
          <w:tcPr>
            <w:tcW w:w="990" w:type="dxa"/>
            <w:tcBorders>
              <w:top w:val="nil"/>
              <w:left w:val="nil"/>
              <w:bottom w:val="nil"/>
              <w:right w:val="nil"/>
            </w:tcBorders>
            <w:shd w:val="clear" w:color="auto" w:fill="auto"/>
            <w:noWrap/>
            <w:hideMark/>
          </w:tcPr>
          <w:p w14:paraId="27EDA052"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622C2CC6" w14:textId="77777777" w:rsidR="008D54B0" w:rsidRPr="00305823" w:rsidRDefault="008D54B0" w:rsidP="000C4DC5">
            <w:pPr>
              <w:rPr>
                <w:color w:val="000000"/>
                <w:sz w:val="20"/>
              </w:rPr>
            </w:pPr>
            <w:r w:rsidRPr="00305823">
              <w:rPr>
                <w:color w:val="000000"/>
                <w:sz w:val="20"/>
              </w:rPr>
              <w:t>0.93</w:t>
            </w:r>
          </w:p>
        </w:tc>
      </w:tr>
      <w:tr w:rsidR="000C4DC5" w:rsidRPr="00305823" w14:paraId="26AF554A" w14:textId="77777777" w:rsidTr="000C4DC5">
        <w:trPr>
          <w:trHeight w:val="432"/>
        </w:trPr>
        <w:tc>
          <w:tcPr>
            <w:tcW w:w="1300" w:type="dxa"/>
            <w:tcBorders>
              <w:top w:val="nil"/>
              <w:left w:val="nil"/>
              <w:bottom w:val="nil"/>
              <w:right w:val="nil"/>
            </w:tcBorders>
            <w:shd w:val="clear" w:color="auto" w:fill="auto"/>
            <w:noWrap/>
            <w:hideMark/>
          </w:tcPr>
          <w:p w14:paraId="50BE5AA2"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nil"/>
              <w:right w:val="nil"/>
            </w:tcBorders>
            <w:shd w:val="clear" w:color="auto" w:fill="auto"/>
            <w:noWrap/>
            <w:hideMark/>
          </w:tcPr>
          <w:p w14:paraId="31A7C7E7" w14:textId="77777777" w:rsidR="008D54B0" w:rsidRPr="00305823" w:rsidRDefault="008D54B0" w:rsidP="000C4DC5">
            <w:pPr>
              <w:rPr>
                <w:color w:val="000000"/>
                <w:sz w:val="20"/>
              </w:rPr>
            </w:pPr>
            <w:r w:rsidRPr="00305823">
              <w:rPr>
                <w:color w:val="000000"/>
                <w:sz w:val="20"/>
              </w:rPr>
              <w:t>Fall</w:t>
            </w:r>
          </w:p>
        </w:tc>
        <w:tc>
          <w:tcPr>
            <w:tcW w:w="1960" w:type="dxa"/>
            <w:tcBorders>
              <w:top w:val="nil"/>
              <w:left w:val="nil"/>
              <w:bottom w:val="nil"/>
              <w:right w:val="nil"/>
            </w:tcBorders>
            <w:shd w:val="clear" w:color="auto" w:fill="auto"/>
            <w:noWrap/>
            <w:hideMark/>
          </w:tcPr>
          <w:p w14:paraId="0CACB499"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nil"/>
              <w:right w:val="nil"/>
            </w:tcBorders>
            <w:shd w:val="clear" w:color="auto" w:fill="auto"/>
            <w:noWrap/>
            <w:hideMark/>
          </w:tcPr>
          <w:p w14:paraId="58991697" w14:textId="77777777" w:rsidR="008D54B0" w:rsidRPr="00305823" w:rsidRDefault="008D54B0" w:rsidP="000C4DC5">
            <w:pPr>
              <w:rPr>
                <w:color w:val="000000"/>
                <w:sz w:val="20"/>
              </w:rPr>
            </w:pPr>
            <w:r w:rsidRPr="00305823">
              <w:rPr>
                <w:color w:val="000000"/>
                <w:sz w:val="20"/>
              </w:rPr>
              <w:t>0.006</w:t>
            </w:r>
          </w:p>
        </w:tc>
        <w:tc>
          <w:tcPr>
            <w:tcW w:w="1060" w:type="dxa"/>
            <w:tcBorders>
              <w:top w:val="nil"/>
              <w:left w:val="nil"/>
              <w:bottom w:val="nil"/>
              <w:right w:val="nil"/>
            </w:tcBorders>
            <w:shd w:val="clear" w:color="auto" w:fill="auto"/>
            <w:noWrap/>
            <w:hideMark/>
          </w:tcPr>
          <w:p w14:paraId="040483DD" w14:textId="77777777" w:rsidR="008D54B0" w:rsidRPr="00305823" w:rsidRDefault="008D54B0" w:rsidP="000C4DC5">
            <w:pPr>
              <w:rPr>
                <w:color w:val="000000"/>
                <w:sz w:val="20"/>
              </w:rPr>
            </w:pPr>
            <w:r w:rsidRPr="00305823">
              <w:rPr>
                <w:color w:val="000000"/>
                <w:sz w:val="20"/>
              </w:rPr>
              <w:t>0.0005</w:t>
            </w:r>
          </w:p>
        </w:tc>
        <w:tc>
          <w:tcPr>
            <w:tcW w:w="990" w:type="dxa"/>
            <w:tcBorders>
              <w:top w:val="nil"/>
              <w:left w:val="nil"/>
              <w:bottom w:val="nil"/>
              <w:right w:val="nil"/>
            </w:tcBorders>
            <w:shd w:val="clear" w:color="auto" w:fill="auto"/>
            <w:noWrap/>
            <w:hideMark/>
          </w:tcPr>
          <w:p w14:paraId="3C436311"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nil"/>
              <w:right w:val="nil"/>
            </w:tcBorders>
            <w:shd w:val="clear" w:color="auto" w:fill="auto"/>
            <w:noWrap/>
            <w:hideMark/>
          </w:tcPr>
          <w:p w14:paraId="003C5C58" w14:textId="77777777" w:rsidR="008D54B0" w:rsidRPr="00305823" w:rsidRDefault="008D54B0" w:rsidP="000C4DC5">
            <w:pPr>
              <w:rPr>
                <w:color w:val="000000"/>
                <w:sz w:val="20"/>
              </w:rPr>
            </w:pPr>
            <w:r w:rsidRPr="00305823">
              <w:rPr>
                <w:color w:val="000000"/>
                <w:sz w:val="20"/>
              </w:rPr>
              <w:t>0.76</w:t>
            </w:r>
          </w:p>
        </w:tc>
      </w:tr>
      <w:tr w:rsidR="000C4DC5" w:rsidRPr="00305823" w14:paraId="55D40D28" w14:textId="77777777" w:rsidTr="000C4DC5">
        <w:trPr>
          <w:trHeight w:val="432"/>
        </w:trPr>
        <w:tc>
          <w:tcPr>
            <w:tcW w:w="1300" w:type="dxa"/>
            <w:tcBorders>
              <w:top w:val="nil"/>
              <w:left w:val="nil"/>
              <w:bottom w:val="single" w:sz="4" w:space="0" w:color="auto"/>
              <w:right w:val="nil"/>
            </w:tcBorders>
            <w:shd w:val="clear" w:color="auto" w:fill="auto"/>
            <w:noWrap/>
            <w:hideMark/>
          </w:tcPr>
          <w:p w14:paraId="2F67D000" w14:textId="77777777" w:rsidR="008D54B0" w:rsidRPr="00305823" w:rsidRDefault="008D54B0" w:rsidP="000C4DC5">
            <w:pPr>
              <w:rPr>
                <w:color w:val="000000"/>
                <w:sz w:val="20"/>
              </w:rPr>
            </w:pPr>
            <w:r w:rsidRPr="00305823">
              <w:rPr>
                <w:color w:val="000000"/>
                <w:sz w:val="20"/>
              </w:rPr>
              <w:t>Forested</w:t>
            </w:r>
          </w:p>
        </w:tc>
        <w:tc>
          <w:tcPr>
            <w:tcW w:w="1060" w:type="dxa"/>
            <w:tcBorders>
              <w:top w:val="nil"/>
              <w:left w:val="nil"/>
              <w:bottom w:val="single" w:sz="4" w:space="0" w:color="auto"/>
              <w:right w:val="nil"/>
            </w:tcBorders>
            <w:shd w:val="clear" w:color="auto" w:fill="auto"/>
            <w:noWrap/>
            <w:hideMark/>
          </w:tcPr>
          <w:p w14:paraId="3CA3693D" w14:textId="77777777" w:rsidR="008D54B0" w:rsidRPr="00305823" w:rsidRDefault="008D54B0" w:rsidP="000C4DC5">
            <w:pPr>
              <w:rPr>
                <w:color w:val="000000"/>
                <w:sz w:val="20"/>
              </w:rPr>
            </w:pPr>
            <w:r w:rsidRPr="00305823">
              <w:rPr>
                <w:color w:val="000000"/>
                <w:sz w:val="20"/>
              </w:rPr>
              <w:t>Spring</w:t>
            </w:r>
          </w:p>
        </w:tc>
        <w:tc>
          <w:tcPr>
            <w:tcW w:w="1960" w:type="dxa"/>
            <w:tcBorders>
              <w:top w:val="nil"/>
              <w:left w:val="nil"/>
              <w:bottom w:val="single" w:sz="4" w:space="0" w:color="auto"/>
              <w:right w:val="nil"/>
            </w:tcBorders>
            <w:shd w:val="clear" w:color="auto" w:fill="auto"/>
            <w:noWrap/>
            <w:hideMark/>
          </w:tcPr>
          <w:p w14:paraId="64092FCF" w14:textId="77777777" w:rsidR="008D54B0" w:rsidRPr="00305823" w:rsidRDefault="008D54B0" w:rsidP="000C4DC5">
            <w:pPr>
              <w:rPr>
                <w:color w:val="000000"/>
                <w:sz w:val="20"/>
              </w:rPr>
            </w:pPr>
            <w:r w:rsidRPr="00305823">
              <w:rPr>
                <w:color w:val="000000"/>
                <w:sz w:val="20"/>
              </w:rPr>
              <w:t>event SRP yield ~ event water yield</w:t>
            </w:r>
          </w:p>
        </w:tc>
        <w:tc>
          <w:tcPr>
            <w:tcW w:w="740" w:type="dxa"/>
            <w:tcBorders>
              <w:top w:val="nil"/>
              <w:left w:val="nil"/>
              <w:bottom w:val="single" w:sz="4" w:space="0" w:color="auto"/>
              <w:right w:val="nil"/>
            </w:tcBorders>
            <w:shd w:val="clear" w:color="auto" w:fill="auto"/>
            <w:noWrap/>
            <w:hideMark/>
          </w:tcPr>
          <w:p w14:paraId="4F7C128E" w14:textId="77777777" w:rsidR="008D54B0" w:rsidRPr="00305823" w:rsidRDefault="008D54B0" w:rsidP="000C4DC5">
            <w:pPr>
              <w:rPr>
                <w:color w:val="000000"/>
                <w:sz w:val="20"/>
              </w:rPr>
            </w:pPr>
            <w:r w:rsidRPr="00305823">
              <w:rPr>
                <w:color w:val="000000"/>
                <w:sz w:val="20"/>
              </w:rPr>
              <w:t>0.006</w:t>
            </w:r>
          </w:p>
        </w:tc>
        <w:tc>
          <w:tcPr>
            <w:tcW w:w="1060" w:type="dxa"/>
            <w:tcBorders>
              <w:top w:val="nil"/>
              <w:left w:val="nil"/>
              <w:bottom w:val="single" w:sz="4" w:space="0" w:color="auto"/>
              <w:right w:val="nil"/>
            </w:tcBorders>
            <w:shd w:val="clear" w:color="auto" w:fill="auto"/>
            <w:noWrap/>
            <w:hideMark/>
          </w:tcPr>
          <w:p w14:paraId="65E0C32D" w14:textId="77777777" w:rsidR="008D54B0" w:rsidRPr="00305823" w:rsidRDefault="008D54B0" w:rsidP="000C4DC5">
            <w:pPr>
              <w:rPr>
                <w:color w:val="000000"/>
                <w:sz w:val="20"/>
              </w:rPr>
            </w:pPr>
            <w:r w:rsidRPr="00305823">
              <w:rPr>
                <w:color w:val="000000"/>
                <w:sz w:val="20"/>
              </w:rPr>
              <w:t>0.0003</w:t>
            </w:r>
          </w:p>
        </w:tc>
        <w:tc>
          <w:tcPr>
            <w:tcW w:w="990" w:type="dxa"/>
            <w:tcBorders>
              <w:top w:val="nil"/>
              <w:left w:val="nil"/>
              <w:bottom w:val="single" w:sz="4" w:space="0" w:color="auto"/>
              <w:right w:val="nil"/>
            </w:tcBorders>
            <w:shd w:val="clear" w:color="auto" w:fill="auto"/>
            <w:noWrap/>
            <w:hideMark/>
          </w:tcPr>
          <w:p w14:paraId="7AAC7D45" w14:textId="77777777" w:rsidR="008D54B0" w:rsidRPr="00305823" w:rsidRDefault="008D54B0" w:rsidP="000C4DC5">
            <w:pPr>
              <w:rPr>
                <w:color w:val="000000"/>
                <w:sz w:val="20"/>
              </w:rPr>
            </w:pPr>
            <w:r w:rsidRPr="00305823">
              <w:rPr>
                <w:color w:val="000000"/>
                <w:sz w:val="20"/>
              </w:rPr>
              <w:t>&lt; 0.0001</w:t>
            </w:r>
          </w:p>
        </w:tc>
        <w:tc>
          <w:tcPr>
            <w:tcW w:w="1080" w:type="dxa"/>
            <w:tcBorders>
              <w:top w:val="nil"/>
              <w:left w:val="nil"/>
              <w:bottom w:val="single" w:sz="4" w:space="0" w:color="auto"/>
              <w:right w:val="nil"/>
            </w:tcBorders>
            <w:shd w:val="clear" w:color="auto" w:fill="auto"/>
            <w:noWrap/>
            <w:hideMark/>
          </w:tcPr>
          <w:p w14:paraId="464EBDCC" w14:textId="77777777" w:rsidR="008D54B0" w:rsidRPr="00305823" w:rsidRDefault="008D54B0" w:rsidP="000C4DC5">
            <w:pPr>
              <w:rPr>
                <w:color w:val="000000"/>
                <w:sz w:val="20"/>
              </w:rPr>
            </w:pPr>
            <w:r w:rsidRPr="00305823">
              <w:rPr>
                <w:color w:val="000000"/>
                <w:sz w:val="20"/>
              </w:rPr>
              <w:t>0.90</w:t>
            </w:r>
          </w:p>
        </w:tc>
      </w:tr>
    </w:tbl>
    <w:p w14:paraId="7F792F84" w14:textId="0857FC08" w:rsidR="00B9440A" w:rsidRPr="00015F74" w:rsidRDefault="000C4DC5" w:rsidP="00051E98">
      <w:pPr>
        <w:pStyle w:val="SMHeading"/>
      </w:pPr>
      <w:r w:rsidRPr="005314B5">
        <w:rPr>
          <w:rFonts w:ascii="Myriad Pro" w:hAnsi="Myriad Pro"/>
          <w:sz w:val="22"/>
          <w:szCs w:val="22"/>
        </w:rPr>
        <w:t>Table S</w:t>
      </w:r>
      <w:r>
        <w:rPr>
          <w:rFonts w:ascii="Myriad Pro" w:hAnsi="Myriad Pro"/>
          <w:sz w:val="22"/>
          <w:szCs w:val="22"/>
        </w:rPr>
        <w:t>4</w:t>
      </w:r>
      <w:r w:rsidRPr="005314B5">
        <w:rPr>
          <w:rFonts w:ascii="Myriad Pro" w:hAnsi="Myriad Pro"/>
          <w:sz w:val="22"/>
          <w:szCs w:val="22"/>
        </w:rPr>
        <w:t xml:space="preserve">. </w:t>
      </w:r>
      <w:r w:rsidRPr="000C4DC5">
        <w:rPr>
          <w:rFonts w:ascii="Myriad Pro" w:hAnsi="Myriad Pro"/>
          <w:b w:val="0"/>
          <w:sz w:val="22"/>
          <w:szCs w:val="22"/>
        </w:rPr>
        <w:t>Summary of least square linear regressions between event NO</w:t>
      </w:r>
      <w:r w:rsidRPr="000C4DC5">
        <w:rPr>
          <w:rFonts w:ascii="Myriad Pro" w:hAnsi="Myriad Pro"/>
          <w:b w:val="0"/>
          <w:sz w:val="22"/>
          <w:szCs w:val="22"/>
          <w:vertAlign w:val="subscript"/>
        </w:rPr>
        <w:t>3</w:t>
      </w:r>
      <w:r w:rsidRPr="000C4DC5">
        <w:rPr>
          <w:rFonts w:ascii="Myriad Pro" w:hAnsi="Myriad Pro"/>
          <w:b w:val="0"/>
          <w:sz w:val="22"/>
          <w:szCs w:val="22"/>
          <w:vertAlign w:val="superscript"/>
        </w:rPr>
        <w:t>-</w:t>
      </w:r>
      <w:r w:rsidRPr="000C4DC5">
        <w:rPr>
          <w:rFonts w:ascii="Myriad Pro" w:hAnsi="Myriad Pro"/>
          <w:b w:val="0"/>
          <w:sz w:val="22"/>
          <w:szCs w:val="22"/>
        </w:rPr>
        <w:t xml:space="preserve"> or soluble reactive P (SRP; kg N or P km</w:t>
      </w:r>
      <w:r w:rsidRPr="000C4DC5">
        <w:rPr>
          <w:rFonts w:ascii="Myriad Pro" w:hAnsi="Myriad Pro"/>
          <w:b w:val="0"/>
          <w:sz w:val="22"/>
          <w:szCs w:val="22"/>
          <w:vertAlign w:val="superscript"/>
        </w:rPr>
        <w:t>-2</w:t>
      </w:r>
      <w:r w:rsidRPr="000C4DC5">
        <w:rPr>
          <w:rFonts w:ascii="Myriad Pro" w:hAnsi="Myriad Pro"/>
          <w:b w:val="0"/>
          <w:sz w:val="22"/>
          <w:szCs w:val="22"/>
        </w:rPr>
        <w:t>) and water yield (mm) as shown in Figure 4.</w:t>
      </w:r>
    </w:p>
    <w:sectPr w:rsidR="00B9440A" w:rsidRPr="00015F74" w:rsidSect="00F125E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57F44" w14:textId="77777777" w:rsidR="00A85C91" w:rsidRDefault="00A85C91">
      <w:r>
        <w:separator/>
      </w:r>
    </w:p>
  </w:endnote>
  <w:endnote w:type="continuationSeparator" w:id="0">
    <w:p w14:paraId="30D20764" w14:textId="77777777" w:rsidR="00A85C91" w:rsidRDefault="00A8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20B0604020202020204"/>
    <w:charset w:val="00"/>
    <w:family w:val="auto"/>
    <w:pitch w:val="variable"/>
    <w:sig w:usb0="2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8E7ED" w14:textId="77777777" w:rsidR="00F125EE" w:rsidRDefault="00114193">
    <w:pPr>
      <w:pStyle w:val="Footer"/>
      <w:jc w:val="right"/>
    </w:pPr>
    <w:r>
      <w:fldChar w:fldCharType="begin"/>
    </w:r>
    <w:r>
      <w:instrText xml:space="preserve"> PAGE   \* MERGEFORMAT </w:instrText>
    </w:r>
    <w:r>
      <w:fldChar w:fldCharType="separate"/>
    </w:r>
    <w:r w:rsidR="00D10134">
      <w:rPr>
        <w:noProof/>
      </w:rPr>
      <w:t>1</w:t>
    </w:r>
    <w:r>
      <w:fldChar w:fldCharType="end"/>
    </w:r>
  </w:p>
  <w:p w14:paraId="486656F3"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B5BC5" w14:textId="77777777" w:rsidR="00A85C91" w:rsidRDefault="00A85C91">
      <w:r>
        <w:separator/>
      </w:r>
    </w:p>
  </w:footnote>
  <w:footnote w:type="continuationSeparator" w:id="0">
    <w:p w14:paraId="3C548D37" w14:textId="77777777" w:rsidR="00A85C91" w:rsidRDefault="00A85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23C1C" w14:textId="77777777" w:rsidR="003A2FD8" w:rsidRPr="005001AC" w:rsidRDefault="003A2FD8" w:rsidP="005001AC">
    <w:pP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43571"/>
    <w:rsid w:val="00051E98"/>
    <w:rsid w:val="00065EBD"/>
    <w:rsid w:val="00083B44"/>
    <w:rsid w:val="000850DC"/>
    <w:rsid w:val="00094365"/>
    <w:rsid w:val="000B2E64"/>
    <w:rsid w:val="000C2771"/>
    <w:rsid w:val="000C4DC5"/>
    <w:rsid w:val="000D279F"/>
    <w:rsid w:val="000D68BD"/>
    <w:rsid w:val="000F0DCE"/>
    <w:rsid w:val="00111843"/>
    <w:rsid w:val="00112C5B"/>
    <w:rsid w:val="00113908"/>
    <w:rsid w:val="00114193"/>
    <w:rsid w:val="001154E6"/>
    <w:rsid w:val="00115A38"/>
    <w:rsid w:val="0011687B"/>
    <w:rsid w:val="00124F82"/>
    <w:rsid w:val="001278E3"/>
    <w:rsid w:val="00130743"/>
    <w:rsid w:val="00130B50"/>
    <w:rsid w:val="001369BB"/>
    <w:rsid w:val="0016337A"/>
    <w:rsid w:val="00164269"/>
    <w:rsid w:val="001966FD"/>
    <w:rsid w:val="00197826"/>
    <w:rsid w:val="001A1BDE"/>
    <w:rsid w:val="001C741E"/>
    <w:rsid w:val="001C7B4E"/>
    <w:rsid w:val="001F0876"/>
    <w:rsid w:val="001F167C"/>
    <w:rsid w:val="001F5E91"/>
    <w:rsid w:val="0020183F"/>
    <w:rsid w:val="002077B9"/>
    <w:rsid w:val="0022193F"/>
    <w:rsid w:val="00221C70"/>
    <w:rsid w:val="002251AF"/>
    <w:rsid w:val="00227D86"/>
    <w:rsid w:val="00243B68"/>
    <w:rsid w:val="00262D72"/>
    <w:rsid w:val="00274801"/>
    <w:rsid w:val="002800B6"/>
    <w:rsid w:val="002B2423"/>
    <w:rsid w:val="002B35D4"/>
    <w:rsid w:val="002C030F"/>
    <w:rsid w:val="002D44BC"/>
    <w:rsid w:val="002F3966"/>
    <w:rsid w:val="00320E2C"/>
    <w:rsid w:val="00331D75"/>
    <w:rsid w:val="00355362"/>
    <w:rsid w:val="00363E44"/>
    <w:rsid w:val="00395E86"/>
    <w:rsid w:val="003A2FD8"/>
    <w:rsid w:val="003B40E6"/>
    <w:rsid w:val="003C007A"/>
    <w:rsid w:val="003E1980"/>
    <w:rsid w:val="003F6E14"/>
    <w:rsid w:val="00405336"/>
    <w:rsid w:val="004568BC"/>
    <w:rsid w:val="004571D5"/>
    <w:rsid w:val="00462F1B"/>
    <w:rsid w:val="0046356B"/>
    <w:rsid w:val="00477182"/>
    <w:rsid w:val="004779CB"/>
    <w:rsid w:val="00481118"/>
    <w:rsid w:val="004847E5"/>
    <w:rsid w:val="004A7311"/>
    <w:rsid w:val="004B2481"/>
    <w:rsid w:val="004D2A8C"/>
    <w:rsid w:val="004E42D8"/>
    <w:rsid w:val="004E46AA"/>
    <w:rsid w:val="004E7BA2"/>
    <w:rsid w:val="004F7EDF"/>
    <w:rsid w:val="005001AC"/>
    <w:rsid w:val="00517016"/>
    <w:rsid w:val="00527D71"/>
    <w:rsid w:val="00527D84"/>
    <w:rsid w:val="005314B5"/>
    <w:rsid w:val="0054432F"/>
    <w:rsid w:val="00552C23"/>
    <w:rsid w:val="005607DD"/>
    <w:rsid w:val="00572DFF"/>
    <w:rsid w:val="005A558C"/>
    <w:rsid w:val="005B186E"/>
    <w:rsid w:val="005C6651"/>
    <w:rsid w:val="005D6D71"/>
    <w:rsid w:val="005E28F8"/>
    <w:rsid w:val="005E6513"/>
    <w:rsid w:val="00611F9E"/>
    <w:rsid w:val="006237D4"/>
    <w:rsid w:val="0064322B"/>
    <w:rsid w:val="00651114"/>
    <w:rsid w:val="006622CF"/>
    <w:rsid w:val="00664A12"/>
    <w:rsid w:val="0066722B"/>
    <w:rsid w:val="00670299"/>
    <w:rsid w:val="00676528"/>
    <w:rsid w:val="0068469F"/>
    <w:rsid w:val="00691985"/>
    <w:rsid w:val="00695DA0"/>
    <w:rsid w:val="006962C1"/>
    <w:rsid w:val="006A1B64"/>
    <w:rsid w:val="006B03AD"/>
    <w:rsid w:val="006F602A"/>
    <w:rsid w:val="007108F5"/>
    <w:rsid w:val="00713AF2"/>
    <w:rsid w:val="00713E5B"/>
    <w:rsid w:val="0072368F"/>
    <w:rsid w:val="00723C0B"/>
    <w:rsid w:val="007258B1"/>
    <w:rsid w:val="007402FC"/>
    <w:rsid w:val="007411A1"/>
    <w:rsid w:val="007563F2"/>
    <w:rsid w:val="00764008"/>
    <w:rsid w:val="00807D35"/>
    <w:rsid w:val="008115D9"/>
    <w:rsid w:val="00825950"/>
    <w:rsid w:val="00885C9B"/>
    <w:rsid w:val="008927D0"/>
    <w:rsid w:val="008B2321"/>
    <w:rsid w:val="008C60D2"/>
    <w:rsid w:val="008D54B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0A09"/>
    <w:rsid w:val="009859A7"/>
    <w:rsid w:val="009A5287"/>
    <w:rsid w:val="009B2AC5"/>
    <w:rsid w:val="009B7984"/>
    <w:rsid w:val="009F4BED"/>
    <w:rsid w:val="009F7D93"/>
    <w:rsid w:val="00A276DF"/>
    <w:rsid w:val="00A3084A"/>
    <w:rsid w:val="00A3403B"/>
    <w:rsid w:val="00A50033"/>
    <w:rsid w:val="00A51A12"/>
    <w:rsid w:val="00A627D4"/>
    <w:rsid w:val="00A74DA2"/>
    <w:rsid w:val="00A85C91"/>
    <w:rsid w:val="00A92733"/>
    <w:rsid w:val="00AA76F3"/>
    <w:rsid w:val="00AC7DA6"/>
    <w:rsid w:val="00AD499C"/>
    <w:rsid w:val="00B104FB"/>
    <w:rsid w:val="00B30334"/>
    <w:rsid w:val="00B3147F"/>
    <w:rsid w:val="00B36869"/>
    <w:rsid w:val="00B43B31"/>
    <w:rsid w:val="00B47CFA"/>
    <w:rsid w:val="00B57F00"/>
    <w:rsid w:val="00B626CB"/>
    <w:rsid w:val="00B7560C"/>
    <w:rsid w:val="00B77E40"/>
    <w:rsid w:val="00B82C22"/>
    <w:rsid w:val="00B93DBA"/>
    <w:rsid w:val="00B9440A"/>
    <w:rsid w:val="00B952C1"/>
    <w:rsid w:val="00B968D7"/>
    <w:rsid w:val="00BA3953"/>
    <w:rsid w:val="00BB2D2A"/>
    <w:rsid w:val="00BD58CF"/>
    <w:rsid w:val="00BE1FD6"/>
    <w:rsid w:val="00BF1BEB"/>
    <w:rsid w:val="00BF1BF9"/>
    <w:rsid w:val="00C04CC1"/>
    <w:rsid w:val="00C071FC"/>
    <w:rsid w:val="00C22C02"/>
    <w:rsid w:val="00C27F6F"/>
    <w:rsid w:val="00C30E83"/>
    <w:rsid w:val="00C50C6D"/>
    <w:rsid w:val="00C600D9"/>
    <w:rsid w:val="00C634D7"/>
    <w:rsid w:val="00C73E09"/>
    <w:rsid w:val="00CC1384"/>
    <w:rsid w:val="00CD3720"/>
    <w:rsid w:val="00CE6EAA"/>
    <w:rsid w:val="00CF1848"/>
    <w:rsid w:val="00CF5C2F"/>
    <w:rsid w:val="00D04BCF"/>
    <w:rsid w:val="00D10134"/>
    <w:rsid w:val="00D143D9"/>
    <w:rsid w:val="00D1714C"/>
    <w:rsid w:val="00D37EEB"/>
    <w:rsid w:val="00D4372A"/>
    <w:rsid w:val="00D60BB0"/>
    <w:rsid w:val="00D65708"/>
    <w:rsid w:val="00D8159F"/>
    <w:rsid w:val="00DD1D04"/>
    <w:rsid w:val="00DD79D7"/>
    <w:rsid w:val="00E20431"/>
    <w:rsid w:val="00E257C8"/>
    <w:rsid w:val="00E40896"/>
    <w:rsid w:val="00E43D2D"/>
    <w:rsid w:val="00E449CB"/>
    <w:rsid w:val="00E63760"/>
    <w:rsid w:val="00E64049"/>
    <w:rsid w:val="00E76A23"/>
    <w:rsid w:val="00E9773B"/>
    <w:rsid w:val="00EA65BB"/>
    <w:rsid w:val="00EA72C4"/>
    <w:rsid w:val="00EC13A3"/>
    <w:rsid w:val="00EC7C85"/>
    <w:rsid w:val="00ED69CA"/>
    <w:rsid w:val="00EE35AB"/>
    <w:rsid w:val="00EF25A3"/>
    <w:rsid w:val="00F125EE"/>
    <w:rsid w:val="00F12E98"/>
    <w:rsid w:val="00F202A4"/>
    <w:rsid w:val="00F22029"/>
    <w:rsid w:val="00F23E46"/>
    <w:rsid w:val="00F3515C"/>
    <w:rsid w:val="00F44FD6"/>
    <w:rsid w:val="00F47BA3"/>
    <w:rsid w:val="00F56E67"/>
    <w:rsid w:val="00F630EA"/>
    <w:rsid w:val="00F6474F"/>
    <w:rsid w:val="00F7007E"/>
    <w:rsid w:val="00F73193"/>
    <w:rsid w:val="00F73884"/>
    <w:rsid w:val="00F74F95"/>
    <w:rsid w:val="00F80705"/>
    <w:rsid w:val="00F8142E"/>
    <w:rsid w:val="00FA1481"/>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table" w:styleId="TableGrid">
    <w:name w:val="Table Grid"/>
    <w:basedOn w:val="TableNormal"/>
    <w:uiPriority w:val="39"/>
    <w:rsid w:val="00F81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Dustin Kincaid</cp:lastModifiedBy>
  <cp:revision>3</cp:revision>
  <cp:lastPrinted>2014-09-30T16:49:00Z</cp:lastPrinted>
  <dcterms:created xsi:type="dcterms:W3CDTF">2020-07-15T21:06:00Z</dcterms:created>
  <dcterms:modified xsi:type="dcterms:W3CDTF">2020-07-15T21:10:00Z</dcterms:modified>
</cp:coreProperties>
</file>