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EEA74" w14:textId="77777777" w:rsidR="005B69DE" w:rsidRDefault="00000000">
      <w:pPr>
        <w:spacing w:before="2400" w:after="200"/>
        <w:jc w:val="center"/>
      </w:pPr>
      <w:r>
        <w:rPr>
          <w:b/>
          <w:bCs/>
          <w:color w:val="1F3A5F"/>
          <w:sz w:val="48"/>
          <w:szCs w:val="48"/>
        </w:rPr>
        <w:t>THE HUMAN NERVOUS SYSTEM</w:t>
      </w:r>
    </w:p>
    <w:p w14:paraId="099525A2" w14:textId="77777777" w:rsidR="005B69DE" w:rsidRDefault="00000000">
      <w:pPr>
        <w:spacing w:after="200"/>
        <w:jc w:val="center"/>
      </w:pPr>
      <w:r>
        <w:rPr>
          <w:i/>
          <w:iCs/>
          <w:color w:val="555555"/>
          <w:sz w:val="28"/>
          <w:szCs w:val="28"/>
        </w:rPr>
        <w:t>A Detailed Overview of the Central, Peripheral,</w:t>
      </w:r>
    </w:p>
    <w:p w14:paraId="39D161E3" w14:textId="77777777" w:rsidR="005B69DE" w:rsidRDefault="00000000">
      <w:pPr>
        <w:spacing w:after="600"/>
        <w:jc w:val="center"/>
      </w:pPr>
      <w:r>
        <w:rPr>
          <w:i/>
          <w:iCs/>
          <w:color w:val="555555"/>
          <w:sz w:val="28"/>
          <w:szCs w:val="28"/>
        </w:rPr>
        <w:t>and Enteric Nervous Systems</w:t>
      </w:r>
    </w:p>
    <w:p w14:paraId="30A5177C" w14:textId="77777777" w:rsidR="005B69DE" w:rsidRDefault="005B69DE">
      <w:pPr>
        <w:pBdr>
          <w:bottom w:val="single" w:sz="12" w:space="4" w:color="2E5984"/>
        </w:pBdr>
        <w:jc w:val="center"/>
      </w:pPr>
    </w:p>
    <w:p w14:paraId="4882B79A" w14:textId="77777777" w:rsidR="005B69DE" w:rsidRDefault="00000000">
      <w:pPr>
        <w:spacing w:before="3600" w:after="100"/>
        <w:jc w:val="center"/>
      </w:pPr>
      <w:r>
        <w:rPr>
          <w:color w:val="777777"/>
          <w:sz w:val="24"/>
          <w:szCs w:val="24"/>
        </w:rPr>
        <w:t>Anatomy • Physiology • Function</w:t>
      </w:r>
    </w:p>
    <w:p w14:paraId="59CA7AB1" w14:textId="77777777" w:rsidR="005B69DE" w:rsidRDefault="00000000">
      <w:r>
        <w:br w:type="page"/>
      </w:r>
    </w:p>
    <w:p w14:paraId="47D1B9C8" w14:textId="77777777" w:rsidR="005B69DE" w:rsidRDefault="00000000">
      <w:pPr>
        <w:pStyle w:val="Heading1"/>
      </w:pPr>
      <w:r>
        <w:lastRenderedPageBreak/>
        <w:t>Table of Contents</w:t>
      </w:r>
    </w:p>
    <w:p w14:paraId="53D1138F" w14:textId="77777777" w:rsidR="005B69DE" w:rsidRDefault="00000000">
      <w:pPr>
        <w:spacing w:after="60"/>
      </w:pPr>
      <w:r>
        <w:rPr>
          <w:b/>
          <w:bCs/>
        </w:rPr>
        <w:t>1.  Introduction to the Nervous System</w:t>
      </w:r>
    </w:p>
    <w:p w14:paraId="16E82FFD" w14:textId="77777777" w:rsidR="005B69DE" w:rsidRDefault="00000000">
      <w:pPr>
        <w:spacing w:after="60"/>
      </w:pPr>
      <w:r>
        <w:rPr>
          <w:b/>
          <w:bCs/>
        </w:rPr>
        <w:t>2.  The Central Nervous System (CNS)</w:t>
      </w:r>
    </w:p>
    <w:p w14:paraId="6485CAFC" w14:textId="77777777" w:rsidR="005B69DE" w:rsidRDefault="00000000">
      <w:pPr>
        <w:spacing w:after="60"/>
        <w:ind w:left="400"/>
      </w:pPr>
      <w:r>
        <w:t>2.1  Overview and Protection</w:t>
      </w:r>
    </w:p>
    <w:p w14:paraId="7BC909B9" w14:textId="77777777" w:rsidR="005B69DE" w:rsidRDefault="00000000">
      <w:pPr>
        <w:spacing w:after="60"/>
        <w:ind w:left="400"/>
      </w:pPr>
      <w:r>
        <w:t>2.2  The Brain</w:t>
      </w:r>
    </w:p>
    <w:p w14:paraId="6A86F8CA" w14:textId="77777777" w:rsidR="005B69DE" w:rsidRDefault="00000000">
      <w:pPr>
        <w:spacing w:after="60"/>
        <w:ind w:left="400"/>
      </w:pPr>
      <w:r>
        <w:t>2.3  The Spinal Cord</w:t>
      </w:r>
    </w:p>
    <w:p w14:paraId="57033D84" w14:textId="77777777" w:rsidR="005B69DE" w:rsidRDefault="00000000">
      <w:pPr>
        <w:spacing w:after="60"/>
        <w:ind w:left="400"/>
      </w:pPr>
      <w:r>
        <w:t>2.4  Cellular Components</w:t>
      </w:r>
    </w:p>
    <w:p w14:paraId="325BCC84" w14:textId="77777777" w:rsidR="005B69DE" w:rsidRDefault="00000000">
      <w:pPr>
        <w:spacing w:after="60"/>
        <w:ind w:left="400"/>
      </w:pPr>
      <w:r>
        <w:t>2.5  Functions and Clinical Significance</w:t>
      </w:r>
    </w:p>
    <w:p w14:paraId="06C1BC72" w14:textId="77777777" w:rsidR="005B69DE" w:rsidRDefault="00000000">
      <w:pPr>
        <w:spacing w:after="60"/>
      </w:pPr>
      <w:r>
        <w:rPr>
          <w:b/>
          <w:bCs/>
        </w:rPr>
        <w:t>3.  The Peripheral Nervous System (PNS)</w:t>
      </w:r>
    </w:p>
    <w:p w14:paraId="516728BF" w14:textId="77777777" w:rsidR="005B69DE" w:rsidRDefault="00000000">
      <w:pPr>
        <w:spacing w:after="60"/>
        <w:ind w:left="400"/>
      </w:pPr>
      <w:r>
        <w:t>3.1  Overview and Organization</w:t>
      </w:r>
    </w:p>
    <w:p w14:paraId="7D92FE3A" w14:textId="77777777" w:rsidR="005B69DE" w:rsidRDefault="00000000">
      <w:pPr>
        <w:spacing w:after="60"/>
        <w:ind w:left="400"/>
      </w:pPr>
      <w:r>
        <w:t>3.2  The Somatic Nervous System</w:t>
      </w:r>
    </w:p>
    <w:p w14:paraId="0B2FE4EB" w14:textId="77777777" w:rsidR="005B69DE" w:rsidRDefault="00000000">
      <w:pPr>
        <w:spacing w:after="60"/>
        <w:ind w:left="400"/>
      </w:pPr>
      <w:r>
        <w:t>3.3  The Autonomic Nervous System</w:t>
      </w:r>
    </w:p>
    <w:p w14:paraId="476DC9C9" w14:textId="77777777" w:rsidR="005B69DE" w:rsidRDefault="00000000">
      <w:pPr>
        <w:spacing w:after="60"/>
        <w:ind w:left="400"/>
      </w:pPr>
      <w:r>
        <w:t>3.4  Cranial and Spinal Nerves</w:t>
      </w:r>
    </w:p>
    <w:p w14:paraId="59E3099F" w14:textId="77777777" w:rsidR="005B69DE" w:rsidRDefault="00000000">
      <w:pPr>
        <w:spacing w:after="60"/>
        <w:ind w:left="400"/>
      </w:pPr>
      <w:r>
        <w:t>3.5  Functions and Clinical Significance</w:t>
      </w:r>
    </w:p>
    <w:p w14:paraId="75F4FE49" w14:textId="77777777" w:rsidR="005B69DE" w:rsidRDefault="00000000">
      <w:pPr>
        <w:spacing w:after="60"/>
      </w:pPr>
      <w:r>
        <w:rPr>
          <w:b/>
          <w:bCs/>
        </w:rPr>
        <w:t>4.  The Enteric Nervous System (ENS)</w:t>
      </w:r>
    </w:p>
    <w:p w14:paraId="52CC3B71" w14:textId="77777777" w:rsidR="005B69DE" w:rsidRDefault="00000000">
      <w:pPr>
        <w:spacing w:after="60"/>
        <w:ind w:left="400"/>
      </w:pPr>
      <w:r>
        <w:t>4.1  Overview: The 'Second Brain'</w:t>
      </w:r>
    </w:p>
    <w:p w14:paraId="001140BC" w14:textId="77777777" w:rsidR="005B69DE" w:rsidRDefault="00000000">
      <w:pPr>
        <w:spacing w:after="60"/>
        <w:ind w:left="400"/>
      </w:pPr>
      <w:r>
        <w:t>4.2  Structure and Plexuses</w:t>
      </w:r>
    </w:p>
    <w:p w14:paraId="30ED283E" w14:textId="77777777" w:rsidR="005B69DE" w:rsidRDefault="00000000">
      <w:pPr>
        <w:spacing w:after="60"/>
        <w:ind w:left="400"/>
      </w:pPr>
      <w:r>
        <w:t>4.3  Neurotransmitters and the Gut–Brain Axis</w:t>
      </w:r>
    </w:p>
    <w:p w14:paraId="152D91FE" w14:textId="77777777" w:rsidR="005B69DE" w:rsidRDefault="00000000">
      <w:pPr>
        <w:spacing w:after="60"/>
        <w:ind w:left="400"/>
      </w:pPr>
      <w:r>
        <w:t>4.4  Functions and Clinical Significance</w:t>
      </w:r>
    </w:p>
    <w:p w14:paraId="1046789F" w14:textId="77777777" w:rsidR="005B69DE" w:rsidRDefault="00000000">
      <w:pPr>
        <w:spacing w:after="60"/>
      </w:pPr>
      <w:r>
        <w:rPr>
          <w:b/>
          <w:bCs/>
        </w:rPr>
        <w:t>5.  Comparative Summary</w:t>
      </w:r>
    </w:p>
    <w:p w14:paraId="7A8E19D7" w14:textId="77777777" w:rsidR="005B69DE" w:rsidRDefault="00000000">
      <w:pPr>
        <w:spacing w:after="60"/>
      </w:pPr>
      <w:r>
        <w:rPr>
          <w:b/>
          <w:bCs/>
        </w:rPr>
        <w:t>6.  Conclusion</w:t>
      </w:r>
    </w:p>
    <w:p w14:paraId="38824225" w14:textId="77777777" w:rsidR="005B69DE" w:rsidRDefault="00000000">
      <w:r>
        <w:br w:type="page"/>
      </w:r>
    </w:p>
    <w:p w14:paraId="783054A3" w14:textId="77777777" w:rsidR="005B69DE" w:rsidRDefault="00000000">
      <w:pPr>
        <w:pStyle w:val="Heading1"/>
      </w:pPr>
      <w:r>
        <w:lastRenderedPageBreak/>
        <w:t>1. Introduction to the Nervous System</w:t>
      </w:r>
    </w:p>
    <w:p w14:paraId="712BF131" w14:textId="77777777" w:rsidR="005B69DE" w:rsidRDefault="00000000">
      <w:pPr>
        <w:spacing w:after="120" w:line="300" w:lineRule="auto"/>
        <w:jc w:val="both"/>
      </w:pPr>
      <w:r>
        <w:t>The nervous system is the body's primary communication and control network. It receives information from the internal and external environment, processes and integrates that information, and generates appropriate responses that coordinate virtually every activity of the body — from the conscious act of reading this sentence to the unconscious rhythm of the heart and the digestion of food.</w:t>
      </w:r>
    </w:p>
    <w:p w14:paraId="3DD0C7EE" w14:textId="77777777" w:rsidR="005B69DE" w:rsidRDefault="00000000">
      <w:pPr>
        <w:spacing w:after="120" w:line="300" w:lineRule="auto"/>
        <w:jc w:val="both"/>
      </w:pPr>
      <w:r>
        <w:t>Anatomically and functionally, the nervous system is traditionally divided into two major divisions: the central nervous system (CNS), which includes the brain and spinal cord, and the peripheral nervous system (PNS), which includes all the nerves extending from the CNS to the rest of the body. A third, semi-autonomous division — the enteric nervous system (ENS) — is embedded in the wall of the gastrointestinal tract and governs digestion with remarkable independence, earning it the nickname 'the second brain.'</w:t>
      </w:r>
    </w:p>
    <w:p w14:paraId="0D92DB4B" w14:textId="77777777" w:rsidR="005B69DE" w:rsidRDefault="00000000">
      <w:pPr>
        <w:spacing w:after="120" w:line="300" w:lineRule="auto"/>
        <w:jc w:val="both"/>
      </w:pPr>
      <w:r>
        <w:t>This document provides a detailed overview of each of these three systems, describing their anatomy, cellular architecture, physiological roles, and clinical relevance.</w:t>
      </w:r>
    </w:p>
    <w:p w14:paraId="55F379F4" w14:textId="77777777" w:rsidR="005B69DE" w:rsidRDefault="00000000">
      <w:r>
        <w:br w:type="page"/>
      </w:r>
    </w:p>
    <w:p w14:paraId="789A57D5" w14:textId="77777777" w:rsidR="005B69DE" w:rsidRDefault="00000000">
      <w:pPr>
        <w:pStyle w:val="Heading1"/>
      </w:pPr>
      <w:r>
        <w:lastRenderedPageBreak/>
        <w:t>2. The Central Nervous System (CNS)</w:t>
      </w:r>
    </w:p>
    <w:p w14:paraId="5428908C" w14:textId="77777777" w:rsidR="005B69DE" w:rsidRDefault="00000000">
      <w:pPr>
        <w:pStyle w:val="Heading2"/>
      </w:pPr>
      <w:r>
        <w:t>2.1 Overview and Protection</w:t>
      </w:r>
    </w:p>
    <w:p w14:paraId="333E229A" w14:textId="77777777" w:rsidR="005B69DE" w:rsidRDefault="00000000">
      <w:pPr>
        <w:spacing w:after="120" w:line="300" w:lineRule="auto"/>
        <w:jc w:val="both"/>
      </w:pPr>
      <w:r>
        <w:t>The central nervous system consists of the brain and spinal cord. It is the command and integration center of the body, responsible for processing sensory input, generating thoughts and emotions, storing memories, and initiating voluntary and involuntary responses. Because of its critical importance and delicate tissue, the CNS is heavily protected.</w:t>
      </w:r>
    </w:p>
    <w:p w14:paraId="71C23C51" w14:textId="77777777" w:rsidR="005B69DE" w:rsidRDefault="00000000">
      <w:pPr>
        <w:pStyle w:val="ListParagraph"/>
        <w:numPr>
          <w:ilvl w:val="0"/>
          <w:numId w:val="2"/>
        </w:numPr>
        <w:spacing w:after="80" w:line="280" w:lineRule="auto"/>
      </w:pPr>
      <w:r>
        <w:rPr>
          <w:b/>
          <w:bCs/>
        </w:rPr>
        <w:t xml:space="preserve">Bony protection: </w:t>
      </w:r>
      <w:r>
        <w:t>The brain is enclosed within the cranium (skull), and the spinal cord runs through the vertebral canal formed by the stacked vertebrae.</w:t>
      </w:r>
    </w:p>
    <w:p w14:paraId="4390EF7A" w14:textId="77777777" w:rsidR="005B69DE" w:rsidRDefault="00000000">
      <w:pPr>
        <w:pStyle w:val="ListParagraph"/>
        <w:numPr>
          <w:ilvl w:val="0"/>
          <w:numId w:val="2"/>
        </w:numPr>
        <w:spacing w:after="80" w:line="280" w:lineRule="auto"/>
      </w:pPr>
      <w:r>
        <w:rPr>
          <w:b/>
          <w:bCs/>
        </w:rPr>
        <w:t xml:space="preserve">Meninges: </w:t>
      </w:r>
      <w:r>
        <w:t>Three connective-tissue membranes — the dura mater (outermost, tough), arachnoid mater (middle, web-like), and pia mater (innermost, delicate) — wrap the brain and spinal cord.</w:t>
      </w:r>
    </w:p>
    <w:p w14:paraId="2A40057F" w14:textId="77777777" w:rsidR="005B69DE" w:rsidRDefault="00000000">
      <w:pPr>
        <w:pStyle w:val="ListParagraph"/>
        <w:numPr>
          <w:ilvl w:val="0"/>
          <w:numId w:val="2"/>
        </w:numPr>
        <w:spacing w:after="80" w:line="280" w:lineRule="auto"/>
      </w:pPr>
      <w:r>
        <w:rPr>
          <w:b/>
          <w:bCs/>
        </w:rPr>
        <w:t xml:space="preserve">Cerebrospinal fluid (CSF): </w:t>
      </w:r>
      <w:r>
        <w:t>A clear fluid produced by the choroid plexuses that circulates through the ventricles of the brain and the subarachnoid space, cushioning the CNS, removing waste, and delivering nutrients.</w:t>
      </w:r>
    </w:p>
    <w:p w14:paraId="751F9B5F" w14:textId="77777777" w:rsidR="005B69DE" w:rsidRDefault="00000000">
      <w:pPr>
        <w:pStyle w:val="ListParagraph"/>
        <w:numPr>
          <w:ilvl w:val="0"/>
          <w:numId w:val="2"/>
        </w:numPr>
        <w:spacing w:after="80" w:line="280" w:lineRule="auto"/>
      </w:pPr>
      <w:r>
        <w:rPr>
          <w:b/>
          <w:bCs/>
        </w:rPr>
        <w:t xml:space="preserve">Blood–brain barrier (BBB): </w:t>
      </w:r>
      <w:r>
        <w:t>A selective barrier formed by tight junctions between capillary endothelial cells, astrocyte end-feet, and pericytes that regulates the passage of substances from the bloodstream into neural tissue.</w:t>
      </w:r>
    </w:p>
    <w:p w14:paraId="58987B3B" w14:textId="77777777" w:rsidR="005B69DE" w:rsidRDefault="00000000">
      <w:pPr>
        <w:pStyle w:val="Heading2"/>
      </w:pPr>
      <w:r>
        <w:t>2.2 The Brain</w:t>
      </w:r>
    </w:p>
    <w:p w14:paraId="6CBC59AD" w14:textId="77777777" w:rsidR="005B69DE" w:rsidRDefault="00000000">
      <w:pPr>
        <w:spacing w:after="120" w:line="300" w:lineRule="auto"/>
        <w:jc w:val="both"/>
      </w:pPr>
      <w:r>
        <w:t>The adult human brain contains roughly 86 billion neurons and a comparable number of glial cells. Weighing about 1.4 kg, it consumes approximately 20% of the body's resting energy despite representing only about 2% of body mass. The brain is organized into several major regions, each with specialized roles.</w:t>
      </w:r>
    </w:p>
    <w:p w14:paraId="10C93A7C" w14:textId="77777777" w:rsidR="005B69DE" w:rsidRDefault="00000000">
      <w:pPr>
        <w:pStyle w:val="Heading3"/>
      </w:pPr>
      <w:r>
        <w:t>The Cerebrum</w:t>
      </w:r>
    </w:p>
    <w:p w14:paraId="12D56B76" w14:textId="77777777" w:rsidR="005B69DE" w:rsidRDefault="00000000">
      <w:pPr>
        <w:spacing w:after="120" w:line="300" w:lineRule="auto"/>
        <w:jc w:val="both"/>
      </w:pPr>
      <w:r>
        <w:t>The largest part of the brain, the cerebrum is divided into two hemispheres (left and right) connected by the corpus callosum. Its outer layer, the cerebral cortex, is a convoluted sheet of gray matter responsible for higher cognitive functions. Each hemisphere is divided into four lobes:</w:t>
      </w:r>
    </w:p>
    <w:p w14:paraId="20883B20" w14:textId="77777777" w:rsidR="005B69DE" w:rsidRDefault="00000000">
      <w:pPr>
        <w:pStyle w:val="ListParagraph"/>
        <w:numPr>
          <w:ilvl w:val="0"/>
          <w:numId w:val="2"/>
        </w:numPr>
        <w:spacing w:after="80" w:line="280" w:lineRule="auto"/>
      </w:pPr>
      <w:r>
        <w:rPr>
          <w:b/>
          <w:bCs/>
        </w:rPr>
        <w:t xml:space="preserve">Frontal lobe: </w:t>
      </w:r>
      <w:r>
        <w:t>Executive functions, voluntary movement (primary motor cortex), planning, decision-making, personality, and language production (Broca's area).</w:t>
      </w:r>
    </w:p>
    <w:p w14:paraId="25510960" w14:textId="77777777" w:rsidR="005B69DE" w:rsidRDefault="00000000">
      <w:pPr>
        <w:pStyle w:val="ListParagraph"/>
        <w:numPr>
          <w:ilvl w:val="0"/>
          <w:numId w:val="2"/>
        </w:numPr>
        <w:spacing w:after="80" w:line="280" w:lineRule="auto"/>
      </w:pPr>
      <w:r>
        <w:rPr>
          <w:b/>
          <w:bCs/>
        </w:rPr>
        <w:t xml:space="preserve">Parietal lobe: </w:t>
      </w:r>
      <w:r>
        <w:t>Somatosensory processing (touch, temperature, pain, proprioception), spatial awareness, and navigation.</w:t>
      </w:r>
    </w:p>
    <w:p w14:paraId="30E17E0B" w14:textId="77777777" w:rsidR="005B69DE" w:rsidRDefault="00000000">
      <w:pPr>
        <w:pStyle w:val="ListParagraph"/>
        <w:numPr>
          <w:ilvl w:val="0"/>
          <w:numId w:val="2"/>
        </w:numPr>
        <w:spacing w:after="80" w:line="280" w:lineRule="auto"/>
      </w:pPr>
      <w:r>
        <w:rPr>
          <w:b/>
          <w:bCs/>
        </w:rPr>
        <w:t xml:space="preserve">Temporal lobe: </w:t>
      </w:r>
      <w:r>
        <w:t>Auditory processing, language comprehension (Wernicke's area), memory formation (hippocampus), and emotional regulation (amygdala).</w:t>
      </w:r>
    </w:p>
    <w:p w14:paraId="55AD417D" w14:textId="77777777" w:rsidR="005B69DE" w:rsidRDefault="00000000">
      <w:pPr>
        <w:pStyle w:val="ListParagraph"/>
        <w:numPr>
          <w:ilvl w:val="0"/>
          <w:numId w:val="2"/>
        </w:numPr>
        <w:spacing w:after="80" w:line="280" w:lineRule="auto"/>
      </w:pPr>
      <w:r>
        <w:rPr>
          <w:b/>
          <w:bCs/>
        </w:rPr>
        <w:t xml:space="preserve">Occipital lobe: </w:t>
      </w:r>
      <w:r>
        <w:t>Visual processing, including recognition of shapes, colors, and motion.</w:t>
      </w:r>
    </w:p>
    <w:p w14:paraId="72B63BEA" w14:textId="77777777" w:rsidR="005B69DE" w:rsidRDefault="00000000">
      <w:pPr>
        <w:pStyle w:val="Heading3"/>
      </w:pPr>
      <w:r>
        <w:t>The Cerebellum</w:t>
      </w:r>
    </w:p>
    <w:p w14:paraId="5425623D" w14:textId="77777777" w:rsidR="005B69DE" w:rsidRDefault="00000000">
      <w:pPr>
        <w:spacing w:after="120" w:line="300" w:lineRule="auto"/>
        <w:jc w:val="both"/>
      </w:pPr>
      <w:r>
        <w:lastRenderedPageBreak/>
        <w:t>Located at the back of the brain beneath the cerebrum, the cerebellum (Latin for 'little brain') coordinates voluntary movement, fine motor control, balance, posture, and motor learning. It also contributes to certain cognitive functions such as attention and language.</w:t>
      </w:r>
    </w:p>
    <w:p w14:paraId="39369D18" w14:textId="77777777" w:rsidR="005B69DE" w:rsidRDefault="00000000">
      <w:pPr>
        <w:pStyle w:val="Heading3"/>
      </w:pPr>
      <w:r>
        <w:t>The Brainstem</w:t>
      </w:r>
    </w:p>
    <w:p w14:paraId="7F3580E0" w14:textId="77777777" w:rsidR="005B69DE" w:rsidRDefault="00000000">
      <w:pPr>
        <w:spacing w:after="120" w:line="300" w:lineRule="auto"/>
        <w:jc w:val="both"/>
      </w:pPr>
      <w:r>
        <w:t>The brainstem connects the cerebrum and cerebellum to the spinal cord and contains structures essential to survival. It comprises three regions:</w:t>
      </w:r>
    </w:p>
    <w:p w14:paraId="429E0570" w14:textId="77777777" w:rsidR="005B69DE" w:rsidRDefault="00000000">
      <w:pPr>
        <w:pStyle w:val="ListParagraph"/>
        <w:numPr>
          <w:ilvl w:val="0"/>
          <w:numId w:val="2"/>
        </w:numPr>
        <w:spacing w:after="80" w:line="280" w:lineRule="auto"/>
      </w:pPr>
      <w:r>
        <w:rPr>
          <w:b/>
          <w:bCs/>
        </w:rPr>
        <w:t xml:space="preserve">Midbrain: </w:t>
      </w:r>
      <w:r>
        <w:t>Involved in vision, hearing, motor control, sleep/wake cycles, and alertness.</w:t>
      </w:r>
    </w:p>
    <w:p w14:paraId="43438177" w14:textId="77777777" w:rsidR="005B69DE" w:rsidRDefault="00000000">
      <w:pPr>
        <w:pStyle w:val="ListParagraph"/>
        <w:numPr>
          <w:ilvl w:val="0"/>
          <w:numId w:val="2"/>
        </w:numPr>
        <w:spacing w:after="80" w:line="280" w:lineRule="auto"/>
      </w:pPr>
      <w:r>
        <w:rPr>
          <w:b/>
          <w:bCs/>
        </w:rPr>
        <w:t xml:space="preserve">Pons: </w:t>
      </w:r>
      <w:r>
        <w:t>Relays signals between the cerebrum and cerebellum and regulates breathing, sleep, and swallowing.</w:t>
      </w:r>
    </w:p>
    <w:p w14:paraId="0FCA7BAA" w14:textId="77777777" w:rsidR="005B69DE" w:rsidRDefault="00000000">
      <w:pPr>
        <w:pStyle w:val="ListParagraph"/>
        <w:numPr>
          <w:ilvl w:val="0"/>
          <w:numId w:val="2"/>
        </w:numPr>
        <w:spacing w:after="80" w:line="280" w:lineRule="auto"/>
      </w:pPr>
      <w:r>
        <w:rPr>
          <w:b/>
          <w:bCs/>
        </w:rPr>
        <w:t xml:space="preserve">Medulla oblongata: </w:t>
      </w:r>
      <w:r>
        <w:t>Controls autonomic functions including heart rate, blood pressure, respiration, coughing, and vomiting.</w:t>
      </w:r>
    </w:p>
    <w:p w14:paraId="65F6DC88" w14:textId="77777777" w:rsidR="005B69DE" w:rsidRDefault="00000000">
      <w:pPr>
        <w:pStyle w:val="Heading3"/>
      </w:pPr>
      <w:r>
        <w:t>The Diencephalon</w:t>
      </w:r>
    </w:p>
    <w:p w14:paraId="4A773AF3" w14:textId="77777777" w:rsidR="005B69DE" w:rsidRDefault="00000000">
      <w:pPr>
        <w:spacing w:after="120" w:line="300" w:lineRule="auto"/>
        <w:jc w:val="both"/>
      </w:pPr>
      <w:r>
        <w:t>Nestled between the cerebrum and brainstem, the diencephalon contains the thalamus, hypothalamus, epithalamus, and subthalamus.</w:t>
      </w:r>
    </w:p>
    <w:p w14:paraId="5B1D6B8B" w14:textId="77777777" w:rsidR="005B69DE" w:rsidRDefault="00000000">
      <w:pPr>
        <w:pStyle w:val="ListParagraph"/>
        <w:numPr>
          <w:ilvl w:val="0"/>
          <w:numId w:val="2"/>
        </w:numPr>
        <w:spacing w:after="80" w:line="280" w:lineRule="auto"/>
      </w:pPr>
      <w:r>
        <w:rPr>
          <w:b/>
          <w:bCs/>
        </w:rPr>
        <w:t xml:space="preserve">Thalamus: </w:t>
      </w:r>
      <w:r>
        <w:t>A major relay station for sensory information (except smell) traveling to the cerebral cortex.</w:t>
      </w:r>
    </w:p>
    <w:p w14:paraId="12B3A996" w14:textId="77777777" w:rsidR="005B69DE" w:rsidRDefault="00000000">
      <w:pPr>
        <w:pStyle w:val="ListParagraph"/>
        <w:numPr>
          <w:ilvl w:val="0"/>
          <w:numId w:val="2"/>
        </w:numPr>
        <w:spacing w:after="80" w:line="280" w:lineRule="auto"/>
      </w:pPr>
      <w:r>
        <w:rPr>
          <w:b/>
          <w:bCs/>
        </w:rPr>
        <w:t xml:space="preserve">Hypothalamus: </w:t>
      </w:r>
      <w:r>
        <w:t>Regulates homeostasis, including body temperature, hunger, thirst, circadian rhythms, and hormone release via the pituitary gland.</w:t>
      </w:r>
    </w:p>
    <w:p w14:paraId="117D9D29" w14:textId="77777777" w:rsidR="005B69DE" w:rsidRDefault="00000000">
      <w:pPr>
        <w:pStyle w:val="ListParagraph"/>
        <w:numPr>
          <w:ilvl w:val="0"/>
          <w:numId w:val="2"/>
        </w:numPr>
        <w:spacing w:after="80" w:line="280" w:lineRule="auto"/>
      </w:pPr>
      <w:r>
        <w:rPr>
          <w:b/>
          <w:bCs/>
        </w:rPr>
        <w:t xml:space="preserve">Epithalamus: </w:t>
      </w:r>
      <w:r>
        <w:t>Contains the pineal gland, which secretes melatonin and regulates sleep–wake cycles.</w:t>
      </w:r>
    </w:p>
    <w:p w14:paraId="1B02F42E" w14:textId="77777777" w:rsidR="005B69DE" w:rsidRDefault="00000000">
      <w:pPr>
        <w:pStyle w:val="Heading2"/>
      </w:pPr>
      <w:r>
        <w:t>2.3 The Spinal Cord</w:t>
      </w:r>
    </w:p>
    <w:p w14:paraId="5B5E4AB9" w14:textId="77777777" w:rsidR="005B69DE" w:rsidRDefault="00000000">
      <w:pPr>
        <w:spacing w:after="120" w:line="300" w:lineRule="auto"/>
        <w:jc w:val="both"/>
      </w:pPr>
      <w:r>
        <w:t>The spinal cord extends from the medulla oblongata at the base of the brain down to approximately the first or second lumbar vertebra in adults, tapering into a structure called the conus medullaris. Below this point, a bundle of nerve roots called the cauda equina continues down the vertebral canal.</w:t>
      </w:r>
    </w:p>
    <w:p w14:paraId="4B657605" w14:textId="77777777" w:rsidR="005B69DE" w:rsidRDefault="00000000">
      <w:pPr>
        <w:spacing w:after="120" w:line="300" w:lineRule="auto"/>
        <w:jc w:val="both"/>
      </w:pPr>
      <w:r>
        <w:t>The spinal cord has two main functions: it serves as the primary conduit for information flowing between the brain and body, and it coordinates many reflexes independently of the brain. In cross-section, it shows a butterfly-shaped region of gray matter (containing neuron cell bodies) surrounded by white matter (containing myelinated axon tracts).</w:t>
      </w:r>
    </w:p>
    <w:p w14:paraId="0E6D7D5A" w14:textId="77777777" w:rsidR="005B69DE" w:rsidRDefault="00000000">
      <w:pPr>
        <w:spacing w:after="120" w:line="300" w:lineRule="auto"/>
        <w:jc w:val="both"/>
      </w:pPr>
      <w:r>
        <w:t>Thirty-one pairs of spinal nerves emerge from the cord: 8 cervical, 12 thoracic, 5 lumbar, 5 sacral, and 1 coccygeal. Each nerve has a dorsal (sensory) root and a ventral (motor) root.</w:t>
      </w:r>
    </w:p>
    <w:p w14:paraId="196EAFE1" w14:textId="77777777" w:rsidR="005B69DE" w:rsidRDefault="00000000">
      <w:pPr>
        <w:pStyle w:val="Heading2"/>
      </w:pPr>
      <w:r>
        <w:t>2.4 Cellular Components</w:t>
      </w:r>
    </w:p>
    <w:p w14:paraId="465DF778" w14:textId="77777777" w:rsidR="005B69DE" w:rsidRDefault="00000000">
      <w:pPr>
        <w:spacing w:after="120" w:line="300" w:lineRule="auto"/>
        <w:jc w:val="both"/>
      </w:pPr>
      <w:r>
        <w:lastRenderedPageBreak/>
        <w:t>The CNS is composed of two principal cell types: neurons, which generate and transmit electrical signals, and glial cells, which support, protect, and insulate neurons.</w:t>
      </w:r>
    </w:p>
    <w:p w14:paraId="1DEBA14B" w14:textId="77777777" w:rsidR="005B69DE" w:rsidRDefault="00000000">
      <w:pPr>
        <w:pStyle w:val="Heading3"/>
      </w:pPr>
      <w:r>
        <w:t>Glial Cells of the CNS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B69DE" w14:paraId="1A2D4365" w14:textId="77777777">
        <w:tblPrEx>
          <w:tblCellMar>
            <w:top w:w="0" w:type="dxa"/>
            <w:bottom w:w="0" w:type="dxa"/>
          </w:tblCellMar>
        </w:tblPrEx>
        <w:trPr>
          <w:tblHeader/>
        </w:trPr>
        <w:tc>
          <w:tcPr>
            <w:tcW w:w="2400" w:type="dxa"/>
            <w:tcBorders>
              <w:top w:val="single" w:sz="4" w:space="0" w:color="B8B8B8"/>
              <w:left w:val="single" w:sz="4" w:space="0" w:color="B8B8B8"/>
              <w:bottom w:val="single" w:sz="4" w:space="0" w:color="B8B8B8"/>
              <w:right w:val="single" w:sz="4" w:space="0" w:color="B8B8B8"/>
            </w:tcBorders>
            <w:shd w:val="clear" w:color="auto" w:fill="2E5984"/>
            <w:tcMar>
              <w:top w:w="100" w:type="dxa"/>
              <w:left w:w="140" w:type="dxa"/>
              <w:bottom w:w="100" w:type="dxa"/>
              <w:right w:w="140" w:type="dxa"/>
            </w:tcMar>
          </w:tcPr>
          <w:p w14:paraId="739786E5" w14:textId="77777777" w:rsidR="005B69DE" w:rsidRDefault="00000000">
            <w:r>
              <w:rPr>
                <w:b/>
                <w:bCs/>
                <w:color w:val="FFFFFF"/>
              </w:rPr>
              <w:t>Cell Type</w:t>
            </w:r>
          </w:p>
        </w:tc>
        <w:tc>
          <w:tcPr>
            <w:tcW w:w="6960" w:type="dxa"/>
            <w:tcBorders>
              <w:top w:val="single" w:sz="4" w:space="0" w:color="B8B8B8"/>
              <w:left w:val="single" w:sz="4" w:space="0" w:color="B8B8B8"/>
              <w:bottom w:val="single" w:sz="4" w:space="0" w:color="B8B8B8"/>
              <w:right w:val="single" w:sz="4" w:space="0" w:color="B8B8B8"/>
            </w:tcBorders>
            <w:shd w:val="clear" w:color="auto" w:fill="2E5984"/>
            <w:tcMar>
              <w:top w:w="100" w:type="dxa"/>
              <w:left w:w="140" w:type="dxa"/>
              <w:bottom w:w="100" w:type="dxa"/>
              <w:right w:w="140" w:type="dxa"/>
            </w:tcMar>
          </w:tcPr>
          <w:p w14:paraId="171EF86E" w14:textId="77777777" w:rsidR="005B69DE" w:rsidRDefault="00000000">
            <w:r>
              <w:rPr>
                <w:b/>
                <w:bCs/>
                <w:color w:val="FFFFFF"/>
              </w:rPr>
              <w:t>Function</w:t>
            </w:r>
          </w:p>
        </w:tc>
      </w:tr>
      <w:tr w:rsidR="005B69DE" w14:paraId="281635D7" w14:textId="77777777">
        <w:tblPrEx>
          <w:tblCellMar>
            <w:top w:w="0" w:type="dxa"/>
            <w:bottom w:w="0" w:type="dxa"/>
          </w:tblCellMar>
        </w:tblPrEx>
        <w:tc>
          <w:tcPr>
            <w:tcW w:w="2400" w:type="dxa"/>
            <w:tcBorders>
              <w:top w:val="single" w:sz="4" w:space="0" w:color="B8B8B8"/>
              <w:left w:val="single" w:sz="4" w:space="0" w:color="B8B8B8"/>
              <w:bottom w:val="single" w:sz="4" w:space="0" w:color="B8B8B8"/>
              <w:right w:val="single" w:sz="4" w:space="0" w:color="B8B8B8"/>
            </w:tcBorders>
            <w:shd w:val="clear" w:color="auto" w:fill="F2F2F2"/>
            <w:tcMar>
              <w:top w:w="100" w:type="dxa"/>
              <w:left w:w="140" w:type="dxa"/>
              <w:bottom w:w="100" w:type="dxa"/>
              <w:right w:w="140" w:type="dxa"/>
            </w:tcMar>
          </w:tcPr>
          <w:p w14:paraId="557F2C58" w14:textId="77777777" w:rsidR="005B69DE" w:rsidRDefault="00000000">
            <w:pPr>
              <w:spacing w:line="260" w:lineRule="auto"/>
            </w:pPr>
            <w:r>
              <w:t>Astrocytes</w:t>
            </w:r>
          </w:p>
        </w:tc>
        <w:tc>
          <w:tcPr>
            <w:tcW w:w="6960" w:type="dxa"/>
            <w:tcBorders>
              <w:top w:val="single" w:sz="4" w:space="0" w:color="B8B8B8"/>
              <w:left w:val="single" w:sz="4" w:space="0" w:color="B8B8B8"/>
              <w:bottom w:val="single" w:sz="4" w:space="0" w:color="B8B8B8"/>
              <w:right w:val="single" w:sz="4" w:space="0" w:color="B8B8B8"/>
            </w:tcBorders>
            <w:shd w:val="clear" w:color="auto" w:fill="F2F2F2"/>
            <w:tcMar>
              <w:top w:w="100" w:type="dxa"/>
              <w:left w:w="140" w:type="dxa"/>
              <w:bottom w:w="100" w:type="dxa"/>
              <w:right w:w="140" w:type="dxa"/>
            </w:tcMar>
          </w:tcPr>
          <w:p w14:paraId="0AD4FDB8" w14:textId="77777777" w:rsidR="005B69DE" w:rsidRDefault="00000000">
            <w:pPr>
              <w:spacing w:line="260" w:lineRule="auto"/>
            </w:pPr>
            <w:r>
              <w:t>Maintain the blood–brain barrier, regulate extracellular ion concentrations, provide metabolic support, and modulate synaptic transmission.</w:t>
            </w:r>
          </w:p>
        </w:tc>
      </w:tr>
      <w:tr w:rsidR="005B69DE" w14:paraId="6B1979D7" w14:textId="77777777">
        <w:tblPrEx>
          <w:tblCellMar>
            <w:top w:w="0" w:type="dxa"/>
            <w:bottom w:w="0" w:type="dxa"/>
          </w:tblCellMar>
        </w:tblPrEx>
        <w:tc>
          <w:tcPr>
            <w:tcW w:w="24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771C4335" w14:textId="77777777" w:rsidR="005B69DE" w:rsidRDefault="00000000">
            <w:pPr>
              <w:spacing w:line="260" w:lineRule="auto"/>
            </w:pPr>
            <w:r>
              <w:t>Oligodendrocytes</w:t>
            </w:r>
          </w:p>
        </w:tc>
        <w:tc>
          <w:tcPr>
            <w:tcW w:w="696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124B3ABF" w14:textId="77777777" w:rsidR="005B69DE" w:rsidRDefault="00000000">
            <w:pPr>
              <w:spacing w:line="260" w:lineRule="auto"/>
            </w:pPr>
            <w:r>
              <w:t>Produce myelin sheaths that insulate axons in the CNS, enabling rapid electrical conduction.</w:t>
            </w:r>
          </w:p>
        </w:tc>
      </w:tr>
      <w:tr w:rsidR="005B69DE" w14:paraId="5E1794B1" w14:textId="77777777">
        <w:tblPrEx>
          <w:tblCellMar>
            <w:top w:w="0" w:type="dxa"/>
            <w:bottom w:w="0" w:type="dxa"/>
          </w:tblCellMar>
        </w:tblPrEx>
        <w:tc>
          <w:tcPr>
            <w:tcW w:w="2400" w:type="dxa"/>
            <w:tcBorders>
              <w:top w:val="single" w:sz="4" w:space="0" w:color="B8B8B8"/>
              <w:left w:val="single" w:sz="4" w:space="0" w:color="B8B8B8"/>
              <w:bottom w:val="single" w:sz="4" w:space="0" w:color="B8B8B8"/>
              <w:right w:val="single" w:sz="4" w:space="0" w:color="B8B8B8"/>
            </w:tcBorders>
            <w:shd w:val="clear" w:color="auto" w:fill="F2F2F2"/>
            <w:tcMar>
              <w:top w:w="100" w:type="dxa"/>
              <w:left w:w="140" w:type="dxa"/>
              <w:bottom w:w="100" w:type="dxa"/>
              <w:right w:w="140" w:type="dxa"/>
            </w:tcMar>
          </w:tcPr>
          <w:p w14:paraId="4B641FBF" w14:textId="77777777" w:rsidR="005B69DE" w:rsidRDefault="00000000">
            <w:pPr>
              <w:spacing w:line="260" w:lineRule="auto"/>
            </w:pPr>
            <w:r>
              <w:t>Microglia</w:t>
            </w:r>
          </w:p>
        </w:tc>
        <w:tc>
          <w:tcPr>
            <w:tcW w:w="6960" w:type="dxa"/>
            <w:tcBorders>
              <w:top w:val="single" w:sz="4" w:space="0" w:color="B8B8B8"/>
              <w:left w:val="single" w:sz="4" w:space="0" w:color="B8B8B8"/>
              <w:bottom w:val="single" w:sz="4" w:space="0" w:color="B8B8B8"/>
              <w:right w:val="single" w:sz="4" w:space="0" w:color="B8B8B8"/>
            </w:tcBorders>
            <w:shd w:val="clear" w:color="auto" w:fill="F2F2F2"/>
            <w:tcMar>
              <w:top w:w="100" w:type="dxa"/>
              <w:left w:w="140" w:type="dxa"/>
              <w:bottom w:w="100" w:type="dxa"/>
              <w:right w:w="140" w:type="dxa"/>
            </w:tcMar>
          </w:tcPr>
          <w:p w14:paraId="5B22B8C7" w14:textId="77777777" w:rsidR="005B69DE" w:rsidRDefault="00000000">
            <w:pPr>
              <w:spacing w:line="260" w:lineRule="auto"/>
            </w:pPr>
            <w:r>
              <w:t>The resident immune cells of the CNS. They phagocytize debris, respond to injury, and participate in synaptic pruning.</w:t>
            </w:r>
          </w:p>
        </w:tc>
      </w:tr>
      <w:tr w:rsidR="005B69DE" w14:paraId="64C49D13" w14:textId="77777777">
        <w:tblPrEx>
          <w:tblCellMar>
            <w:top w:w="0" w:type="dxa"/>
            <w:bottom w:w="0" w:type="dxa"/>
          </w:tblCellMar>
        </w:tblPrEx>
        <w:tc>
          <w:tcPr>
            <w:tcW w:w="24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49B02171" w14:textId="77777777" w:rsidR="005B69DE" w:rsidRDefault="00000000">
            <w:pPr>
              <w:spacing w:line="260" w:lineRule="auto"/>
            </w:pPr>
            <w:r>
              <w:t>Ependymal cells</w:t>
            </w:r>
          </w:p>
        </w:tc>
        <w:tc>
          <w:tcPr>
            <w:tcW w:w="696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04FFCF69" w14:textId="77777777" w:rsidR="005B69DE" w:rsidRDefault="00000000">
            <w:pPr>
              <w:spacing w:line="260" w:lineRule="auto"/>
            </w:pPr>
            <w:r>
              <w:t>Line the ventricles and central canal, producing and circulating cerebrospinal fluid.</w:t>
            </w:r>
          </w:p>
        </w:tc>
      </w:tr>
    </w:tbl>
    <w:p w14:paraId="65CAC900" w14:textId="77777777" w:rsidR="005B69DE" w:rsidRDefault="005B69DE">
      <w:pPr>
        <w:spacing w:after="100"/>
      </w:pPr>
    </w:p>
    <w:p w14:paraId="2F8E02CE" w14:textId="77777777" w:rsidR="005B69DE" w:rsidRDefault="00000000">
      <w:pPr>
        <w:pStyle w:val="Heading2"/>
      </w:pPr>
      <w:r>
        <w:t>2.5 Functions and Clinical Significance</w:t>
      </w:r>
    </w:p>
    <w:p w14:paraId="760E71B3" w14:textId="77777777" w:rsidR="005B69DE" w:rsidRDefault="00000000">
      <w:pPr>
        <w:spacing w:after="120" w:line="300" w:lineRule="auto"/>
        <w:jc w:val="both"/>
      </w:pPr>
      <w:r>
        <w:t>The CNS integrates virtually every function of the body. It enables conscious perception, thought, memory, emotion, and language; initiates and coordinates voluntary movement; regulates autonomic functions via the brainstem and hypothalamus; and controls reflexes through the spinal cord.</w:t>
      </w:r>
    </w:p>
    <w:p w14:paraId="232CCA34" w14:textId="77777777" w:rsidR="005B69DE" w:rsidRDefault="00000000">
      <w:pPr>
        <w:spacing w:after="120" w:line="300" w:lineRule="auto"/>
        <w:jc w:val="both"/>
      </w:pPr>
      <w:r>
        <w:t>Common clinical conditions affecting the CNS include:</w:t>
      </w:r>
    </w:p>
    <w:p w14:paraId="0855EF35" w14:textId="77777777" w:rsidR="005B69DE" w:rsidRDefault="00000000">
      <w:pPr>
        <w:pStyle w:val="ListParagraph"/>
        <w:numPr>
          <w:ilvl w:val="0"/>
          <w:numId w:val="2"/>
        </w:numPr>
        <w:spacing w:after="80" w:line="280" w:lineRule="auto"/>
      </w:pPr>
      <w:r>
        <w:rPr>
          <w:b/>
          <w:bCs/>
        </w:rPr>
        <w:t xml:space="preserve">Stroke: </w:t>
      </w:r>
      <w:r>
        <w:t>Interruption of blood flow to part of the brain, causing rapid loss of function in the affected region.</w:t>
      </w:r>
    </w:p>
    <w:p w14:paraId="63C66E36" w14:textId="77777777" w:rsidR="005B69DE" w:rsidRDefault="00000000">
      <w:pPr>
        <w:pStyle w:val="ListParagraph"/>
        <w:numPr>
          <w:ilvl w:val="0"/>
          <w:numId w:val="2"/>
        </w:numPr>
        <w:spacing w:after="80" w:line="280" w:lineRule="auto"/>
      </w:pPr>
      <w:r>
        <w:rPr>
          <w:b/>
          <w:bCs/>
        </w:rPr>
        <w:t xml:space="preserve">Multiple sclerosis (MS): </w:t>
      </w:r>
      <w:r>
        <w:t>An autoimmune disease in which the immune system attacks CNS myelin, disrupting signal conduction.</w:t>
      </w:r>
    </w:p>
    <w:p w14:paraId="4E7F0307" w14:textId="77777777" w:rsidR="005B69DE" w:rsidRDefault="00000000">
      <w:pPr>
        <w:pStyle w:val="ListParagraph"/>
        <w:numPr>
          <w:ilvl w:val="0"/>
          <w:numId w:val="2"/>
        </w:numPr>
        <w:spacing w:after="80" w:line="280" w:lineRule="auto"/>
      </w:pPr>
      <w:r>
        <w:rPr>
          <w:b/>
          <w:bCs/>
        </w:rPr>
        <w:t xml:space="preserve">Parkinson's disease: </w:t>
      </w:r>
      <w:r>
        <w:t>Progressive degeneration of dopaminergic neurons in the substantia nigra, leading to tremor, rigidity, and bradykinesia.</w:t>
      </w:r>
    </w:p>
    <w:p w14:paraId="79A41595" w14:textId="77777777" w:rsidR="005B69DE" w:rsidRDefault="00000000">
      <w:pPr>
        <w:pStyle w:val="ListParagraph"/>
        <w:numPr>
          <w:ilvl w:val="0"/>
          <w:numId w:val="2"/>
        </w:numPr>
        <w:spacing w:after="80" w:line="280" w:lineRule="auto"/>
      </w:pPr>
      <w:r>
        <w:rPr>
          <w:b/>
          <w:bCs/>
        </w:rPr>
        <w:t xml:space="preserve">Alzheimer's disease: </w:t>
      </w:r>
      <w:r>
        <w:t>A neurodegenerative disorder characterized by amyloid plaques, neurofibrillary tangles, and progressive memory loss.</w:t>
      </w:r>
    </w:p>
    <w:p w14:paraId="26DCE081" w14:textId="77777777" w:rsidR="005B69DE" w:rsidRDefault="00000000">
      <w:pPr>
        <w:pStyle w:val="ListParagraph"/>
        <w:numPr>
          <w:ilvl w:val="0"/>
          <w:numId w:val="2"/>
        </w:numPr>
        <w:spacing w:after="80" w:line="280" w:lineRule="auto"/>
      </w:pPr>
      <w:r>
        <w:rPr>
          <w:b/>
          <w:bCs/>
        </w:rPr>
        <w:t xml:space="preserve">Spinal cord injury: </w:t>
      </w:r>
      <w:r>
        <w:t>Trauma to the spinal cord that can cause partial or complete loss of motor and sensory function below the level of injury.</w:t>
      </w:r>
    </w:p>
    <w:p w14:paraId="029D7395" w14:textId="77777777" w:rsidR="005B69DE" w:rsidRDefault="00000000">
      <w:r>
        <w:br w:type="page"/>
      </w:r>
    </w:p>
    <w:p w14:paraId="6D67CFE0" w14:textId="77777777" w:rsidR="005B69DE" w:rsidRDefault="00000000">
      <w:pPr>
        <w:pStyle w:val="Heading1"/>
      </w:pPr>
      <w:r>
        <w:lastRenderedPageBreak/>
        <w:t>3. The Peripheral Nervous System (PNS)</w:t>
      </w:r>
    </w:p>
    <w:p w14:paraId="429EBFC9" w14:textId="77777777" w:rsidR="005B69DE" w:rsidRDefault="00000000">
      <w:pPr>
        <w:pStyle w:val="Heading2"/>
      </w:pPr>
      <w:r>
        <w:t>3.1 Overview and Organization</w:t>
      </w:r>
    </w:p>
    <w:p w14:paraId="5F3052B7" w14:textId="77777777" w:rsidR="005B69DE" w:rsidRDefault="00000000">
      <w:pPr>
        <w:spacing w:after="120" w:line="300" w:lineRule="auto"/>
        <w:jc w:val="both"/>
      </w:pPr>
      <w:r>
        <w:t>The peripheral nervous system comprises all the neural elements that lie outside the brain and spinal cord. It consists of nerves, ganglia (clusters of neuron cell bodies), and sensory receptors, and it serves as the communication network linking the CNS to the limbs, organs, skin, and glands.</w:t>
      </w:r>
    </w:p>
    <w:p w14:paraId="5BE2285F" w14:textId="77777777" w:rsidR="005B69DE" w:rsidRDefault="00000000">
      <w:pPr>
        <w:spacing w:after="120" w:line="300" w:lineRule="auto"/>
        <w:jc w:val="both"/>
      </w:pPr>
      <w:r>
        <w:t>The PNS is functionally divided into two major branches:</w:t>
      </w:r>
    </w:p>
    <w:p w14:paraId="0E33A1F3" w14:textId="77777777" w:rsidR="005B69DE" w:rsidRDefault="00000000">
      <w:pPr>
        <w:pStyle w:val="ListParagraph"/>
        <w:numPr>
          <w:ilvl w:val="0"/>
          <w:numId w:val="2"/>
        </w:numPr>
        <w:spacing w:after="80" w:line="280" w:lineRule="auto"/>
      </w:pPr>
      <w:r>
        <w:rPr>
          <w:b/>
          <w:bCs/>
        </w:rPr>
        <w:t xml:space="preserve">Somatic nervous system: </w:t>
      </w:r>
      <w:r>
        <w:t>Mediates voluntary control of skeletal muscles and conveys sensory information from skin, joints, and muscles.</w:t>
      </w:r>
    </w:p>
    <w:p w14:paraId="6DD8AE28" w14:textId="77777777" w:rsidR="005B69DE" w:rsidRDefault="00000000">
      <w:pPr>
        <w:pStyle w:val="ListParagraph"/>
        <w:numPr>
          <w:ilvl w:val="0"/>
          <w:numId w:val="2"/>
        </w:numPr>
        <w:spacing w:after="80" w:line="280" w:lineRule="auto"/>
      </w:pPr>
      <w:r>
        <w:rPr>
          <w:b/>
          <w:bCs/>
        </w:rPr>
        <w:t xml:space="preserve">Autonomic nervous system: </w:t>
      </w:r>
      <w:r>
        <w:t>Controls involuntary functions of smooth muscle, cardiac muscle, and glands. It is further subdivided into the sympathetic, parasympathetic, and (in many classifications) enteric divisions.</w:t>
      </w:r>
    </w:p>
    <w:p w14:paraId="2C9E2E4B" w14:textId="77777777" w:rsidR="005B69DE" w:rsidRDefault="00000000">
      <w:pPr>
        <w:pStyle w:val="Heading2"/>
      </w:pPr>
      <w:r>
        <w:t>3.2 The Somatic Nervous System</w:t>
      </w:r>
    </w:p>
    <w:p w14:paraId="4B62AD2A" w14:textId="77777777" w:rsidR="005B69DE" w:rsidRDefault="00000000">
      <w:pPr>
        <w:spacing w:after="120" w:line="300" w:lineRule="auto"/>
        <w:jc w:val="both"/>
      </w:pPr>
      <w:r>
        <w:t>The somatic nervous system handles conscious, voluntary interactions with the environment. It consists of:</w:t>
      </w:r>
    </w:p>
    <w:p w14:paraId="239A0DC2" w14:textId="77777777" w:rsidR="005B69DE" w:rsidRDefault="00000000">
      <w:pPr>
        <w:pStyle w:val="ListParagraph"/>
        <w:numPr>
          <w:ilvl w:val="0"/>
          <w:numId w:val="2"/>
        </w:numPr>
        <w:spacing w:after="80" w:line="280" w:lineRule="auto"/>
      </w:pPr>
      <w:r>
        <w:rPr>
          <w:b/>
          <w:bCs/>
        </w:rPr>
        <w:t xml:space="preserve">Afferent (sensory) fibers: </w:t>
      </w:r>
      <w:r>
        <w:t>Carry signals from sensory receptors in the skin, muscles, and joints to the CNS. These signals convey touch, pressure, temperature, pain, and proprioception (awareness of body position).</w:t>
      </w:r>
    </w:p>
    <w:p w14:paraId="680E9BB9" w14:textId="77777777" w:rsidR="005B69DE" w:rsidRDefault="00000000">
      <w:pPr>
        <w:pStyle w:val="ListParagraph"/>
        <w:numPr>
          <w:ilvl w:val="0"/>
          <w:numId w:val="2"/>
        </w:numPr>
        <w:spacing w:after="80" w:line="280" w:lineRule="auto"/>
      </w:pPr>
      <w:r>
        <w:rPr>
          <w:b/>
          <w:bCs/>
        </w:rPr>
        <w:t xml:space="preserve">Efferent (motor) fibers: </w:t>
      </w:r>
      <w:r>
        <w:t>Carry signals from the CNS to skeletal muscles, initiating voluntary movements. Somatic motor neurons release acetylcholine at the neuromuscular junction.</w:t>
      </w:r>
    </w:p>
    <w:p w14:paraId="1378F6A8" w14:textId="77777777" w:rsidR="005B69DE" w:rsidRDefault="00000000">
      <w:pPr>
        <w:pStyle w:val="Heading2"/>
      </w:pPr>
      <w:r>
        <w:t>3.3 The Autonomic Nervous System</w:t>
      </w:r>
    </w:p>
    <w:p w14:paraId="229B3478" w14:textId="77777777" w:rsidR="005B69DE" w:rsidRDefault="00000000">
      <w:pPr>
        <w:spacing w:after="120" w:line="300" w:lineRule="auto"/>
        <w:jc w:val="both"/>
      </w:pPr>
      <w:r>
        <w:t>The autonomic nervous system (ANS) operates largely below conscious awareness to maintain homeostasis. Unlike the somatic system, autonomic motor pathways typically involve two neurons in series: a preganglionic neuron in the CNS and a postganglionic neuron in a peripheral ganglion.</w:t>
      </w:r>
    </w:p>
    <w:p w14:paraId="3738A43B" w14:textId="77777777" w:rsidR="005B69DE" w:rsidRDefault="00000000">
      <w:pPr>
        <w:pStyle w:val="Heading3"/>
      </w:pPr>
      <w:r>
        <w:t>Sympathetic Division ('Fight or Flight')</w:t>
      </w:r>
    </w:p>
    <w:p w14:paraId="13012D99" w14:textId="77777777" w:rsidR="005B69DE" w:rsidRDefault="00000000">
      <w:pPr>
        <w:spacing w:after="120" w:line="300" w:lineRule="auto"/>
        <w:jc w:val="both"/>
      </w:pPr>
      <w:r>
        <w:t>The sympathetic division mobilizes the body for action during stress, exercise, or perceived threat. Preganglionic neurons arise from the thoracic and lumbar regions of the spinal cord (T1–L2), giving rise to the name 'thoracolumbar outflow.' Most postganglionic neurons release norepinephrine.</w:t>
      </w:r>
    </w:p>
    <w:p w14:paraId="2F3F08F8" w14:textId="77777777" w:rsidR="005B69DE" w:rsidRDefault="00000000">
      <w:pPr>
        <w:spacing w:after="120" w:line="300" w:lineRule="auto"/>
        <w:jc w:val="both"/>
      </w:pPr>
      <w:r>
        <w:t>Typical sympathetic effects include:</w:t>
      </w:r>
    </w:p>
    <w:p w14:paraId="2047E963" w14:textId="77777777" w:rsidR="005B69DE" w:rsidRDefault="00000000">
      <w:pPr>
        <w:pStyle w:val="ListParagraph"/>
        <w:numPr>
          <w:ilvl w:val="0"/>
          <w:numId w:val="2"/>
        </w:numPr>
        <w:spacing w:after="80" w:line="280" w:lineRule="auto"/>
      </w:pPr>
      <w:r>
        <w:t>Increased heart rate and force of contraction</w:t>
      </w:r>
    </w:p>
    <w:p w14:paraId="01D145E6" w14:textId="77777777" w:rsidR="005B69DE" w:rsidRDefault="00000000">
      <w:pPr>
        <w:pStyle w:val="ListParagraph"/>
        <w:numPr>
          <w:ilvl w:val="0"/>
          <w:numId w:val="2"/>
        </w:numPr>
        <w:spacing w:after="80" w:line="280" w:lineRule="auto"/>
      </w:pPr>
      <w:r>
        <w:t>Dilation of the bronchi to increase airflow</w:t>
      </w:r>
    </w:p>
    <w:p w14:paraId="54732E3E" w14:textId="77777777" w:rsidR="005B69DE" w:rsidRDefault="00000000">
      <w:pPr>
        <w:pStyle w:val="ListParagraph"/>
        <w:numPr>
          <w:ilvl w:val="0"/>
          <w:numId w:val="2"/>
        </w:numPr>
        <w:spacing w:after="80" w:line="280" w:lineRule="auto"/>
      </w:pPr>
      <w:r>
        <w:t>Pupil dilation (mydriasis)</w:t>
      </w:r>
    </w:p>
    <w:p w14:paraId="61C1E860" w14:textId="77777777" w:rsidR="005B69DE" w:rsidRDefault="00000000">
      <w:pPr>
        <w:pStyle w:val="ListParagraph"/>
        <w:numPr>
          <w:ilvl w:val="0"/>
          <w:numId w:val="2"/>
        </w:numPr>
        <w:spacing w:after="80" w:line="280" w:lineRule="auto"/>
      </w:pPr>
      <w:r>
        <w:lastRenderedPageBreak/>
        <w:t>Inhibition of digestion</w:t>
      </w:r>
    </w:p>
    <w:p w14:paraId="66FC9246" w14:textId="77777777" w:rsidR="005B69DE" w:rsidRDefault="00000000">
      <w:pPr>
        <w:pStyle w:val="ListParagraph"/>
        <w:numPr>
          <w:ilvl w:val="0"/>
          <w:numId w:val="2"/>
        </w:numPr>
        <w:spacing w:after="80" w:line="280" w:lineRule="auto"/>
      </w:pPr>
      <w:r>
        <w:t>Release of glucose from the liver</w:t>
      </w:r>
    </w:p>
    <w:p w14:paraId="02847AC0" w14:textId="77777777" w:rsidR="005B69DE" w:rsidRDefault="00000000">
      <w:pPr>
        <w:pStyle w:val="ListParagraph"/>
        <w:numPr>
          <w:ilvl w:val="0"/>
          <w:numId w:val="2"/>
        </w:numPr>
        <w:spacing w:after="80" w:line="280" w:lineRule="auto"/>
      </w:pPr>
      <w:r>
        <w:t>Sweating and redirection of blood flow to skeletal muscles</w:t>
      </w:r>
    </w:p>
    <w:p w14:paraId="2F65B9C5" w14:textId="77777777" w:rsidR="005B69DE" w:rsidRDefault="00000000">
      <w:pPr>
        <w:pStyle w:val="Heading3"/>
      </w:pPr>
      <w:r>
        <w:t>Parasympathetic Division ('Rest and Digest')</w:t>
      </w:r>
    </w:p>
    <w:p w14:paraId="6C947FE0" w14:textId="77777777" w:rsidR="005B69DE" w:rsidRDefault="00000000">
      <w:pPr>
        <w:spacing w:after="120" w:line="300" w:lineRule="auto"/>
        <w:jc w:val="both"/>
      </w:pPr>
      <w:r>
        <w:t>The parasympathetic division promotes maintenance activities and conserves energy. Preganglionic neurons originate in the brainstem (via cranial nerves III, VII, IX, and X) and the sacral spinal cord (S2–S4), giving rise to the term 'craniosacral outflow.' Postganglionic neurons release acetylcholine.</w:t>
      </w:r>
    </w:p>
    <w:p w14:paraId="17FAA5E5" w14:textId="77777777" w:rsidR="005B69DE" w:rsidRDefault="00000000">
      <w:pPr>
        <w:spacing w:after="120" w:line="300" w:lineRule="auto"/>
        <w:jc w:val="both"/>
      </w:pPr>
      <w:r>
        <w:t>Typical parasympathetic effects include:</w:t>
      </w:r>
    </w:p>
    <w:p w14:paraId="05BAFCDD" w14:textId="77777777" w:rsidR="005B69DE" w:rsidRDefault="00000000">
      <w:pPr>
        <w:pStyle w:val="ListParagraph"/>
        <w:numPr>
          <w:ilvl w:val="0"/>
          <w:numId w:val="2"/>
        </w:numPr>
        <w:spacing w:after="80" w:line="280" w:lineRule="auto"/>
      </w:pPr>
      <w:r>
        <w:t>Decreased heart rate</w:t>
      </w:r>
    </w:p>
    <w:p w14:paraId="71836660" w14:textId="77777777" w:rsidR="005B69DE" w:rsidRDefault="00000000">
      <w:pPr>
        <w:pStyle w:val="ListParagraph"/>
        <w:numPr>
          <w:ilvl w:val="0"/>
          <w:numId w:val="2"/>
        </w:numPr>
        <w:spacing w:after="80" w:line="280" w:lineRule="auto"/>
      </w:pPr>
      <w:r>
        <w:t>Constriction of the bronchi</w:t>
      </w:r>
    </w:p>
    <w:p w14:paraId="58FB64A3" w14:textId="77777777" w:rsidR="005B69DE" w:rsidRDefault="00000000">
      <w:pPr>
        <w:pStyle w:val="ListParagraph"/>
        <w:numPr>
          <w:ilvl w:val="0"/>
          <w:numId w:val="2"/>
        </w:numPr>
        <w:spacing w:after="80" w:line="280" w:lineRule="auto"/>
      </w:pPr>
      <w:r>
        <w:t>Pupil constriction (miosis)</w:t>
      </w:r>
    </w:p>
    <w:p w14:paraId="3F50B37B" w14:textId="77777777" w:rsidR="005B69DE" w:rsidRDefault="00000000">
      <w:pPr>
        <w:pStyle w:val="ListParagraph"/>
        <w:numPr>
          <w:ilvl w:val="0"/>
          <w:numId w:val="2"/>
        </w:numPr>
        <w:spacing w:after="80" w:line="280" w:lineRule="auto"/>
      </w:pPr>
      <w:r>
        <w:t>Stimulation of digestion and salivation</w:t>
      </w:r>
    </w:p>
    <w:p w14:paraId="16024F9A" w14:textId="77777777" w:rsidR="005B69DE" w:rsidRDefault="00000000">
      <w:pPr>
        <w:pStyle w:val="ListParagraph"/>
        <w:numPr>
          <w:ilvl w:val="0"/>
          <w:numId w:val="2"/>
        </w:numPr>
        <w:spacing w:after="80" w:line="280" w:lineRule="auto"/>
      </w:pPr>
      <w:r>
        <w:t>Increased urinary and bowel activity</w:t>
      </w:r>
    </w:p>
    <w:p w14:paraId="71B47938" w14:textId="77777777" w:rsidR="005B69DE" w:rsidRDefault="00000000">
      <w:pPr>
        <w:pStyle w:val="Heading3"/>
      </w:pPr>
      <w:r>
        <w:t>Sympathetic vs. Parasympathetic Effects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80"/>
        <w:gridCol w:w="3380"/>
      </w:tblGrid>
      <w:tr w:rsidR="005B69DE" w14:paraId="4B603EF7" w14:textId="77777777">
        <w:tblPrEx>
          <w:tblCellMar>
            <w:top w:w="0" w:type="dxa"/>
            <w:bottom w:w="0" w:type="dxa"/>
          </w:tblCellMar>
        </w:tblPrEx>
        <w:trPr>
          <w:tblHeader/>
        </w:trPr>
        <w:tc>
          <w:tcPr>
            <w:tcW w:w="2600" w:type="dxa"/>
            <w:tcBorders>
              <w:top w:val="single" w:sz="4" w:space="0" w:color="B8B8B8"/>
              <w:left w:val="single" w:sz="4" w:space="0" w:color="B8B8B8"/>
              <w:bottom w:val="single" w:sz="4" w:space="0" w:color="B8B8B8"/>
              <w:right w:val="single" w:sz="4" w:space="0" w:color="B8B8B8"/>
            </w:tcBorders>
            <w:shd w:val="clear" w:color="auto" w:fill="2E5984"/>
            <w:tcMar>
              <w:top w:w="100" w:type="dxa"/>
              <w:left w:w="140" w:type="dxa"/>
              <w:bottom w:w="100" w:type="dxa"/>
              <w:right w:w="140" w:type="dxa"/>
            </w:tcMar>
          </w:tcPr>
          <w:p w14:paraId="339B54FA" w14:textId="77777777" w:rsidR="005B69DE" w:rsidRDefault="00000000">
            <w:r>
              <w:rPr>
                <w:b/>
                <w:bCs/>
                <w:color w:val="FFFFFF"/>
              </w:rPr>
              <w:t>Target Organ</w:t>
            </w:r>
          </w:p>
        </w:tc>
        <w:tc>
          <w:tcPr>
            <w:tcW w:w="3380" w:type="dxa"/>
            <w:tcBorders>
              <w:top w:val="single" w:sz="4" w:space="0" w:color="B8B8B8"/>
              <w:left w:val="single" w:sz="4" w:space="0" w:color="B8B8B8"/>
              <w:bottom w:val="single" w:sz="4" w:space="0" w:color="B8B8B8"/>
              <w:right w:val="single" w:sz="4" w:space="0" w:color="B8B8B8"/>
            </w:tcBorders>
            <w:shd w:val="clear" w:color="auto" w:fill="2E5984"/>
            <w:tcMar>
              <w:top w:w="100" w:type="dxa"/>
              <w:left w:w="140" w:type="dxa"/>
              <w:bottom w:w="100" w:type="dxa"/>
              <w:right w:w="140" w:type="dxa"/>
            </w:tcMar>
          </w:tcPr>
          <w:p w14:paraId="6917C96B" w14:textId="77777777" w:rsidR="005B69DE" w:rsidRDefault="00000000">
            <w:r>
              <w:rPr>
                <w:b/>
                <w:bCs/>
                <w:color w:val="FFFFFF"/>
              </w:rPr>
              <w:t>Sympathetic Effect</w:t>
            </w:r>
          </w:p>
        </w:tc>
        <w:tc>
          <w:tcPr>
            <w:tcW w:w="3380" w:type="dxa"/>
            <w:tcBorders>
              <w:top w:val="single" w:sz="4" w:space="0" w:color="B8B8B8"/>
              <w:left w:val="single" w:sz="4" w:space="0" w:color="B8B8B8"/>
              <w:bottom w:val="single" w:sz="4" w:space="0" w:color="B8B8B8"/>
              <w:right w:val="single" w:sz="4" w:space="0" w:color="B8B8B8"/>
            </w:tcBorders>
            <w:shd w:val="clear" w:color="auto" w:fill="2E5984"/>
            <w:tcMar>
              <w:top w:w="100" w:type="dxa"/>
              <w:left w:w="140" w:type="dxa"/>
              <w:bottom w:w="100" w:type="dxa"/>
              <w:right w:w="140" w:type="dxa"/>
            </w:tcMar>
          </w:tcPr>
          <w:p w14:paraId="5096FC77" w14:textId="77777777" w:rsidR="005B69DE" w:rsidRDefault="00000000">
            <w:r>
              <w:rPr>
                <w:b/>
                <w:bCs/>
                <w:color w:val="FFFFFF"/>
              </w:rPr>
              <w:t>Parasympathetic Effect</w:t>
            </w:r>
          </w:p>
        </w:tc>
      </w:tr>
      <w:tr w:rsidR="005B69DE" w14:paraId="55948594" w14:textId="77777777">
        <w:tblPrEx>
          <w:tblCellMar>
            <w:top w:w="0" w:type="dxa"/>
            <w:bottom w:w="0" w:type="dxa"/>
          </w:tblCellMar>
        </w:tblPrEx>
        <w:tc>
          <w:tcPr>
            <w:tcW w:w="2600" w:type="dxa"/>
            <w:tcBorders>
              <w:top w:val="single" w:sz="4" w:space="0" w:color="B8B8B8"/>
              <w:left w:val="single" w:sz="4" w:space="0" w:color="B8B8B8"/>
              <w:bottom w:val="single" w:sz="4" w:space="0" w:color="B8B8B8"/>
              <w:right w:val="single" w:sz="4" w:space="0" w:color="B8B8B8"/>
            </w:tcBorders>
            <w:shd w:val="clear" w:color="auto" w:fill="F2F2F2"/>
            <w:tcMar>
              <w:top w:w="100" w:type="dxa"/>
              <w:left w:w="140" w:type="dxa"/>
              <w:bottom w:w="100" w:type="dxa"/>
              <w:right w:w="140" w:type="dxa"/>
            </w:tcMar>
          </w:tcPr>
          <w:p w14:paraId="465C6C7C" w14:textId="77777777" w:rsidR="005B69DE" w:rsidRDefault="00000000">
            <w:pPr>
              <w:spacing w:line="260" w:lineRule="auto"/>
            </w:pPr>
            <w:r>
              <w:t>Heart</w:t>
            </w:r>
          </w:p>
        </w:tc>
        <w:tc>
          <w:tcPr>
            <w:tcW w:w="3380" w:type="dxa"/>
            <w:tcBorders>
              <w:top w:val="single" w:sz="4" w:space="0" w:color="B8B8B8"/>
              <w:left w:val="single" w:sz="4" w:space="0" w:color="B8B8B8"/>
              <w:bottom w:val="single" w:sz="4" w:space="0" w:color="B8B8B8"/>
              <w:right w:val="single" w:sz="4" w:space="0" w:color="B8B8B8"/>
            </w:tcBorders>
            <w:shd w:val="clear" w:color="auto" w:fill="F2F2F2"/>
            <w:tcMar>
              <w:top w:w="100" w:type="dxa"/>
              <w:left w:w="140" w:type="dxa"/>
              <w:bottom w:w="100" w:type="dxa"/>
              <w:right w:w="140" w:type="dxa"/>
            </w:tcMar>
          </w:tcPr>
          <w:p w14:paraId="62BABA52" w14:textId="77777777" w:rsidR="005B69DE" w:rsidRDefault="00000000">
            <w:pPr>
              <w:spacing w:line="260" w:lineRule="auto"/>
            </w:pPr>
            <w:r>
              <w:t>Increases rate and contractility</w:t>
            </w:r>
          </w:p>
        </w:tc>
        <w:tc>
          <w:tcPr>
            <w:tcW w:w="3380" w:type="dxa"/>
            <w:tcBorders>
              <w:top w:val="single" w:sz="4" w:space="0" w:color="B8B8B8"/>
              <w:left w:val="single" w:sz="4" w:space="0" w:color="B8B8B8"/>
              <w:bottom w:val="single" w:sz="4" w:space="0" w:color="B8B8B8"/>
              <w:right w:val="single" w:sz="4" w:space="0" w:color="B8B8B8"/>
            </w:tcBorders>
            <w:shd w:val="clear" w:color="auto" w:fill="F2F2F2"/>
            <w:tcMar>
              <w:top w:w="100" w:type="dxa"/>
              <w:left w:w="140" w:type="dxa"/>
              <w:bottom w:w="100" w:type="dxa"/>
              <w:right w:w="140" w:type="dxa"/>
            </w:tcMar>
          </w:tcPr>
          <w:p w14:paraId="308ABD7F" w14:textId="77777777" w:rsidR="005B69DE" w:rsidRDefault="00000000">
            <w:pPr>
              <w:spacing w:line="260" w:lineRule="auto"/>
            </w:pPr>
            <w:r>
              <w:t>Decreases rate</w:t>
            </w:r>
          </w:p>
        </w:tc>
      </w:tr>
      <w:tr w:rsidR="005B69DE" w14:paraId="3187C83C" w14:textId="77777777">
        <w:tblPrEx>
          <w:tblCellMar>
            <w:top w:w="0" w:type="dxa"/>
            <w:bottom w:w="0" w:type="dxa"/>
          </w:tblCellMar>
        </w:tblPrEx>
        <w:tc>
          <w:tcPr>
            <w:tcW w:w="26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3DD573CE" w14:textId="77777777" w:rsidR="005B69DE" w:rsidRDefault="00000000">
            <w:pPr>
              <w:spacing w:line="260" w:lineRule="auto"/>
            </w:pPr>
            <w:r>
              <w:t>Lungs (bronchi)</w:t>
            </w:r>
          </w:p>
        </w:tc>
        <w:tc>
          <w:tcPr>
            <w:tcW w:w="338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40C87509" w14:textId="77777777" w:rsidR="005B69DE" w:rsidRDefault="00000000">
            <w:pPr>
              <w:spacing w:line="260" w:lineRule="auto"/>
            </w:pPr>
            <w:r>
              <w:t>Dilates airways</w:t>
            </w:r>
          </w:p>
        </w:tc>
        <w:tc>
          <w:tcPr>
            <w:tcW w:w="338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653EB3E2" w14:textId="77777777" w:rsidR="005B69DE" w:rsidRDefault="00000000">
            <w:pPr>
              <w:spacing w:line="260" w:lineRule="auto"/>
            </w:pPr>
            <w:r>
              <w:t>Constricts airways</w:t>
            </w:r>
          </w:p>
        </w:tc>
      </w:tr>
      <w:tr w:rsidR="005B69DE" w14:paraId="52827A35" w14:textId="77777777">
        <w:tblPrEx>
          <w:tblCellMar>
            <w:top w:w="0" w:type="dxa"/>
            <w:bottom w:w="0" w:type="dxa"/>
          </w:tblCellMar>
        </w:tblPrEx>
        <w:tc>
          <w:tcPr>
            <w:tcW w:w="2600" w:type="dxa"/>
            <w:tcBorders>
              <w:top w:val="single" w:sz="4" w:space="0" w:color="B8B8B8"/>
              <w:left w:val="single" w:sz="4" w:space="0" w:color="B8B8B8"/>
              <w:bottom w:val="single" w:sz="4" w:space="0" w:color="B8B8B8"/>
              <w:right w:val="single" w:sz="4" w:space="0" w:color="B8B8B8"/>
            </w:tcBorders>
            <w:shd w:val="clear" w:color="auto" w:fill="F2F2F2"/>
            <w:tcMar>
              <w:top w:w="100" w:type="dxa"/>
              <w:left w:w="140" w:type="dxa"/>
              <w:bottom w:w="100" w:type="dxa"/>
              <w:right w:w="140" w:type="dxa"/>
            </w:tcMar>
          </w:tcPr>
          <w:p w14:paraId="41196530" w14:textId="77777777" w:rsidR="005B69DE" w:rsidRDefault="00000000">
            <w:pPr>
              <w:spacing w:line="260" w:lineRule="auto"/>
            </w:pPr>
            <w:r>
              <w:t>Pupils</w:t>
            </w:r>
          </w:p>
        </w:tc>
        <w:tc>
          <w:tcPr>
            <w:tcW w:w="3380" w:type="dxa"/>
            <w:tcBorders>
              <w:top w:val="single" w:sz="4" w:space="0" w:color="B8B8B8"/>
              <w:left w:val="single" w:sz="4" w:space="0" w:color="B8B8B8"/>
              <w:bottom w:val="single" w:sz="4" w:space="0" w:color="B8B8B8"/>
              <w:right w:val="single" w:sz="4" w:space="0" w:color="B8B8B8"/>
            </w:tcBorders>
            <w:shd w:val="clear" w:color="auto" w:fill="F2F2F2"/>
            <w:tcMar>
              <w:top w:w="100" w:type="dxa"/>
              <w:left w:w="140" w:type="dxa"/>
              <w:bottom w:w="100" w:type="dxa"/>
              <w:right w:w="140" w:type="dxa"/>
            </w:tcMar>
          </w:tcPr>
          <w:p w14:paraId="064BAF8B" w14:textId="77777777" w:rsidR="005B69DE" w:rsidRDefault="00000000">
            <w:pPr>
              <w:spacing w:line="260" w:lineRule="auto"/>
            </w:pPr>
            <w:r>
              <w:t>Dilates</w:t>
            </w:r>
          </w:p>
        </w:tc>
        <w:tc>
          <w:tcPr>
            <w:tcW w:w="3380" w:type="dxa"/>
            <w:tcBorders>
              <w:top w:val="single" w:sz="4" w:space="0" w:color="B8B8B8"/>
              <w:left w:val="single" w:sz="4" w:space="0" w:color="B8B8B8"/>
              <w:bottom w:val="single" w:sz="4" w:space="0" w:color="B8B8B8"/>
              <w:right w:val="single" w:sz="4" w:space="0" w:color="B8B8B8"/>
            </w:tcBorders>
            <w:shd w:val="clear" w:color="auto" w:fill="F2F2F2"/>
            <w:tcMar>
              <w:top w:w="100" w:type="dxa"/>
              <w:left w:w="140" w:type="dxa"/>
              <w:bottom w:w="100" w:type="dxa"/>
              <w:right w:w="140" w:type="dxa"/>
            </w:tcMar>
          </w:tcPr>
          <w:p w14:paraId="209A1774" w14:textId="77777777" w:rsidR="005B69DE" w:rsidRDefault="00000000">
            <w:pPr>
              <w:spacing w:line="260" w:lineRule="auto"/>
            </w:pPr>
            <w:r>
              <w:t>Constricts</w:t>
            </w:r>
          </w:p>
        </w:tc>
      </w:tr>
      <w:tr w:rsidR="005B69DE" w14:paraId="7B5060CA" w14:textId="77777777">
        <w:tblPrEx>
          <w:tblCellMar>
            <w:top w:w="0" w:type="dxa"/>
            <w:bottom w:w="0" w:type="dxa"/>
          </w:tblCellMar>
        </w:tblPrEx>
        <w:tc>
          <w:tcPr>
            <w:tcW w:w="26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72971E84" w14:textId="77777777" w:rsidR="005B69DE" w:rsidRDefault="00000000">
            <w:pPr>
              <w:spacing w:line="260" w:lineRule="auto"/>
            </w:pPr>
            <w:r>
              <w:t>Digestive tract</w:t>
            </w:r>
          </w:p>
        </w:tc>
        <w:tc>
          <w:tcPr>
            <w:tcW w:w="338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2A7A90EF" w14:textId="77777777" w:rsidR="005B69DE" w:rsidRDefault="00000000">
            <w:pPr>
              <w:spacing w:line="260" w:lineRule="auto"/>
            </w:pPr>
            <w:r>
              <w:t>Inhibits motility and secretion</w:t>
            </w:r>
          </w:p>
        </w:tc>
        <w:tc>
          <w:tcPr>
            <w:tcW w:w="338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3B16F8B7" w14:textId="77777777" w:rsidR="005B69DE" w:rsidRDefault="00000000">
            <w:pPr>
              <w:spacing w:line="260" w:lineRule="auto"/>
            </w:pPr>
            <w:r>
              <w:t>Stimulates motility and secretion</w:t>
            </w:r>
          </w:p>
        </w:tc>
      </w:tr>
      <w:tr w:rsidR="005B69DE" w14:paraId="0F267AB7" w14:textId="77777777">
        <w:tblPrEx>
          <w:tblCellMar>
            <w:top w:w="0" w:type="dxa"/>
            <w:bottom w:w="0" w:type="dxa"/>
          </w:tblCellMar>
        </w:tblPrEx>
        <w:tc>
          <w:tcPr>
            <w:tcW w:w="2600" w:type="dxa"/>
            <w:tcBorders>
              <w:top w:val="single" w:sz="4" w:space="0" w:color="B8B8B8"/>
              <w:left w:val="single" w:sz="4" w:space="0" w:color="B8B8B8"/>
              <w:bottom w:val="single" w:sz="4" w:space="0" w:color="B8B8B8"/>
              <w:right w:val="single" w:sz="4" w:space="0" w:color="B8B8B8"/>
            </w:tcBorders>
            <w:shd w:val="clear" w:color="auto" w:fill="F2F2F2"/>
            <w:tcMar>
              <w:top w:w="100" w:type="dxa"/>
              <w:left w:w="140" w:type="dxa"/>
              <w:bottom w:w="100" w:type="dxa"/>
              <w:right w:w="140" w:type="dxa"/>
            </w:tcMar>
          </w:tcPr>
          <w:p w14:paraId="559E1D31" w14:textId="77777777" w:rsidR="005B69DE" w:rsidRDefault="00000000">
            <w:pPr>
              <w:spacing w:line="260" w:lineRule="auto"/>
            </w:pPr>
            <w:r>
              <w:t>Salivary glands</w:t>
            </w:r>
          </w:p>
        </w:tc>
        <w:tc>
          <w:tcPr>
            <w:tcW w:w="3380" w:type="dxa"/>
            <w:tcBorders>
              <w:top w:val="single" w:sz="4" w:space="0" w:color="B8B8B8"/>
              <w:left w:val="single" w:sz="4" w:space="0" w:color="B8B8B8"/>
              <w:bottom w:val="single" w:sz="4" w:space="0" w:color="B8B8B8"/>
              <w:right w:val="single" w:sz="4" w:space="0" w:color="B8B8B8"/>
            </w:tcBorders>
            <w:shd w:val="clear" w:color="auto" w:fill="F2F2F2"/>
            <w:tcMar>
              <w:top w:w="100" w:type="dxa"/>
              <w:left w:w="140" w:type="dxa"/>
              <w:bottom w:w="100" w:type="dxa"/>
              <w:right w:w="140" w:type="dxa"/>
            </w:tcMar>
          </w:tcPr>
          <w:p w14:paraId="2DD2CBBA" w14:textId="77777777" w:rsidR="005B69DE" w:rsidRDefault="00000000">
            <w:pPr>
              <w:spacing w:line="260" w:lineRule="auto"/>
            </w:pPr>
            <w:r>
              <w:t>Thick, scant secretion</w:t>
            </w:r>
          </w:p>
        </w:tc>
        <w:tc>
          <w:tcPr>
            <w:tcW w:w="3380" w:type="dxa"/>
            <w:tcBorders>
              <w:top w:val="single" w:sz="4" w:space="0" w:color="B8B8B8"/>
              <w:left w:val="single" w:sz="4" w:space="0" w:color="B8B8B8"/>
              <w:bottom w:val="single" w:sz="4" w:space="0" w:color="B8B8B8"/>
              <w:right w:val="single" w:sz="4" w:space="0" w:color="B8B8B8"/>
            </w:tcBorders>
            <w:shd w:val="clear" w:color="auto" w:fill="F2F2F2"/>
            <w:tcMar>
              <w:top w:w="100" w:type="dxa"/>
              <w:left w:w="140" w:type="dxa"/>
              <w:bottom w:w="100" w:type="dxa"/>
              <w:right w:w="140" w:type="dxa"/>
            </w:tcMar>
          </w:tcPr>
          <w:p w14:paraId="0ADE59C4" w14:textId="77777777" w:rsidR="005B69DE" w:rsidRDefault="00000000">
            <w:pPr>
              <w:spacing w:line="260" w:lineRule="auto"/>
            </w:pPr>
            <w:r>
              <w:t>Copious, watery secretion</w:t>
            </w:r>
          </w:p>
        </w:tc>
      </w:tr>
      <w:tr w:rsidR="005B69DE" w14:paraId="22BBA57B" w14:textId="77777777">
        <w:tblPrEx>
          <w:tblCellMar>
            <w:top w:w="0" w:type="dxa"/>
            <w:bottom w:w="0" w:type="dxa"/>
          </w:tblCellMar>
        </w:tblPrEx>
        <w:tc>
          <w:tcPr>
            <w:tcW w:w="26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523E6F09" w14:textId="77777777" w:rsidR="005B69DE" w:rsidRDefault="00000000">
            <w:pPr>
              <w:spacing w:line="260" w:lineRule="auto"/>
            </w:pPr>
            <w:r>
              <w:t>Bladder</w:t>
            </w:r>
          </w:p>
        </w:tc>
        <w:tc>
          <w:tcPr>
            <w:tcW w:w="338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40367AB8" w14:textId="77777777" w:rsidR="005B69DE" w:rsidRDefault="00000000">
            <w:pPr>
              <w:spacing w:line="260" w:lineRule="auto"/>
            </w:pPr>
            <w:r>
              <w:t>Relaxes (retains urine)</w:t>
            </w:r>
          </w:p>
        </w:tc>
        <w:tc>
          <w:tcPr>
            <w:tcW w:w="338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050EC581" w14:textId="77777777" w:rsidR="005B69DE" w:rsidRDefault="00000000">
            <w:pPr>
              <w:spacing w:line="260" w:lineRule="auto"/>
            </w:pPr>
            <w:r>
              <w:t>Contracts (promotes voiding)</w:t>
            </w:r>
          </w:p>
        </w:tc>
      </w:tr>
      <w:tr w:rsidR="005B69DE" w14:paraId="2656C981" w14:textId="77777777">
        <w:tblPrEx>
          <w:tblCellMar>
            <w:top w:w="0" w:type="dxa"/>
            <w:bottom w:w="0" w:type="dxa"/>
          </w:tblCellMar>
        </w:tblPrEx>
        <w:tc>
          <w:tcPr>
            <w:tcW w:w="2600" w:type="dxa"/>
            <w:tcBorders>
              <w:top w:val="single" w:sz="4" w:space="0" w:color="B8B8B8"/>
              <w:left w:val="single" w:sz="4" w:space="0" w:color="B8B8B8"/>
              <w:bottom w:val="single" w:sz="4" w:space="0" w:color="B8B8B8"/>
              <w:right w:val="single" w:sz="4" w:space="0" w:color="B8B8B8"/>
            </w:tcBorders>
            <w:shd w:val="clear" w:color="auto" w:fill="F2F2F2"/>
            <w:tcMar>
              <w:top w:w="100" w:type="dxa"/>
              <w:left w:w="140" w:type="dxa"/>
              <w:bottom w:w="100" w:type="dxa"/>
              <w:right w:w="140" w:type="dxa"/>
            </w:tcMar>
          </w:tcPr>
          <w:p w14:paraId="13C81B54" w14:textId="77777777" w:rsidR="005B69DE" w:rsidRDefault="00000000">
            <w:pPr>
              <w:spacing w:line="260" w:lineRule="auto"/>
            </w:pPr>
            <w:r>
              <w:t>Adrenal medulla</w:t>
            </w:r>
          </w:p>
        </w:tc>
        <w:tc>
          <w:tcPr>
            <w:tcW w:w="3380" w:type="dxa"/>
            <w:tcBorders>
              <w:top w:val="single" w:sz="4" w:space="0" w:color="B8B8B8"/>
              <w:left w:val="single" w:sz="4" w:space="0" w:color="B8B8B8"/>
              <w:bottom w:val="single" w:sz="4" w:space="0" w:color="B8B8B8"/>
              <w:right w:val="single" w:sz="4" w:space="0" w:color="B8B8B8"/>
            </w:tcBorders>
            <w:shd w:val="clear" w:color="auto" w:fill="F2F2F2"/>
            <w:tcMar>
              <w:top w:w="100" w:type="dxa"/>
              <w:left w:w="140" w:type="dxa"/>
              <w:bottom w:w="100" w:type="dxa"/>
              <w:right w:w="140" w:type="dxa"/>
            </w:tcMar>
          </w:tcPr>
          <w:p w14:paraId="7ECD2F77" w14:textId="77777777" w:rsidR="005B69DE" w:rsidRDefault="00000000">
            <w:pPr>
              <w:spacing w:line="260" w:lineRule="auto"/>
            </w:pPr>
            <w:r>
              <w:t>Releases epinephrine and norepinephrine</w:t>
            </w:r>
          </w:p>
        </w:tc>
        <w:tc>
          <w:tcPr>
            <w:tcW w:w="3380" w:type="dxa"/>
            <w:tcBorders>
              <w:top w:val="single" w:sz="4" w:space="0" w:color="B8B8B8"/>
              <w:left w:val="single" w:sz="4" w:space="0" w:color="B8B8B8"/>
              <w:bottom w:val="single" w:sz="4" w:space="0" w:color="B8B8B8"/>
              <w:right w:val="single" w:sz="4" w:space="0" w:color="B8B8B8"/>
            </w:tcBorders>
            <w:shd w:val="clear" w:color="auto" w:fill="F2F2F2"/>
            <w:tcMar>
              <w:top w:w="100" w:type="dxa"/>
              <w:left w:w="140" w:type="dxa"/>
              <w:bottom w:w="100" w:type="dxa"/>
              <w:right w:w="140" w:type="dxa"/>
            </w:tcMar>
          </w:tcPr>
          <w:p w14:paraId="20A2F326" w14:textId="77777777" w:rsidR="005B69DE" w:rsidRDefault="00000000">
            <w:pPr>
              <w:spacing w:line="260" w:lineRule="auto"/>
            </w:pPr>
            <w:r>
              <w:t>No significant effect</w:t>
            </w:r>
          </w:p>
        </w:tc>
      </w:tr>
    </w:tbl>
    <w:p w14:paraId="6A7D2564" w14:textId="77777777" w:rsidR="005B69DE" w:rsidRDefault="005B69DE">
      <w:pPr>
        <w:spacing w:after="100"/>
      </w:pPr>
    </w:p>
    <w:p w14:paraId="5E104AC3" w14:textId="77777777" w:rsidR="005B69DE" w:rsidRDefault="00000000">
      <w:pPr>
        <w:pStyle w:val="Heading2"/>
      </w:pPr>
      <w:r>
        <w:t>3.4 Cranial and Spinal Nerves</w:t>
      </w:r>
    </w:p>
    <w:p w14:paraId="32110816" w14:textId="77777777" w:rsidR="005B69DE" w:rsidRDefault="00000000">
      <w:pPr>
        <w:spacing w:after="120" w:line="300" w:lineRule="auto"/>
        <w:jc w:val="both"/>
      </w:pPr>
      <w:r>
        <w:t>The PNS includes 12 pairs of cranial nerves, which emerge directly from the brain, and 31 pairs of spinal nerves, which emerge from the spinal cord. Cranial nerves serve structures primarily of the head and neck (with the major exception of the vagus nerve, CN X, which innervates organs of the thorax and abdomen). Spinal nerves innervate the rest of the body and are mixed nerves carrying both sensory and motor fibers.</w:t>
      </w:r>
    </w:p>
    <w:p w14:paraId="52700763" w14:textId="77777777" w:rsidR="005B69DE" w:rsidRDefault="00000000">
      <w:pPr>
        <w:pStyle w:val="Heading3"/>
      </w:pPr>
      <w:r>
        <w:lastRenderedPageBreak/>
        <w:t>The Twelve Cranial Nerves</w:t>
      </w:r>
    </w:p>
    <w:p w14:paraId="2ED8412D" w14:textId="77777777" w:rsidR="005B69DE" w:rsidRDefault="00000000">
      <w:pPr>
        <w:pStyle w:val="ListParagraph"/>
        <w:numPr>
          <w:ilvl w:val="0"/>
          <w:numId w:val="2"/>
        </w:numPr>
        <w:spacing w:after="80" w:line="280" w:lineRule="auto"/>
      </w:pPr>
      <w:r>
        <w:t>I – Olfactory: smell</w:t>
      </w:r>
    </w:p>
    <w:p w14:paraId="39491784" w14:textId="77777777" w:rsidR="005B69DE" w:rsidRDefault="00000000">
      <w:pPr>
        <w:pStyle w:val="ListParagraph"/>
        <w:numPr>
          <w:ilvl w:val="0"/>
          <w:numId w:val="2"/>
        </w:numPr>
        <w:spacing w:after="80" w:line="280" w:lineRule="auto"/>
      </w:pPr>
      <w:r>
        <w:t>II – Optic: vision</w:t>
      </w:r>
    </w:p>
    <w:p w14:paraId="4417F753" w14:textId="77777777" w:rsidR="005B69DE" w:rsidRDefault="00000000">
      <w:pPr>
        <w:pStyle w:val="ListParagraph"/>
        <w:numPr>
          <w:ilvl w:val="0"/>
          <w:numId w:val="2"/>
        </w:numPr>
        <w:spacing w:after="80" w:line="280" w:lineRule="auto"/>
      </w:pPr>
      <w:r>
        <w:t>III – Oculomotor: most eye movements, pupil constriction</w:t>
      </w:r>
    </w:p>
    <w:p w14:paraId="6677F2DB" w14:textId="77777777" w:rsidR="005B69DE" w:rsidRDefault="00000000">
      <w:pPr>
        <w:pStyle w:val="ListParagraph"/>
        <w:numPr>
          <w:ilvl w:val="0"/>
          <w:numId w:val="2"/>
        </w:numPr>
        <w:spacing w:after="80" w:line="280" w:lineRule="auto"/>
      </w:pPr>
      <w:r>
        <w:t>IV – Trochlear: eye movement (superior oblique)</w:t>
      </w:r>
    </w:p>
    <w:p w14:paraId="22ACB53F" w14:textId="77777777" w:rsidR="005B69DE" w:rsidRDefault="00000000">
      <w:pPr>
        <w:pStyle w:val="ListParagraph"/>
        <w:numPr>
          <w:ilvl w:val="0"/>
          <w:numId w:val="2"/>
        </w:numPr>
        <w:spacing w:after="80" w:line="280" w:lineRule="auto"/>
      </w:pPr>
      <w:r>
        <w:t>V – Trigeminal: facial sensation and mastication</w:t>
      </w:r>
    </w:p>
    <w:p w14:paraId="56B1E4C3" w14:textId="77777777" w:rsidR="005B69DE" w:rsidRDefault="00000000">
      <w:pPr>
        <w:pStyle w:val="ListParagraph"/>
        <w:numPr>
          <w:ilvl w:val="0"/>
          <w:numId w:val="2"/>
        </w:numPr>
        <w:spacing w:after="80" w:line="280" w:lineRule="auto"/>
      </w:pPr>
      <w:r>
        <w:t>VI – Abducens: eye movement (lateral rectus)</w:t>
      </w:r>
    </w:p>
    <w:p w14:paraId="01A1F37F" w14:textId="77777777" w:rsidR="005B69DE" w:rsidRDefault="00000000">
      <w:pPr>
        <w:pStyle w:val="ListParagraph"/>
        <w:numPr>
          <w:ilvl w:val="0"/>
          <w:numId w:val="2"/>
        </w:numPr>
        <w:spacing w:after="80" w:line="280" w:lineRule="auto"/>
      </w:pPr>
      <w:r>
        <w:t>VII – Facial: facial expression, taste (anterior tongue), tears, saliva</w:t>
      </w:r>
    </w:p>
    <w:p w14:paraId="3D06FCC5" w14:textId="77777777" w:rsidR="005B69DE" w:rsidRDefault="00000000">
      <w:pPr>
        <w:pStyle w:val="ListParagraph"/>
        <w:numPr>
          <w:ilvl w:val="0"/>
          <w:numId w:val="2"/>
        </w:numPr>
        <w:spacing w:after="80" w:line="280" w:lineRule="auto"/>
      </w:pPr>
      <w:r>
        <w:t>VIII – Vestibulocochlear: hearing and balance</w:t>
      </w:r>
    </w:p>
    <w:p w14:paraId="501BDCCC" w14:textId="77777777" w:rsidR="005B69DE" w:rsidRDefault="00000000">
      <w:pPr>
        <w:pStyle w:val="ListParagraph"/>
        <w:numPr>
          <w:ilvl w:val="0"/>
          <w:numId w:val="2"/>
        </w:numPr>
        <w:spacing w:after="80" w:line="280" w:lineRule="auto"/>
      </w:pPr>
      <w:r>
        <w:t>IX – Glossopharyngeal: taste (posterior tongue), swallowing</w:t>
      </w:r>
    </w:p>
    <w:p w14:paraId="57F24B22" w14:textId="77777777" w:rsidR="005B69DE" w:rsidRDefault="00000000">
      <w:pPr>
        <w:pStyle w:val="ListParagraph"/>
        <w:numPr>
          <w:ilvl w:val="0"/>
          <w:numId w:val="2"/>
        </w:numPr>
        <w:spacing w:after="80" w:line="280" w:lineRule="auto"/>
      </w:pPr>
      <w:r>
        <w:t>X – Vagus: parasympathetic supply to thoracic and abdominal organs</w:t>
      </w:r>
    </w:p>
    <w:p w14:paraId="05394D11" w14:textId="77777777" w:rsidR="005B69DE" w:rsidRDefault="00000000">
      <w:pPr>
        <w:pStyle w:val="ListParagraph"/>
        <w:numPr>
          <w:ilvl w:val="0"/>
          <w:numId w:val="2"/>
        </w:numPr>
        <w:spacing w:after="80" w:line="280" w:lineRule="auto"/>
      </w:pPr>
      <w:r>
        <w:t>XI – Accessory: shoulder and neck movement</w:t>
      </w:r>
    </w:p>
    <w:p w14:paraId="024E465E" w14:textId="77777777" w:rsidR="005B69DE" w:rsidRDefault="00000000">
      <w:pPr>
        <w:pStyle w:val="ListParagraph"/>
        <w:numPr>
          <w:ilvl w:val="0"/>
          <w:numId w:val="2"/>
        </w:numPr>
        <w:spacing w:after="80" w:line="280" w:lineRule="auto"/>
      </w:pPr>
      <w:r>
        <w:t>XII – Hypoglossal: tongue movement</w:t>
      </w:r>
    </w:p>
    <w:p w14:paraId="0FEE38AD" w14:textId="77777777" w:rsidR="005B69DE" w:rsidRDefault="00000000">
      <w:pPr>
        <w:pStyle w:val="Heading2"/>
      </w:pPr>
      <w:r>
        <w:t>3.5 Functions and Clinical Significance</w:t>
      </w:r>
    </w:p>
    <w:p w14:paraId="410104FD" w14:textId="77777777" w:rsidR="005B69DE" w:rsidRDefault="00000000">
      <w:pPr>
        <w:spacing w:after="120" w:line="300" w:lineRule="auto"/>
        <w:jc w:val="both"/>
      </w:pPr>
      <w:r>
        <w:t>The PNS enables all interaction between the CNS and the rest of the body. Because its nerves are distributed widely and often exposed to physical or metabolic insult, peripheral nerve disorders are common.</w:t>
      </w:r>
    </w:p>
    <w:p w14:paraId="5F293AF8" w14:textId="77777777" w:rsidR="005B69DE" w:rsidRDefault="00000000">
      <w:pPr>
        <w:pStyle w:val="ListParagraph"/>
        <w:numPr>
          <w:ilvl w:val="0"/>
          <w:numId w:val="2"/>
        </w:numPr>
        <w:spacing w:after="80" w:line="280" w:lineRule="auto"/>
      </w:pPr>
      <w:r>
        <w:rPr>
          <w:b/>
          <w:bCs/>
        </w:rPr>
        <w:t xml:space="preserve">Peripheral neuropathy: </w:t>
      </w:r>
      <w:r>
        <w:t>Damage to peripheral nerves, often from diabetes, infection, toxins, or autoimmune disease, causing numbness, tingling, pain, or weakness.</w:t>
      </w:r>
    </w:p>
    <w:p w14:paraId="4BC82CDC" w14:textId="77777777" w:rsidR="005B69DE" w:rsidRDefault="00000000">
      <w:pPr>
        <w:pStyle w:val="ListParagraph"/>
        <w:numPr>
          <w:ilvl w:val="0"/>
          <w:numId w:val="2"/>
        </w:numPr>
        <w:spacing w:after="80" w:line="280" w:lineRule="auto"/>
      </w:pPr>
      <w:r>
        <w:rPr>
          <w:b/>
          <w:bCs/>
        </w:rPr>
        <w:t xml:space="preserve">Guillain–Barré syndrome: </w:t>
      </w:r>
      <w:r>
        <w:t>An autoimmune disorder in which the immune system attacks peripheral nerves, leading to rapid-onset weakness.</w:t>
      </w:r>
    </w:p>
    <w:p w14:paraId="596DDBEC" w14:textId="77777777" w:rsidR="005B69DE" w:rsidRDefault="00000000">
      <w:pPr>
        <w:pStyle w:val="ListParagraph"/>
        <w:numPr>
          <w:ilvl w:val="0"/>
          <w:numId w:val="2"/>
        </w:numPr>
        <w:spacing w:after="80" w:line="280" w:lineRule="auto"/>
      </w:pPr>
      <w:r>
        <w:rPr>
          <w:b/>
          <w:bCs/>
        </w:rPr>
        <w:t xml:space="preserve">Carpal tunnel syndrome: </w:t>
      </w:r>
      <w:r>
        <w:t>Compression of the median nerve at the wrist, causing numbness and weakness in the hand.</w:t>
      </w:r>
    </w:p>
    <w:p w14:paraId="669ACB11" w14:textId="77777777" w:rsidR="005B69DE" w:rsidRDefault="00000000">
      <w:pPr>
        <w:pStyle w:val="ListParagraph"/>
        <w:numPr>
          <w:ilvl w:val="0"/>
          <w:numId w:val="2"/>
        </w:numPr>
        <w:spacing w:after="80" w:line="280" w:lineRule="auto"/>
      </w:pPr>
      <w:r>
        <w:rPr>
          <w:b/>
          <w:bCs/>
        </w:rPr>
        <w:t xml:space="preserve">Bell's palsy: </w:t>
      </w:r>
      <w:r>
        <w:t>Sudden weakness of the muscles on one side of the face due to dysfunction of the facial nerve (CN VII).</w:t>
      </w:r>
    </w:p>
    <w:p w14:paraId="5B6D3F50" w14:textId="77777777" w:rsidR="005B69DE" w:rsidRDefault="00000000">
      <w:pPr>
        <w:pStyle w:val="ListParagraph"/>
        <w:numPr>
          <w:ilvl w:val="0"/>
          <w:numId w:val="2"/>
        </w:numPr>
        <w:spacing w:after="80" w:line="280" w:lineRule="auto"/>
      </w:pPr>
      <w:r>
        <w:rPr>
          <w:b/>
          <w:bCs/>
        </w:rPr>
        <w:t xml:space="preserve">Dysautonomia: </w:t>
      </w:r>
      <w:r>
        <w:t>Any of several conditions in which the autonomic nervous system malfunctions, affecting heart rate, blood pressure, digestion, or temperature regulation.</w:t>
      </w:r>
    </w:p>
    <w:p w14:paraId="0922CEBC" w14:textId="77777777" w:rsidR="005B69DE" w:rsidRDefault="00000000">
      <w:r>
        <w:br w:type="page"/>
      </w:r>
    </w:p>
    <w:p w14:paraId="1761C0A4" w14:textId="77777777" w:rsidR="005B69DE" w:rsidRDefault="00000000">
      <w:pPr>
        <w:pStyle w:val="Heading1"/>
      </w:pPr>
      <w:r>
        <w:lastRenderedPageBreak/>
        <w:t>4. The Enteric Nervous System (ENS)</w:t>
      </w:r>
    </w:p>
    <w:p w14:paraId="1C280BDA" w14:textId="77777777" w:rsidR="005B69DE" w:rsidRDefault="00000000">
      <w:pPr>
        <w:pStyle w:val="Heading2"/>
      </w:pPr>
      <w:r>
        <w:t>4.1 Overview: The 'Second Brain'</w:t>
      </w:r>
    </w:p>
    <w:p w14:paraId="475B6D7B" w14:textId="77777777" w:rsidR="005B69DE" w:rsidRDefault="00000000">
      <w:pPr>
        <w:spacing w:after="120" w:line="300" w:lineRule="auto"/>
        <w:jc w:val="both"/>
      </w:pPr>
      <w:r>
        <w:t>The enteric nervous system is an extensive, semi-autonomous network of neurons embedded in the walls of the gastrointestinal tract, extending from the esophagus to the anus. It also innervates the pancreas and gallbladder. With an estimated 200 to 600 million neurons — more than in the entire spinal cord — the ENS is capable of controlling digestive function largely on its own, even when severed from the CNS. This remarkable autonomy has earned it the nickname 'the second brain.'</w:t>
      </w:r>
    </w:p>
    <w:p w14:paraId="1983E5DF" w14:textId="77777777" w:rsidR="005B69DE" w:rsidRDefault="00000000">
      <w:pPr>
        <w:spacing w:after="120" w:line="300" w:lineRule="auto"/>
        <w:jc w:val="both"/>
      </w:pPr>
      <w:r>
        <w:t>Although the ENS is often considered a third division of the autonomic nervous system, its size, complexity, and functional independence make it distinctive enough to warrant separate classification in modern neuroscience.</w:t>
      </w:r>
    </w:p>
    <w:p w14:paraId="74165BD9" w14:textId="77777777" w:rsidR="005B69DE" w:rsidRDefault="00000000">
      <w:pPr>
        <w:pStyle w:val="Heading2"/>
      </w:pPr>
      <w:r>
        <w:t>4.2 Structure and Plexuses</w:t>
      </w:r>
    </w:p>
    <w:p w14:paraId="18CE8ABF" w14:textId="77777777" w:rsidR="005B69DE" w:rsidRDefault="00000000">
      <w:pPr>
        <w:spacing w:after="120" w:line="300" w:lineRule="auto"/>
        <w:jc w:val="both"/>
      </w:pPr>
      <w:r>
        <w:t>The ENS is organized into two principal interconnected nerve plexuses within the gut wall:</w:t>
      </w:r>
    </w:p>
    <w:p w14:paraId="46AD7F0D" w14:textId="77777777" w:rsidR="005B69DE" w:rsidRDefault="00000000">
      <w:pPr>
        <w:pStyle w:val="ListParagraph"/>
        <w:numPr>
          <w:ilvl w:val="0"/>
          <w:numId w:val="2"/>
        </w:numPr>
        <w:spacing w:after="80" w:line="280" w:lineRule="auto"/>
      </w:pPr>
      <w:r>
        <w:rPr>
          <w:b/>
          <w:bCs/>
        </w:rPr>
        <w:t xml:space="preserve">Myenteric (Auerbach's) plexus: </w:t>
      </w:r>
      <w:r>
        <w:t>Located between the longitudinal and circular muscle layers of the gut. It primarily controls motility — the rhythmic contractions that propel food through the digestive tract.</w:t>
      </w:r>
    </w:p>
    <w:p w14:paraId="08F0025F" w14:textId="77777777" w:rsidR="005B69DE" w:rsidRDefault="00000000">
      <w:pPr>
        <w:pStyle w:val="ListParagraph"/>
        <w:numPr>
          <w:ilvl w:val="0"/>
          <w:numId w:val="2"/>
        </w:numPr>
        <w:spacing w:after="80" w:line="280" w:lineRule="auto"/>
      </w:pPr>
      <w:r>
        <w:rPr>
          <w:b/>
          <w:bCs/>
        </w:rPr>
        <w:t xml:space="preserve">Submucosal (Meissner's) plexus: </w:t>
      </w:r>
      <w:r>
        <w:t>Located in the submucosa, closer to the lumen. It regulates secretion of digestive enzymes, local blood flow, and absorption, and it senses the chemical composition of the gut contents.</w:t>
      </w:r>
    </w:p>
    <w:p w14:paraId="7A97B885" w14:textId="77777777" w:rsidR="005B69DE" w:rsidRDefault="00000000">
      <w:pPr>
        <w:spacing w:after="120" w:line="300" w:lineRule="auto"/>
        <w:jc w:val="both"/>
      </w:pPr>
      <w:r>
        <w:t>The ENS contains a full complement of neuron types — sensory neurons (which detect stretch, chemical composition, and temperature), interneurons (which integrate information), and motor neurons (which stimulate or inhibit smooth muscle, secretory cells, and blood vessels) — as well as enteric glial cells analogous to the astrocytes of the CNS.</w:t>
      </w:r>
    </w:p>
    <w:p w14:paraId="298EC77F" w14:textId="77777777" w:rsidR="005B69DE" w:rsidRDefault="00000000">
      <w:pPr>
        <w:pStyle w:val="Heading2"/>
      </w:pPr>
      <w:r>
        <w:t>4.3 Neurotransmitters and the Gut–Brain Axis</w:t>
      </w:r>
    </w:p>
    <w:p w14:paraId="65880C4E" w14:textId="77777777" w:rsidR="005B69DE" w:rsidRDefault="00000000">
      <w:pPr>
        <w:spacing w:after="120" w:line="300" w:lineRule="auto"/>
        <w:jc w:val="both"/>
      </w:pPr>
      <w:r>
        <w:t>The ENS uses more than 30 neurotransmitters, many of which are identical to those found in the brain. Notably, about 90–95% of the body's serotonin is produced in the gut, where it regulates motility and secretion. Other important transmitters include acetylcholine, dopamine, nitric oxide, vasoactive intestinal peptide (VIP), and substance P.</w:t>
      </w:r>
    </w:p>
    <w:p w14:paraId="2F4CFCE1" w14:textId="77777777" w:rsidR="005B69DE" w:rsidRDefault="00000000">
      <w:pPr>
        <w:spacing w:after="120" w:line="300" w:lineRule="auto"/>
        <w:jc w:val="both"/>
      </w:pPr>
      <w:r>
        <w:t>The ENS communicates bidirectionally with the CNS through what is known as the gut–brain axis. The primary conduit is the vagus nerve (CN X), although sympathetic pathways, circulating hormones, immune signals, and microbial metabolites also play roles. Remarkably, about 80% of the fibers in the vagus nerve are afferent — they carry information from the gut to the brain rather than the other way around.</w:t>
      </w:r>
    </w:p>
    <w:p w14:paraId="378E16D6" w14:textId="77777777" w:rsidR="005B69DE" w:rsidRDefault="00000000">
      <w:pPr>
        <w:spacing w:after="120" w:line="300" w:lineRule="auto"/>
        <w:jc w:val="both"/>
      </w:pPr>
      <w:r>
        <w:t xml:space="preserve">A rapidly growing body of research implicates the gut microbiota — the trillions of bacteria, archaea, fungi, and viruses that inhabit the intestine — in modulating the ENS and, through the gut–brain axis, influencing </w:t>
      </w:r>
      <w:r>
        <w:lastRenderedPageBreak/>
        <w:t>mood, cognition, and behavior. This microbiota–gut–brain axis is now recognized as relevant to conditions ranging from irritable bowel syndrome to anxiety, depression, and neurodegenerative disease.</w:t>
      </w:r>
    </w:p>
    <w:p w14:paraId="610ED413" w14:textId="77777777" w:rsidR="005B69DE" w:rsidRDefault="00000000">
      <w:pPr>
        <w:pStyle w:val="Heading2"/>
      </w:pPr>
      <w:r>
        <w:t>4.4 Functions and Clinical Significance</w:t>
      </w:r>
    </w:p>
    <w:p w14:paraId="10EACFEC" w14:textId="77777777" w:rsidR="005B69DE" w:rsidRDefault="00000000">
      <w:pPr>
        <w:spacing w:after="120" w:line="300" w:lineRule="auto"/>
        <w:jc w:val="both"/>
      </w:pPr>
      <w:r>
        <w:t>The primary responsibilities of the enteric nervous system include:</w:t>
      </w:r>
    </w:p>
    <w:p w14:paraId="1B373D3F" w14:textId="77777777" w:rsidR="005B69DE" w:rsidRDefault="00000000">
      <w:pPr>
        <w:pStyle w:val="ListParagraph"/>
        <w:numPr>
          <w:ilvl w:val="0"/>
          <w:numId w:val="2"/>
        </w:numPr>
        <w:spacing w:after="80" w:line="280" w:lineRule="auto"/>
      </w:pPr>
      <w:r>
        <w:t>Coordinating peristalsis and segmentation of gut contents</w:t>
      </w:r>
    </w:p>
    <w:p w14:paraId="31354951" w14:textId="77777777" w:rsidR="005B69DE" w:rsidRDefault="00000000">
      <w:pPr>
        <w:pStyle w:val="ListParagraph"/>
        <w:numPr>
          <w:ilvl w:val="0"/>
          <w:numId w:val="2"/>
        </w:numPr>
        <w:spacing w:after="80" w:line="280" w:lineRule="auto"/>
      </w:pPr>
      <w:r>
        <w:t>Regulating secretion of digestive enzymes, acid, mucus, and hormones</w:t>
      </w:r>
    </w:p>
    <w:p w14:paraId="644A8170" w14:textId="77777777" w:rsidR="005B69DE" w:rsidRDefault="00000000">
      <w:pPr>
        <w:pStyle w:val="ListParagraph"/>
        <w:numPr>
          <w:ilvl w:val="0"/>
          <w:numId w:val="2"/>
        </w:numPr>
        <w:spacing w:after="80" w:line="280" w:lineRule="auto"/>
      </w:pPr>
      <w:r>
        <w:t>Controlling local blood flow to match absorptive demand</w:t>
      </w:r>
    </w:p>
    <w:p w14:paraId="19549DCD" w14:textId="77777777" w:rsidR="005B69DE" w:rsidRDefault="00000000">
      <w:pPr>
        <w:pStyle w:val="ListParagraph"/>
        <w:numPr>
          <w:ilvl w:val="0"/>
          <w:numId w:val="2"/>
        </w:numPr>
        <w:spacing w:after="80" w:line="280" w:lineRule="auto"/>
      </w:pPr>
      <w:r>
        <w:t>Modulating the epithelial barrier and interacting with the gut immune system</w:t>
      </w:r>
    </w:p>
    <w:p w14:paraId="5E367B77" w14:textId="77777777" w:rsidR="005B69DE" w:rsidRDefault="00000000">
      <w:pPr>
        <w:pStyle w:val="ListParagraph"/>
        <w:numPr>
          <w:ilvl w:val="0"/>
          <w:numId w:val="2"/>
        </w:numPr>
        <w:spacing w:after="80" w:line="280" w:lineRule="auto"/>
      </w:pPr>
      <w:r>
        <w:t>Communicating with the CNS via the gut–brain axis</w:t>
      </w:r>
    </w:p>
    <w:p w14:paraId="6B2B74B2" w14:textId="77777777" w:rsidR="005B69DE" w:rsidRDefault="00000000">
      <w:pPr>
        <w:spacing w:after="120" w:line="300" w:lineRule="auto"/>
        <w:jc w:val="both"/>
      </w:pPr>
      <w:r>
        <w:t>Clinical disorders involving the ENS include:</w:t>
      </w:r>
    </w:p>
    <w:p w14:paraId="7D28C327" w14:textId="77777777" w:rsidR="005B69DE" w:rsidRDefault="00000000">
      <w:pPr>
        <w:pStyle w:val="ListParagraph"/>
        <w:numPr>
          <w:ilvl w:val="0"/>
          <w:numId w:val="2"/>
        </w:numPr>
        <w:spacing w:after="80" w:line="280" w:lineRule="auto"/>
      </w:pPr>
      <w:r>
        <w:rPr>
          <w:b/>
          <w:bCs/>
        </w:rPr>
        <w:t xml:space="preserve">Irritable bowel syndrome (IBS): </w:t>
      </w:r>
      <w:r>
        <w:t>A functional gastrointestinal disorder characterized by abdominal pain and altered bowel habits, thought to involve dysregulation of the gut–brain axis and enteric sensory processing.</w:t>
      </w:r>
    </w:p>
    <w:p w14:paraId="1FD39DFD" w14:textId="77777777" w:rsidR="005B69DE" w:rsidRDefault="00000000">
      <w:pPr>
        <w:pStyle w:val="ListParagraph"/>
        <w:numPr>
          <w:ilvl w:val="0"/>
          <w:numId w:val="2"/>
        </w:numPr>
        <w:spacing w:after="80" w:line="280" w:lineRule="auto"/>
      </w:pPr>
      <w:r>
        <w:rPr>
          <w:b/>
          <w:bCs/>
        </w:rPr>
        <w:t xml:space="preserve">Hirschsprung's disease: </w:t>
      </w:r>
      <w:r>
        <w:t>A congenital condition in which ganglion cells fail to develop in part of the colon, leading to severe constipation and bowel obstruction in infants.</w:t>
      </w:r>
    </w:p>
    <w:p w14:paraId="1460BF44" w14:textId="77777777" w:rsidR="005B69DE" w:rsidRDefault="00000000">
      <w:pPr>
        <w:pStyle w:val="ListParagraph"/>
        <w:numPr>
          <w:ilvl w:val="0"/>
          <w:numId w:val="2"/>
        </w:numPr>
        <w:spacing w:after="80" w:line="280" w:lineRule="auto"/>
      </w:pPr>
      <w:r>
        <w:rPr>
          <w:b/>
          <w:bCs/>
        </w:rPr>
        <w:t xml:space="preserve">Achalasia: </w:t>
      </w:r>
      <w:r>
        <w:t>Loss of enteric inhibitory neurons in the esophagus, preventing relaxation of the lower esophageal sphincter and impairing swallowing.</w:t>
      </w:r>
    </w:p>
    <w:p w14:paraId="5E964AB3" w14:textId="77777777" w:rsidR="005B69DE" w:rsidRDefault="00000000">
      <w:pPr>
        <w:pStyle w:val="ListParagraph"/>
        <w:numPr>
          <w:ilvl w:val="0"/>
          <w:numId w:val="2"/>
        </w:numPr>
        <w:spacing w:after="80" w:line="280" w:lineRule="auto"/>
      </w:pPr>
      <w:r>
        <w:rPr>
          <w:b/>
          <w:bCs/>
        </w:rPr>
        <w:t xml:space="preserve">Gastroparesis: </w:t>
      </w:r>
      <w:r>
        <w:t>Delayed stomach emptying, often seen in diabetes, attributed in part to enteric and vagal nerve dysfunction.</w:t>
      </w:r>
    </w:p>
    <w:p w14:paraId="46BC9B4E" w14:textId="77777777" w:rsidR="005B69DE" w:rsidRDefault="00000000">
      <w:pPr>
        <w:pStyle w:val="ListParagraph"/>
        <w:numPr>
          <w:ilvl w:val="0"/>
          <w:numId w:val="2"/>
        </w:numPr>
        <w:spacing w:after="80" w:line="280" w:lineRule="auto"/>
      </w:pPr>
      <w:r>
        <w:rPr>
          <w:b/>
          <w:bCs/>
        </w:rPr>
        <w:t xml:space="preserve">Parkinson's disease involvement: </w:t>
      </w:r>
      <w:r>
        <w:t>Alpha-synuclein pathology has been detected in the ENS years before motor symptoms appear, suggesting that Parkinson's disease may originate, at least in part, in the gut.</w:t>
      </w:r>
    </w:p>
    <w:p w14:paraId="4C9ED6DA" w14:textId="77777777" w:rsidR="005B69DE" w:rsidRDefault="00000000">
      <w:r>
        <w:br w:type="page"/>
      </w:r>
    </w:p>
    <w:p w14:paraId="04A54908" w14:textId="77777777" w:rsidR="005B69DE" w:rsidRDefault="00000000">
      <w:pPr>
        <w:pStyle w:val="Heading1"/>
      </w:pPr>
      <w:r>
        <w:lastRenderedPageBreak/>
        <w:t>5. Comparative Summary</w:t>
      </w:r>
    </w:p>
    <w:p w14:paraId="53EF7798" w14:textId="77777777" w:rsidR="005B69DE" w:rsidRDefault="00000000">
      <w:pPr>
        <w:spacing w:after="120" w:line="300" w:lineRule="auto"/>
        <w:jc w:val="both"/>
      </w:pPr>
      <w:r>
        <w:t>The table below summarizes the key features of the three nervous systems discussed.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420"/>
        <w:gridCol w:w="2420"/>
        <w:gridCol w:w="2420"/>
      </w:tblGrid>
      <w:tr w:rsidR="005B69DE" w14:paraId="5C96F07B" w14:textId="77777777">
        <w:tblPrEx>
          <w:tblCellMar>
            <w:top w:w="0" w:type="dxa"/>
            <w:bottom w:w="0" w:type="dxa"/>
          </w:tblCellMar>
        </w:tblPrEx>
        <w:trPr>
          <w:tblHeader/>
        </w:trPr>
        <w:tc>
          <w:tcPr>
            <w:tcW w:w="2100" w:type="dxa"/>
            <w:tcBorders>
              <w:top w:val="single" w:sz="4" w:space="0" w:color="B8B8B8"/>
              <w:left w:val="single" w:sz="4" w:space="0" w:color="B8B8B8"/>
              <w:bottom w:val="single" w:sz="4" w:space="0" w:color="B8B8B8"/>
              <w:right w:val="single" w:sz="4" w:space="0" w:color="B8B8B8"/>
            </w:tcBorders>
            <w:shd w:val="clear" w:color="auto" w:fill="2E5984"/>
            <w:tcMar>
              <w:top w:w="100" w:type="dxa"/>
              <w:left w:w="140" w:type="dxa"/>
              <w:bottom w:w="100" w:type="dxa"/>
              <w:right w:w="140" w:type="dxa"/>
            </w:tcMar>
          </w:tcPr>
          <w:p w14:paraId="24CBEB32" w14:textId="77777777" w:rsidR="005B69DE" w:rsidRDefault="00000000">
            <w:r>
              <w:rPr>
                <w:b/>
                <w:bCs/>
                <w:color w:val="FFFFFF"/>
              </w:rPr>
              <w:t>Feature</w:t>
            </w:r>
          </w:p>
        </w:tc>
        <w:tc>
          <w:tcPr>
            <w:tcW w:w="2420" w:type="dxa"/>
            <w:tcBorders>
              <w:top w:val="single" w:sz="4" w:space="0" w:color="B8B8B8"/>
              <w:left w:val="single" w:sz="4" w:space="0" w:color="B8B8B8"/>
              <w:bottom w:val="single" w:sz="4" w:space="0" w:color="B8B8B8"/>
              <w:right w:val="single" w:sz="4" w:space="0" w:color="B8B8B8"/>
            </w:tcBorders>
            <w:shd w:val="clear" w:color="auto" w:fill="2E5984"/>
            <w:tcMar>
              <w:top w:w="100" w:type="dxa"/>
              <w:left w:w="140" w:type="dxa"/>
              <w:bottom w:w="100" w:type="dxa"/>
              <w:right w:w="140" w:type="dxa"/>
            </w:tcMar>
          </w:tcPr>
          <w:p w14:paraId="3E0AA2FF" w14:textId="77777777" w:rsidR="005B69DE" w:rsidRDefault="00000000">
            <w:r>
              <w:rPr>
                <w:b/>
                <w:bCs/>
                <w:color w:val="FFFFFF"/>
              </w:rPr>
              <w:t>CNS</w:t>
            </w:r>
          </w:p>
        </w:tc>
        <w:tc>
          <w:tcPr>
            <w:tcW w:w="2420" w:type="dxa"/>
            <w:tcBorders>
              <w:top w:val="single" w:sz="4" w:space="0" w:color="B8B8B8"/>
              <w:left w:val="single" w:sz="4" w:space="0" w:color="B8B8B8"/>
              <w:bottom w:val="single" w:sz="4" w:space="0" w:color="B8B8B8"/>
              <w:right w:val="single" w:sz="4" w:space="0" w:color="B8B8B8"/>
            </w:tcBorders>
            <w:shd w:val="clear" w:color="auto" w:fill="2E5984"/>
            <w:tcMar>
              <w:top w:w="100" w:type="dxa"/>
              <w:left w:w="140" w:type="dxa"/>
              <w:bottom w:w="100" w:type="dxa"/>
              <w:right w:w="140" w:type="dxa"/>
            </w:tcMar>
          </w:tcPr>
          <w:p w14:paraId="391BF591" w14:textId="77777777" w:rsidR="005B69DE" w:rsidRDefault="00000000">
            <w:r>
              <w:rPr>
                <w:b/>
                <w:bCs/>
                <w:color w:val="FFFFFF"/>
              </w:rPr>
              <w:t>PNS</w:t>
            </w:r>
          </w:p>
        </w:tc>
        <w:tc>
          <w:tcPr>
            <w:tcW w:w="2420" w:type="dxa"/>
            <w:tcBorders>
              <w:top w:val="single" w:sz="4" w:space="0" w:color="B8B8B8"/>
              <w:left w:val="single" w:sz="4" w:space="0" w:color="B8B8B8"/>
              <w:bottom w:val="single" w:sz="4" w:space="0" w:color="B8B8B8"/>
              <w:right w:val="single" w:sz="4" w:space="0" w:color="B8B8B8"/>
            </w:tcBorders>
            <w:shd w:val="clear" w:color="auto" w:fill="2E5984"/>
            <w:tcMar>
              <w:top w:w="100" w:type="dxa"/>
              <w:left w:w="140" w:type="dxa"/>
              <w:bottom w:w="100" w:type="dxa"/>
              <w:right w:w="140" w:type="dxa"/>
            </w:tcMar>
          </w:tcPr>
          <w:p w14:paraId="00A888DB" w14:textId="77777777" w:rsidR="005B69DE" w:rsidRDefault="00000000">
            <w:r>
              <w:rPr>
                <w:b/>
                <w:bCs/>
                <w:color w:val="FFFFFF"/>
              </w:rPr>
              <w:t>ENS</w:t>
            </w:r>
          </w:p>
        </w:tc>
      </w:tr>
      <w:tr w:rsidR="005B69DE" w14:paraId="4B41F70E" w14:textId="77777777">
        <w:tblPrEx>
          <w:tblCellMar>
            <w:top w:w="0" w:type="dxa"/>
            <w:bottom w:w="0" w:type="dxa"/>
          </w:tblCellMar>
        </w:tblPrEx>
        <w:tc>
          <w:tcPr>
            <w:tcW w:w="2100" w:type="dxa"/>
            <w:tcBorders>
              <w:top w:val="single" w:sz="4" w:space="0" w:color="B8B8B8"/>
              <w:left w:val="single" w:sz="4" w:space="0" w:color="B8B8B8"/>
              <w:bottom w:val="single" w:sz="4" w:space="0" w:color="B8B8B8"/>
              <w:right w:val="single" w:sz="4" w:space="0" w:color="B8B8B8"/>
            </w:tcBorders>
            <w:shd w:val="clear" w:color="auto" w:fill="F2F2F2"/>
            <w:tcMar>
              <w:top w:w="100" w:type="dxa"/>
              <w:left w:w="140" w:type="dxa"/>
              <w:bottom w:w="100" w:type="dxa"/>
              <w:right w:w="140" w:type="dxa"/>
            </w:tcMar>
          </w:tcPr>
          <w:p w14:paraId="25947DFF" w14:textId="77777777" w:rsidR="005B69DE" w:rsidRDefault="00000000">
            <w:pPr>
              <w:spacing w:line="260" w:lineRule="auto"/>
            </w:pPr>
            <w:r>
              <w:t>Location</w:t>
            </w:r>
          </w:p>
        </w:tc>
        <w:tc>
          <w:tcPr>
            <w:tcW w:w="2420" w:type="dxa"/>
            <w:tcBorders>
              <w:top w:val="single" w:sz="4" w:space="0" w:color="B8B8B8"/>
              <w:left w:val="single" w:sz="4" w:space="0" w:color="B8B8B8"/>
              <w:bottom w:val="single" w:sz="4" w:space="0" w:color="B8B8B8"/>
              <w:right w:val="single" w:sz="4" w:space="0" w:color="B8B8B8"/>
            </w:tcBorders>
            <w:shd w:val="clear" w:color="auto" w:fill="F2F2F2"/>
            <w:tcMar>
              <w:top w:w="100" w:type="dxa"/>
              <w:left w:w="140" w:type="dxa"/>
              <w:bottom w:w="100" w:type="dxa"/>
              <w:right w:w="140" w:type="dxa"/>
            </w:tcMar>
          </w:tcPr>
          <w:p w14:paraId="4CB26060" w14:textId="77777777" w:rsidR="005B69DE" w:rsidRDefault="00000000">
            <w:pPr>
              <w:spacing w:line="260" w:lineRule="auto"/>
            </w:pPr>
            <w:r>
              <w:t>Brain and spinal cord</w:t>
            </w:r>
          </w:p>
        </w:tc>
        <w:tc>
          <w:tcPr>
            <w:tcW w:w="2420" w:type="dxa"/>
            <w:tcBorders>
              <w:top w:val="single" w:sz="4" w:space="0" w:color="B8B8B8"/>
              <w:left w:val="single" w:sz="4" w:space="0" w:color="B8B8B8"/>
              <w:bottom w:val="single" w:sz="4" w:space="0" w:color="B8B8B8"/>
              <w:right w:val="single" w:sz="4" w:space="0" w:color="B8B8B8"/>
            </w:tcBorders>
            <w:shd w:val="clear" w:color="auto" w:fill="F2F2F2"/>
            <w:tcMar>
              <w:top w:w="100" w:type="dxa"/>
              <w:left w:w="140" w:type="dxa"/>
              <w:bottom w:w="100" w:type="dxa"/>
              <w:right w:w="140" w:type="dxa"/>
            </w:tcMar>
          </w:tcPr>
          <w:p w14:paraId="72281A50" w14:textId="77777777" w:rsidR="005B69DE" w:rsidRDefault="00000000">
            <w:pPr>
              <w:spacing w:line="260" w:lineRule="auto"/>
            </w:pPr>
            <w:r>
              <w:t>Nerves and ganglia outside the CNS</w:t>
            </w:r>
          </w:p>
        </w:tc>
        <w:tc>
          <w:tcPr>
            <w:tcW w:w="2420" w:type="dxa"/>
            <w:tcBorders>
              <w:top w:val="single" w:sz="4" w:space="0" w:color="B8B8B8"/>
              <w:left w:val="single" w:sz="4" w:space="0" w:color="B8B8B8"/>
              <w:bottom w:val="single" w:sz="4" w:space="0" w:color="B8B8B8"/>
              <w:right w:val="single" w:sz="4" w:space="0" w:color="B8B8B8"/>
            </w:tcBorders>
            <w:shd w:val="clear" w:color="auto" w:fill="F2F2F2"/>
            <w:tcMar>
              <w:top w:w="100" w:type="dxa"/>
              <w:left w:w="140" w:type="dxa"/>
              <w:bottom w:w="100" w:type="dxa"/>
              <w:right w:w="140" w:type="dxa"/>
            </w:tcMar>
          </w:tcPr>
          <w:p w14:paraId="07866E4B" w14:textId="77777777" w:rsidR="005B69DE" w:rsidRDefault="00000000">
            <w:pPr>
              <w:spacing w:line="260" w:lineRule="auto"/>
            </w:pPr>
            <w:r>
              <w:t>Walls of the GI tract</w:t>
            </w:r>
          </w:p>
        </w:tc>
      </w:tr>
      <w:tr w:rsidR="005B69DE" w14:paraId="60A163F4" w14:textId="77777777">
        <w:tblPrEx>
          <w:tblCellMar>
            <w:top w:w="0" w:type="dxa"/>
            <w:bottom w:w="0" w:type="dxa"/>
          </w:tblCellMar>
        </w:tblPrEx>
        <w:tc>
          <w:tcPr>
            <w:tcW w:w="21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3CAFBCB0" w14:textId="77777777" w:rsidR="005B69DE" w:rsidRDefault="00000000">
            <w:pPr>
              <w:spacing w:line="260" w:lineRule="auto"/>
            </w:pPr>
            <w:r>
              <w:t>Approximate neuron count</w:t>
            </w:r>
          </w:p>
        </w:tc>
        <w:tc>
          <w:tcPr>
            <w:tcW w:w="242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3CE6754B" w14:textId="77777777" w:rsidR="005B69DE" w:rsidRDefault="00000000">
            <w:pPr>
              <w:spacing w:line="260" w:lineRule="auto"/>
            </w:pPr>
            <w:r>
              <w:t>~86 billion</w:t>
            </w:r>
          </w:p>
        </w:tc>
        <w:tc>
          <w:tcPr>
            <w:tcW w:w="242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702E916A" w14:textId="77777777" w:rsidR="005B69DE" w:rsidRDefault="00000000">
            <w:pPr>
              <w:spacing w:line="260" w:lineRule="auto"/>
            </w:pPr>
            <w:r>
              <w:t>Hundreds of millions</w:t>
            </w:r>
          </w:p>
        </w:tc>
        <w:tc>
          <w:tcPr>
            <w:tcW w:w="242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458D812D" w14:textId="77777777" w:rsidR="005B69DE" w:rsidRDefault="00000000">
            <w:pPr>
              <w:spacing w:line="260" w:lineRule="auto"/>
            </w:pPr>
            <w:r>
              <w:t>200–600 million</w:t>
            </w:r>
          </w:p>
        </w:tc>
      </w:tr>
      <w:tr w:rsidR="005B69DE" w14:paraId="2FA495F6" w14:textId="77777777">
        <w:tblPrEx>
          <w:tblCellMar>
            <w:top w:w="0" w:type="dxa"/>
            <w:bottom w:w="0" w:type="dxa"/>
          </w:tblCellMar>
        </w:tblPrEx>
        <w:tc>
          <w:tcPr>
            <w:tcW w:w="2100" w:type="dxa"/>
            <w:tcBorders>
              <w:top w:val="single" w:sz="4" w:space="0" w:color="B8B8B8"/>
              <w:left w:val="single" w:sz="4" w:space="0" w:color="B8B8B8"/>
              <w:bottom w:val="single" w:sz="4" w:space="0" w:color="B8B8B8"/>
              <w:right w:val="single" w:sz="4" w:space="0" w:color="B8B8B8"/>
            </w:tcBorders>
            <w:shd w:val="clear" w:color="auto" w:fill="F2F2F2"/>
            <w:tcMar>
              <w:top w:w="100" w:type="dxa"/>
              <w:left w:w="140" w:type="dxa"/>
              <w:bottom w:w="100" w:type="dxa"/>
              <w:right w:w="140" w:type="dxa"/>
            </w:tcMar>
          </w:tcPr>
          <w:p w14:paraId="2A8461DB" w14:textId="77777777" w:rsidR="005B69DE" w:rsidRDefault="00000000">
            <w:pPr>
              <w:spacing w:line="260" w:lineRule="auto"/>
            </w:pPr>
            <w:r>
              <w:t>Primary role</w:t>
            </w:r>
          </w:p>
        </w:tc>
        <w:tc>
          <w:tcPr>
            <w:tcW w:w="2420" w:type="dxa"/>
            <w:tcBorders>
              <w:top w:val="single" w:sz="4" w:space="0" w:color="B8B8B8"/>
              <w:left w:val="single" w:sz="4" w:space="0" w:color="B8B8B8"/>
              <w:bottom w:val="single" w:sz="4" w:space="0" w:color="B8B8B8"/>
              <w:right w:val="single" w:sz="4" w:space="0" w:color="B8B8B8"/>
            </w:tcBorders>
            <w:shd w:val="clear" w:color="auto" w:fill="F2F2F2"/>
            <w:tcMar>
              <w:top w:w="100" w:type="dxa"/>
              <w:left w:w="140" w:type="dxa"/>
              <w:bottom w:w="100" w:type="dxa"/>
              <w:right w:w="140" w:type="dxa"/>
            </w:tcMar>
          </w:tcPr>
          <w:p w14:paraId="33AADCB6" w14:textId="77777777" w:rsidR="005B69DE" w:rsidRDefault="00000000">
            <w:pPr>
              <w:spacing w:line="260" w:lineRule="auto"/>
            </w:pPr>
            <w:r>
              <w:t>Integration, cognition, control</w:t>
            </w:r>
          </w:p>
        </w:tc>
        <w:tc>
          <w:tcPr>
            <w:tcW w:w="2420" w:type="dxa"/>
            <w:tcBorders>
              <w:top w:val="single" w:sz="4" w:space="0" w:color="B8B8B8"/>
              <w:left w:val="single" w:sz="4" w:space="0" w:color="B8B8B8"/>
              <w:bottom w:val="single" w:sz="4" w:space="0" w:color="B8B8B8"/>
              <w:right w:val="single" w:sz="4" w:space="0" w:color="B8B8B8"/>
            </w:tcBorders>
            <w:shd w:val="clear" w:color="auto" w:fill="F2F2F2"/>
            <w:tcMar>
              <w:top w:w="100" w:type="dxa"/>
              <w:left w:w="140" w:type="dxa"/>
              <w:bottom w:w="100" w:type="dxa"/>
              <w:right w:w="140" w:type="dxa"/>
            </w:tcMar>
          </w:tcPr>
          <w:p w14:paraId="3CE1F6E7" w14:textId="77777777" w:rsidR="005B69DE" w:rsidRDefault="00000000">
            <w:pPr>
              <w:spacing w:line="260" w:lineRule="auto"/>
            </w:pPr>
            <w:r>
              <w:t>Communication between CNS and body</w:t>
            </w:r>
          </w:p>
        </w:tc>
        <w:tc>
          <w:tcPr>
            <w:tcW w:w="2420" w:type="dxa"/>
            <w:tcBorders>
              <w:top w:val="single" w:sz="4" w:space="0" w:color="B8B8B8"/>
              <w:left w:val="single" w:sz="4" w:space="0" w:color="B8B8B8"/>
              <w:bottom w:val="single" w:sz="4" w:space="0" w:color="B8B8B8"/>
              <w:right w:val="single" w:sz="4" w:space="0" w:color="B8B8B8"/>
            </w:tcBorders>
            <w:shd w:val="clear" w:color="auto" w:fill="F2F2F2"/>
            <w:tcMar>
              <w:top w:w="100" w:type="dxa"/>
              <w:left w:w="140" w:type="dxa"/>
              <w:bottom w:w="100" w:type="dxa"/>
              <w:right w:w="140" w:type="dxa"/>
            </w:tcMar>
          </w:tcPr>
          <w:p w14:paraId="43C9CC04" w14:textId="77777777" w:rsidR="005B69DE" w:rsidRDefault="00000000">
            <w:pPr>
              <w:spacing w:line="260" w:lineRule="auto"/>
            </w:pPr>
            <w:r>
              <w:t>Autonomous control of digestion</w:t>
            </w:r>
          </w:p>
        </w:tc>
      </w:tr>
      <w:tr w:rsidR="005B69DE" w14:paraId="6D79D3FB" w14:textId="77777777">
        <w:tblPrEx>
          <w:tblCellMar>
            <w:top w:w="0" w:type="dxa"/>
            <w:bottom w:w="0" w:type="dxa"/>
          </w:tblCellMar>
        </w:tblPrEx>
        <w:tc>
          <w:tcPr>
            <w:tcW w:w="21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5819D668" w14:textId="77777777" w:rsidR="005B69DE" w:rsidRDefault="00000000">
            <w:pPr>
              <w:spacing w:line="260" w:lineRule="auto"/>
            </w:pPr>
            <w:r>
              <w:t>Voluntary control</w:t>
            </w:r>
          </w:p>
        </w:tc>
        <w:tc>
          <w:tcPr>
            <w:tcW w:w="242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72433E07" w14:textId="77777777" w:rsidR="005B69DE" w:rsidRDefault="00000000">
            <w:pPr>
              <w:spacing w:line="260" w:lineRule="auto"/>
            </w:pPr>
            <w:r>
              <w:t>Yes (in part)</w:t>
            </w:r>
          </w:p>
        </w:tc>
        <w:tc>
          <w:tcPr>
            <w:tcW w:w="242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18AF821D" w14:textId="77777777" w:rsidR="005B69DE" w:rsidRDefault="00000000">
            <w:pPr>
              <w:spacing w:line="260" w:lineRule="auto"/>
            </w:pPr>
            <w:r>
              <w:t>Somatic: yes; Autonomic: no</w:t>
            </w:r>
          </w:p>
        </w:tc>
        <w:tc>
          <w:tcPr>
            <w:tcW w:w="242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201F57D9" w14:textId="77777777" w:rsidR="005B69DE" w:rsidRDefault="00000000">
            <w:pPr>
              <w:spacing w:line="260" w:lineRule="auto"/>
            </w:pPr>
            <w:r>
              <w:t>No</w:t>
            </w:r>
          </w:p>
        </w:tc>
      </w:tr>
      <w:tr w:rsidR="005B69DE" w14:paraId="5A2FAD64" w14:textId="77777777">
        <w:tblPrEx>
          <w:tblCellMar>
            <w:top w:w="0" w:type="dxa"/>
            <w:bottom w:w="0" w:type="dxa"/>
          </w:tblCellMar>
        </w:tblPrEx>
        <w:tc>
          <w:tcPr>
            <w:tcW w:w="2100" w:type="dxa"/>
            <w:tcBorders>
              <w:top w:val="single" w:sz="4" w:space="0" w:color="B8B8B8"/>
              <w:left w:val="single" w:sz="4" w:space="0" w:color="B8B8B8"/>
              <w:bottom w:val="single" w:sz="4" w:space="0" w:color="B8B8B8"/>
              <w:right w:val="single" w:sz="4" w:space="0" w:color="B8B8B8"/>
            </w:tcBorders>
            <w:shd w:val="clear" w:color="auto" w:fill="F2F2F2"/>
            <w:tcMar>
              <w:top w:w="100" w:type="dxa"/>
              <w:left w:w="140" w:type="dxa"/>
              <w:bottom w:w="100" w:type="dxa"/>
              <w:right w:w="140" w:type="dxa"/>
            </w:tcMar>
          </w:tcPr>
          <w:p w14:paraId="75C62E34" w14:textId="77777777" w:rsidR="005B69DE" w:rsidRDefault="00000000">
            <w:pPr>
              <w:spacing w:line="260" w:lineRule="auto"/>
            </w:pPr>
            <w:r>
              <w:t>Key protection</w:t>
            </w:r>
          </w:p>
        </w:tc>
        <w:tc>
          <w:tcPr>
            <w:tcW w:w="2420" w:type="dxa"/>
            <w:tcBorders>
              <w:top w:val="single" w:sz="4" w:space="0" w:color="B8B8B8"/>
              <w:left w:val="single" w:sz="4" w:space="0" w:color="B8B8B8"/>
              <w:bottom w:val="single" w:sz="4" w:space="0" w:color="B8B8B8"/>
              <w:right w:val="single" w:sz="4" w:space="0" w:color="B8B8B8"/>
            </w:tcBorders>
            <w:shd w:val="clear" w:color="auto" w:fill="F2F2F2"/>
            <w:tcMar>
              <w:top w:w="100" w:type="dxa"/>
              <w:left w:w="140" w:type="dxa"/>
              <w:bottom w:w="100" w:type="dxa"/>
              <w:right w:w="140" w:type="dxa"/>
            </w:tcMar>
          </w:tcPr>
          <w:p w14:paraId="4EE781FE" w14:textId="77777777" w:rsidR="005B69DE" w:rsidRDefault="00000000">
            <w:pPr>
              <w:spacing w:line="260" w:lineRule="auto"/>
            </w:pPr>
            <w:r>
              <w:t>Skull, vertebrae, meninges, CSF, BBB</w:t>
            </w:r>
          </w:p>
        </w:tc>
        <w:tc>
          <w:tcPr>
            <w:tcW w:w="2420" w:type="dxa"/>
            <w:tcBorders>
              <w:top w:val="single" w:sz="4" w:space="0" w:color="B8B8B8"/>
              <w:left w:val="single" w:sz="4" w:space="0" w:color="B8B8B8"/>
              <w:bottom w:val="single" w:sz="4" w:space="0" w:color="B8B8B8"/>
              <w:right w:val="single" w:sz="4" w:space="0" w:color="B8B8B8"/>
            </w:tcBorders>
            <w:shd w:val="clear" w:color="auto" w:fill="F2F2F2"/>
            <w:tcMar>
              <w:top w:w="100" w:type="dxa"/>
              <w:left w:w="140" w:type="dxa"/>
              <w:bottom w:w="100" w:type="dxa"/>
              <w:right w:w="140" w:type="dxa"/>
            </w:tcMar>
          </w:tcPr>
          <w:p w14:paraId="2272C5EA" w14:textId="77777777" w:rsidR="005B69DE" w:rsidRDefault="00000000">
            <w:pPr>
              <w:spacing w:line="260" w:lineRule="auto"/>
            </w:pPr>
            <w:r>
              <w:t>Connective tissue sheaths (epi-, peri-, endoneurium)</w:t>
            </w:r>
          </w:p>
        </w:tc>
        <w:tc>
          <w:tcPr>
            <w:tcW w:w="2420" w:type="dxa"/>
            <w:tcBorders>
              <w:top w:val="single" w:sz="4" w:space="0" w:color="B8B8B8"/>
              <w:left w:val="single" w:sz="4" w:space="0" w:color="B8B8B8"/>
              <w:bottom w:val="single" w:sz="4" w:space="0" w:color="B8B8B8"/>
              <w:right w:val="single" w:sz="4" w:space="0" w:color="B8B8B8"/>
            </w:tcBorders>
            <w:shd w:val="clear" w:color="auto" w:fill="F2F2F2"/>
            <w:tcMar>
              <w:top w:w="100" w:type="dxa"/>
              <w:left w:w="140" w:type="dxa"/>
              <w:bottom w:w="100" w:type="dxa"/>
              <w:right w:w="140" w:type="dxa"/>
            </w:tcMar>
          </w:tcPr>
          <w:p w14:paraId="281F7747" w14:textId="77777777" w:rsidR="005B69DE" w:rsidRDefault="00000000">
            <w:pPr>
              <w:spacing w:line="260" w:lineRule="auto"/>
            </w:pPr>
            <w:r>
              <w:t>Gut wall, mucosal barrier</w:t>
            </w:r>
          </w:p>
        </w:tc>
      </w:tr>
      <w:tr w:rsidR="005B69DE" w14:paraId="099810E9" w14:textId="77777777">
        <w:tblPrEx>
          <w:tblCellMar>
            <w:top w:w="0" w:type="dxa"/>
            <w:bottom w:w="0" w:type="dxa"/>
          </w:tblCellMar>
        </w:tblPrEx>
        <w:tc>
          <w:tcPr>
            <w:tcW w:w="210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721BC3EB" w14:textId="77777777" w:rsidR="005B69DE" w:rsidRDefault="00000000">
            <w:pPr>
              <w:spacing w:line="260" w:lineRule="auto"/>
            </w:pPr>
            <w:r>
              <w:t>Representative disorders</w:t>
            </w:r>
          </w:p>
        </w:tc>
        <w:tc>
          <w:tcPr>
            <w:tcW w:w="242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2E381279" w14:textId="77777777" w:rsidR="005B69DE" w:rsidRDefault="00000000">
            <w:pPr>
              <w:spacing w:line="260" w:lineRule="auto"/>
            </w:pPr>
            <w:r>
              <w:t>Stroke, MS, Parkinson's, Alzheimer's</w:t>
            </w:r>
          </w:p>
        </w:tc>
        <w:tc>
          <w:tcPr>
            <w:tcW w:w="242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3829686D" w14:textId="77777777" w:rsidR="005B69DE" w:rsidRDefault="00000000">
            <w:pPr>
              <w:spacing w:line="260" w:lineRule="auto"/>
            </w:pPr>
            <w:r>
              <w:t>Neuropathy, Guillain–Barré, Bell's palsy</w:t>
            </w:r>
          </w:p>
        </w:tc>
        <w:tc>
          <w:tcPr>
            <w:tcW w:w="2420" w:type="dxa"/>
            <w:tcBorders>
              <w:top w:val="single" w:sz="4" w:space="0" w:color="B8B8B8"/>
              <w:left w:val="single" w:sz="4" w:space="0" w:color="B8B8B8"/>
              <w:bottom w:val="single" w:sz="4" w:space="0" w:color="B8B8B8"/>
              <w:right w:val="single" w:sz="4" w:space="0" w:color="B8B8B8"/>
            </w:tcBorders>
            <w:tcMar>
              <w:top w:w="100" w:type="dxa"/>
              <w:left w:w="140" w:type="dxa"/>
              <w:bottom w:w="100" w:type="dxa"/>
              <w:right w:w="140" w:type="dxa"/>
            </w:tcMar>
          </w:tcPr>
          <w:p w14:paraId="2797E77B" w14:textId="77777777" w:rsidR="005B69DE" w:rsidRDefault="00000000">
            <w:pPr>
              <w:spacing w:line="260" w:lineRule="auto"/>
            </w:pPr>
            <w:r>
              <w:t>IBS, Hirschsprung's, gastroparesis</w:t>
            </w:r>
          </w:p>
        </w:tc>
      </w:tr>
    </w:tbl>
    <w:p w14:paraId="29CD691A" w14:textId="77777777" w:rsidR="005B69DE" w:rsidRDefault="005B69DE">
      <w:pPr>
        <w:spacing w:after="100"/>
      </w:pPr>
    </w:p>
    <w:p w14:paraId="4845D599" w14:textId="77777777" w:rsidR="005B69DE" w:rsidRDefault="00000000">
      <w:pPr>
        <w:pStyle w:val="Heading1"/>
      </w:pPr>
      <w:r>
        <w:t>6. Conclusion</w:t>
      </w:r>
    </w:p>
    <w:p w14:paraId="3A202F8A" w14:textId="77777777" w:rsidR="005B69DE" w:rsidRDefault="00000000">
      <w:pPr>
        <w:spacing w:after="120" w:line="300" w:lineRule="auto"/>
        <w:jc w:val="both"/>
      </w:pPr>
      <w:r>
        <w:t>The nervous system is a beautifully integrated network in which three divisions work in concert. The central nervous system supplies the computational power for perception, thought, and control; the peripheral nervous system carries signals to and from every tissue in the body and regulates the involuntary functions that sustain life; and the enteric nervous system governs the complex work of digestion with a striking degree of autonomy while remaining in continuous dialogue with the brain.</w:t>
      </w:r>
    </w:p>
    <w:p w14:paraId="7FCC9C9E" w14:textId="77777777" w:rsidR="005B69DE" w:rsidRDefault="00000000">
      <w:pPr>
        <w:spacing w:after="120" w:line="300" w:lineRule="auto"/>
        <w:jc w:val="both"/>
      </w:pPr>
      <w:r>
        <w:t>Understanding these three systems — their anatomy, their cellular machinery, their cooperation, and their vulnerabilities — is foundational to neuroscience, medicine, and psychology. Continuing research, particularly into the gut–brain axis and the role of the microbiota, is reshaping our appreciation of how deeply the nervous system is integrated with every other aspect of human physiology.</w:t>
      </w:r>
    </w:p>
    <w:sectPr w:rsidR="005B69D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499B07" w14:textId="77777777" w:rsidR="00886C65" w:rsidRDefault="00886C65">
      <w:r>
        <w:separator/>
      </w:r>
    </w:p>
  </w:endnote>
  <w:endnote w:type="continuationSeparator" w:id="0">
    <w:p w14:paraId="19DF3549" w14:textId="77777777" w:rsidR="00886C65" w:rsidRDefault="00886C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E7243" w14:textId="77777777" w:rsidR="005B69DE" w:rsidRDefault="00000000">
    <w:pPr>
      <w:jc w:val="center"/>
    </w:pPr>
    <w:r>
      <w:rPr>
        <w:color w:val="777777"/>
        <w:sz w:val="18"/>
        <w:szCs w:val="18"/>
      </w:rPr>
      <w:t xml:space="preserve">Page </w:t>
    </w:r>
    <w:r>
      <w:rPr>
        <w:color w:val="777777"/>
        <w:sz w:val="18"/>
        <w:szCs w:val="18"/>
      </w:rPr>
      <w:fldChar w:fldCharType="begin"/>
    </w:r>
    <w:r>
      <w:rPr>
        <w:color w:val="777777"/>
        <w:sz w:val="18"/>
        <w:szCs w:val="18"/>
      </w:rPr>
      <w:instrText>PAGE</w:instrText>
    </w:r>
    <w:r>
      <w:rPr>
        <w:color w:val="777777"/>
        <w:sz w:val="18"/>
        <w:szCs w:val="18"/>
      </w:rPr>
      <w:fldChar w:fldCharType="separate"/>
    </w:r>
    <w:r w:rsidR="00286909">
      <w:rPr>
        <w:noProof/>
        <w:color w:val="777777"/>
        <w:sz w:val="18"/>
        <w:szCs w:val="18"/>
      </w:rPr>
      <w:t>1</w:t>
    </w:r>
    <w:r>
      <w:rPr>
        <w:color w:val="777777"/>
        <w:sz w:val="18"/>
        <w:szCs w:val="18"/>
      </w:rPr>
      <w:fldChar w:fldCharType="end"/>
    </w:r>
    <w:r>
      <w:rPr>
        <w:color w:val="777777"/>
        <w:sz w:val="18"/>
        <w:szCs w:val="18"/>
      </w:rPr>
      <w:t xml:space="preserve"> of </w:t>
    </w:r>
    <w:r>
      <w:rPr>
        <w:color w:val="777777"/>
        <w:sz w:val="18"/>
        <w:szCs w:val="18"/>
      </w:rPr>
      <w:fldChar w:fldCharType="begin"/>
    </w:r>
    <w:r>
      <w:rPr>
        <w:color w:val="777777"/>
        <w:sz w:val="18"/>
        <w:szCs w:val="18"/>
      </w:rPr>
      <w:instrText>NUMPAGES</w:instrText>
    </w:r>
    <w:r>
      <w:rPr>
        <w:color w:val="777777"/>
        <w:sz w:val="18"/>
        <w:szCs w:val="18"/>
      </w:rPr>
      <w:fldChar w:fldCharType="separate"/>
    </w:r>
    <w:r w:rsidR="00286909">
      <w:rPr>
        <w:noProof/>
        <w:color w:val="777777"/>
        <w:sz w:val="18"/>
        <w:szCs w:val="18"/>
      </w:rPr>
      <w:t>2</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97FF9A" w14:textId="77777777" w:rsidR="00886C65" w:rsidRDefault="00886C65">
      <w:r>
        <w:separator/>
      </w:r>
    </w:p>
  </w:footnote>
  <w:footnote w:type="continuationSeparator" w:id="0">
    <w:p w14:paraId="5926218A" w14:textId="77777777" w:rsidR="00886C65" w:rsidRDefault="00886C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ADC19" w14:textId="77777777" w:rsidR="005B69DE" w:rsidRDefault="00000000">
    <w:pPr>
      <w:pBdr>
        <w:bottom w:val="single" w:sz="6" w:space="4" w:color="2E5984"/>
      </w:pBdr>
      <w:jc w:val="right"/>
    </w:pPr>
    <w:r>
      <w:rPr>
        <w:i/>
        <w:iCs/>
        <w:color w:val="555555"/>
        <w:sz w:val="20"/>
        <w:szCs w:val="20"/>
      </w:rPr>
      <w:t>The Human Nervous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7F7834"/>
    <w:multiLevelType w:val="hybridMultilevel"/>
    <w:tmpl w:val="5ECE6A4C"/>
    <w:lvl w:ilvl="0" w:tplc="41B06E7C">
      <w:start w:val="1"/>
      <w:numFmt w:val="bullet"/>
      <w:lvlText w:val="●"/>
      <w:lvlJc w:val="left"/>
      <w:pPr>
        <w:ind w:left="720" w:hanging="360"/>
      </w:pPr>
    </w:lvl>
    <w:lvl w:ilvl="1" w:tplc="01628190">
      <w:start w:val="1"/>
      <w:numFmt w:val="bullet"/>
      <w:lvlText w:val="○"/>
      <w:lvlJc w:val="left"/>
      <w:pPr>
        <w:ind w:left="1440" w:hanging="360"/>
      </w:pPr>
    </w:lvl>
    <w:lvl w:ilvl="2" w:tplc="15E8B002">
      <w:start w:val="1"/>
      <w:numFmt w:val="bullet"/>
      <w:lvlText w:val="■"/>
      <w:lvlJc w:val="left"/>
      <w:pPr>
        <w:ind w:left="2160" w:hanging="360"/>
      </w:pPr>
    </w:lvl>
    <w:lvl w:ilvl="3" w:tplc="EB06E72A">
      <w:start w:val="1"/>
      <w:numFmt w:val="bullet"/>
      <w:lvlText w:val="●"/>
      <w:lvlJc w:val="left"/>
      <w:pPr>
        <w:ind w:left="2880" w:hanging="360"/>
      </w:pPr>
    </w:lvl>
    <w:lvl w:ilvl="4" w:tplc="B8EA91E6">
      <w:start w:val="1"/>
      <w:numFmt w:val="bullet"/>
      <w:lvlText w:val="○"/>
      <w:lvlJc w:val="left"/>
      <w:pPr>
        <w:ind w:left="3600" w:hanging="360"/>
      </w:pPr>
    </w:lvl>
    <w:lvl w:ilvl="5" w:tplc="A7947524">
      <w:start w:val="1"/>
      <w:numFmt w:val="bullet"/>
      <w:lvlText w:val="■"/>
      <w:lvlJc w:val="left"/>
      <w:pPr>
        <w:ind w:left="4320" w:hanging="360"/>
      </w:pPr>
    </w:lvl>
    <w:lvl w:ilvl="6" w:tplc="7EEED766">
      <w:start w:val="1"/>
      <w:numFmt w:val="bullet"/>
      <w:lvlText w:val="●"/>
      <w:lvlJc w:val="left"/>
      <w:pPr>
        <w:ind w:left="5040" w:hanging="360"/>
      </w:pPr>
    </w:lvl>
    <w:lvl w:ilvl="7" w:tplc="24E48B92">
      <w:start w:val="1"/>
      <w:numFmt w:val="bullet"/>
      <w:lvlText w:val="●"/>
      <w:lvlJc w:val="left"/>
      <w:pPr>
        <w:ind w:left="5760" w:hanging="360"/>
      </w:pPr>
    </w:lvl>
    <w:lvl w:ilvl="8" w:tplc="097E9CD0">
      <w:start w:val="1"/>
      <w:numFmt w:val="bullet"/>
      <w:lvlText w:val="●"/>
      <w:lvlJc w:val="left"/>
      <w:pPr>
        <w:ind w:left="6480" w:hanging="360"/>
      </w:pPr>
    </w:lvl>
  </w:abstractNum>
  <w:abstractNum w:abstractNumId="1" w15:restartNumberingAfterBreak="0">
    <w:nsid w:val="64991588"/>
    <w:multiLevelType w:val="hybridMultilevel"/>
    <w:tmpl w:val="7AE8B210"/>
    <w:lvl w:ilvl="0" w:tplc="AB64B166">
      <w:start w:val="1"/>
      <w:numFmt w:val="bullet"/>
      <w:lvlText w:val="•"/>
      <w:lvlJc w:val="left"/>
      <w:pPr>
        <w:ind w:left="720" w:hanging="360"/>
      </w:pPr>
    </w:lvl>
    <w:lvl w:ilvl="1" w:tplc="0F58FD80">
      <w:numFmt w:val="decimal"/>
      <w:lvlText w:val=""/>
      <w:lvlJc w:val="left"/>
    </w:lvl>
    <w:lvl w:ilvl="2" w:tplc="B5D2CB9C">
      <w:numFmt w:val="decimal"/>
      <w:lvlText w:val=""/>
      <w:lvlJc w:val="left"/>
    </w:lvl>
    <w:lvl w:ilvl="3" w:tplc="D34218A2">
      <w:numFmt w:val="decimal"/>
      <w:lvlText w:val=""/>
      <w:lvlJc w:val="left"/>
    </w:lvl>
    <w:lvl w:ilvl="4" w:tplc="4E6266C2">
      <w:numFmt w:val="decimal"/>
      <w:lvlText w:val=""/>
      <w:lvlJc w:val="left"/>
    </w:lvl>
    <w:lvl w:ilvl="5" w:tplc="9BF6DC94">
      <w:numFmt w:val="decimal"/>
      <w:lvlText w:val=""/>
      <w:lvlJc w:val="left"/>
    </w:lvl>
    <w:lvl w:ilvl="6" w:tplc="BD4C96A8">
      <w:numFmt w:val="decimal"/>
      <w:lvlText w:val=""/>
      <w:lvlJc w:val="left"/>
    </w:lvl>
    <w:lvl w:ilvl="7" w:tplc="5A921A90">
      <w:numFmt w:val="decimal"/>
      <w:lvlText w:val=""/>
      <w:lvlJc w:val="left"/>
    </w:lvl>
    <w:lvl w:ilvl="8" w:tplc="65749EE2">
      <w:numFmt w:val="decimal"/>
      <w:lvlText w:val=""/>
      <w:lvlJc w:val="left"/>
    </w:lvl>
  </w:abstractNum>
  <w:num w:numId="1" w16cid:durableId="1339427572">
    <w:abstractNumId w:val="0"/>
    <w:lvlOverride w:ilvl="0">
      <w:startOverride w:val="1"/>
    </w:lvlOverride>
  </w:num>
  <w:num w:numId="2" w16cid:durableId="93128288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69DE"/>
    <w:rsid w:val="00286909"/>
    <w:rsid w:val="005B69DE"/>
    <w:rsid w:val="00886C65"/>
    <w:rsid w:val="009627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CE9A3EF"/>
  <w15:docId w15:val="{7C5C112B-69E2-5E4B-B952-AF978A885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A5F"/>
      <w:sz w:val="36"/>
      <w:szCs w:val="36"/>
    </w:rPr>
  </w:style>
  <w:style w:type="paragraph" w:styleId="Heading2">
    <w:name w:val="heading 2"/>
    <w:uiPriority w:val="9"/>
    <w:unhideWhenUsed/>
    <w:qFormat/>
    <w:pPr>
      <w:spacing w:before="280" w:after="140"/>
      <w:outlineLvl w:val="1"/>
    </w:pPr>
    <w:rPr>
      <w:b/>
      <w:bCs/>
      <w:color w:val="2E5984"/>
      <w:sz w:val="28"/>
      <w:szCs w:val="28"/>
    </w:rPr>
  </w:style>
  <w:style w:type="paragraph" w:styleId="Heading3">
    <w:name w:val="heading 3"/>
    <w:uiPriority w:val="9"/>
    <w:unhideWhenUsed/>
    <w:qFormat/>
    <w:pPr>
      <w:spacing w:before="220" w:after="100"/>
      <w:outlineLvl w:val="2"/>
    </w:pPr>
    <w:rPr>
      <w:b/>
      <w:bCs/>
      <w:color w:val="44444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2141</Words>
  <Characters>17132</Characters>
  <Application>Microsoft Office Word</Application>
  <DocSecurity>0</DocSecurity>
  <Lines>2447</Lines>
  <Paragraphs>1284</Paragraphs>
  <ScaleCrop>false</ScaleCrop>
  <Company/>
  <LinksUpToDate>false</LinksUpToDate>
  <CharactersWithSpaces>17989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Human Nervous System</dc:title>
  <dc:creator>Claude</dc:creator>
  <dc:description>A detailed overview of the central, peripheral, and enteric nervous systems</dc:description>
  <cp:lastModifiedBy>Ortiz, Megan</cp:lastModifiedBy>
  <cp:revision>2</cp:revision>
  <dcterms:created xsi:type="dcterms:W3CDTF">2026-04-18T19:18:00Z</dcterms:created>
  <dcterms:modified xsi:type="dcterms:W3CDTF">2026-04-18T19:18:00Z</dcterms:modified>
</cp:coreProperties>
</file>