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PsychPro Content Expansion — Tier-2 Quiz Pools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Net-new quiz questions for three high-yield clinical topics whose quiz pools were thin (15 each) despite deep flashcard sets (50 each). Multiple-choice with teaching explanations; distractors target genuine confusions. Review before inserting; MCP insert is live immediately. Append to the existing 15 questions per topic — do not replace.</w:t>
      </w:r>
    </w:p>
    <w:p>
      <w:pPr>
        <w:spacing w:after="60" w:before="240"/>
      </w:pPr>
      <w:r>
        <w:rPr>
          <w:b/>
          <w:bCs/>
          <w:color w:val="1F6B83"/>
          <w:sz w:val="26"/>
          <w:szCs w:val="26"/>
        </w:rPr>
        <w:t xml:space="preserve">Topic 12 — ADHD &amp; Medications</w:t>
      </w: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15 net-new quiz questions for topic_id 12 (existing 15 → new total 30). Consider marking ~half examOnly=true to enrich the practice exam.</w:t>
      </w:r>
    </w:p>
    <w:p>
      <w:pPr>
        <w:spacing w:after="50" w:before="140"/>
      </w:pPr>
      <w:r>
        <w:rPr>
          <w:b/>
          <w:bCs/>
          <w:color w:val="1F6B83"/>
        </w:rPr>
        <w:t xml:space="preserve">Q1. </w:t>
      </w:r>
      <w:r>
        <w:rPr>
          <w:b/>
          <w:bCs/>
        </w:rPr>
        <w:t xml:space="preserve">The two core symptom dimensions of ADHD are: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Anxiety and depression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Inattention and hyperactivity-impulsivity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Mania and psychosis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Obsessions and compulsions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ADHD is defined by inattention and hyperactivity-impulsivity; either or both may predominate, yielding the inattentive, hyperactive-impulsive, or combined presentations.</w:t>
      </w:r>
    </w:p>
    <w:p>
      <w:pPr>
        <w:spacing w:after="50" w:before="140"/>
      </w:pPr>
      <w:r>
        <w:rPr>
          <w:b/>
          <w:bCs/>
          <w:color w:val="1F6B83"/>
        </w:rPr>
        <w:t xml:space="preserve">Q2. </w:t>
      </w:r>
      <w:r>
        <w:rPr>
          <w:b/>
          <w:bCs/>
        </w:rPr>
        <w:t xml:space="preserve">Stimulant medications for ADHD work primarily by: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Blocking serotonin reuptake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Increasing dopamine and norepinephrine availability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Antagonizing GABA receptors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Blocking histamine receptors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Stimulants (methylphenidate, amphetamines) increase synaptic dopamine and norepinephrine, improving prefrontal regulation of attention and impulse control.</w:t>
      </w:r>
    </w:p>
    <w:p>
      <w:pPr>
        <w:spacing w:after="50" w:before="140"/>
      </w:pPr>
      <w:r>
        <w:rPr>
          <w:b/>
          <w:bCs/>
          <w:color w:val="1F6B83"/>
        </w:rPr>
        <w:t xml:space="preserve">Q3. </w:t>
      </w:r>
      <w:r>
        <w:rPr>
          <w:b/>
          <w:bCs/>
        </w:rPr>
        <w:t xml:space="preserve">The primary mechanistic difference between methylphenidate and amphetamines is that amphetamines also: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Block serotonin reuptake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Cause release/reverse transport of dopamine, not just block reuptake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Act only on norepinephrine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Have no abuse potential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Methylphenidate mainly blocks dopamine/norepinephrine reuptake; amphetamines both block reuptake AND promote release via reverse transport — a subtle but important distinction.</w:t>
      </w:r>
    </w:p>
    <w:p>
      <w:pPr>
        <w:spacing w:after="50" w:before="140"/>
      </w:pPr>
      <w:r>
        <w:rPr>
          <w:b/>
          <w:bCs/>
          <w:color w:val="1F6B83"/>
        </w:rPr>
        <w:t xml:space="preserve">Q4. </w:t>
      </w:r>
      <w:r>
        <w:rPr>
          <w:b/>
          <w:bCs/>
        </w:rPr>
        <w:t xml:space="preserve">Which is a non-stimulant approved for ADHD that works as a selective norepinephrine reuptake inhibitor?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Methylphenidate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Atomoxetine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Lisdexamfetamine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Bupropion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Atomoxetine is a selective norepinephrine reuptake inhibitor and a first-line non-stimulant option, useful when stimulants are contraindicated or not tolerated.</w:t>
      </w:r>
    </w:p>
    <w:p>
      <w:pPr>
        <w:spacing w:after="50" w:before="140"/>
      </w:pPr>
      <w:r>
        <w:rPr>
          <w:b/>
          <w:bCs/>
          <w:color w:val="1F6B83"/>
        </w:rPr>
        <w:t xml:space="preserve">Q5. </w:t>
      </w:r>
      <w:r>
        <w:rPr>
          <w:b/>
          <w:bCs/>
        </w:rPr>
        <w:t xml:space="preserve">Guanfacine and clonidine treat ADHD as: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Dopamine agonists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Alpha-2 adrenergic agonists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NMDA antagonists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SSRIs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Guanfacine and clonidine are alpha-2 adrenergic agonists; they are non-stimulant options, sometimes used adjunctively, and can help with hyperactivity and associated sleep or tic issues.</w:t>
      </w:r>
    </w:p>
    <w:p>
      <w:pPr>
        <w:spacing w:after="50" w:before="140"/>
      </w:pPr>
      <w:r>
        <w:rPr>
          <w:b/>
          <w:bCs/>
          <w:color w:val="1F6B83"/>
        </w:rPr>
        <w:t xml:space="preserve">Q6. </w:t>
      </w:r>
      <w:r>
        <w:rPr>
          <w:b/>
          <w:bCs/>
        </w:rPr>
        <w:t xml:space="preserve">Lisdexamfetamine is notable because it is: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A non-stimulant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 prodrug requiring enzymatic conversion to dextroamphetamine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An alpha-2 agonist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An SSRI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Lisdexamfetamine is a prodrug — inactive until metabolized to dextroamphetamine — giving a smoother onset and lower abuse potential than immediate-release amphetamine.</w:t>
      </w:r>
    </w:p>
    <w:p>
      <w:pPr>
        <w:spacing w:after="50" w:before="140"/>
      </w:pPr>
      <w:r>
        <w:rPr>
          <w:b/>
          <w:bCs/>
          <w:color w:val="1F6B83"/>
        </w:rPr>
        <w:t xml:space="preserve">Q7. </w:t>
      </w:r>
      <w:r>
        <w:rPr>
          <w:b/>
          <w:bCs/>
        </w:rPr>
        <w:t xml:space="preserve">The executive-function profile most consistently affected in ADHD includes deficits in: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Long-term semantic memory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Working memory, response inhibition, and sustained attention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Visual acuity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Language comprehension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ADHD is associated with deficits in working memory, response inhibition, sustained attention, and arousal self-regulation — the ‘cool’ and ‘hot’ executive control systems.</w:t>
      </w:r>
    </w:p>
    <w:p>
      <w:pPr>
        <w:spacing w:after="50" w:before="140"/>
      </w:pPr>
      <w:r>
        <w:rPr>
          <w:b/>
          <w:bCs/>
          <w:color w:val="1F6B83"/>
        </w:rPr>
        <w:t xml:space="preserve">Q8. </w:t>
      </w:r>
      <w:r>
        <w:rPr>
          <w:b/>
          <w:bCs/>
        </w:rPr>
        <w:t xml:space="preserve">A key safety consideration before starting stimulants is: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Liver biopsy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Cardiovascular history and blood pressure/heart rate monitoring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Thyroid ablation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EEG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Stimulants raise heart rate and blood pressure, so cardiovascular history and baseline/ongoing vitals monitoring are standard safety steps.</w:t>
      </w:r>
    </w:p>
    <w:p>
      <w:pPr>
        <w:spacing w:after="50" w:before="140"/>
      </w:pPr>
      <w:r>
        <w:rPr>
          <w:b/>
          <w:bCs/>
          <w:color w:val="1F6B83"/>
        </w:rPr>
        <w:t xml:space="preserve">Q9. </w:t>
      </w:r>
      <w:r>
        <w:rPr>
          <w:b/>
          <w:bCs/>
        </w:rPr>
        <w:t xml:space="preserve">Atomoxetine differs from stimulants in onset because it: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Works within 30 minutes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Has a delayed onset, taking weeks for full effect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Requires no titration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Is taken only as needed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Unlike stimulants (rapid onset), atomoxetine has a delayed therapeutic onset over several weeks, more like an antidepressant.</w:t>
      </w:r>
    </w:p>
    <w:p>
      <w:pPr>
        <w:spacing w:after="50" w:before="140"/>
      </w:pPr>
      <w:r>
        <w:rPr>
          <w:b/>
          <w:bCs/>
          <w:color w:val="1F6B83"/>
        </w:rPr>
        <w:t xml:space="preserve">Q10. </w:t>
      </w:r>
      <w:r>
        <w:rPr>
          <w:b/>
          <w:bCs/>
        </w:rPr>
        <w:t xml:space="preserve">Which carries the lowest abuse/diversion potential for ADHD?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Immediate-release amphetamine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Atomoxetine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Immediate-release methylphenidate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Dextroamphetamine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Atomoxetine, a non-stimulant, is not a controlled substance and has minimal abuse/diversion potential, unlike the stimulant options.</w:t>
      </w:r>
    </w:p>
    <w:p>
      <w:pPr>
        <w:spacing w:after="50" w:before="140"/>
      </w:pPr>
      <w:r>
        <w:rPr>
          <w:b/>
          <w:bCs/>
          <w:color w:val="1F6B83"/>
        </w:rPr>
        <w:t xml:space="preserve">Q11. </w:t>
      </w:r>
      <w:r>
        <w:rPr>
          <w:b/>
          <w:bCs/>
        </w:rPr>
        <w:t xml:space="preserve">Adult ADHD diagnosis requires that symptoms: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First appeared after age 30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Were present before age 12 (per DSM-5)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Are limited to one setting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Include psychosis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DSM-5 requires several symptoms present before age 12 and across more than one setting, reflecting ADHD as a neurodevelopmental disorder, not adult-onset.</w:t>
      </w:r>
    </w:p>
    <w:p>
      <w:pPr>
        <w:spacing w:after="50" w:before="140"/>
      </w:pPr>
      <w:r>
        <w:rPr>
          <w:b/>
          <w:bCs/>
          <w:color w:val="1F6B83"/>
        </w:rPr>
        <w:t xml:space="preserve">Q12. </w:t>
      </w:r>
      <w:r>
        <w:rPr>
          <w:b/>
          <w:bCs/>
        </w:rPr>
        <w:t xml:space="preserve">A common stimulant side effect that prescribers monitor in children is: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Weight gain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Appetite suppression and growth effects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Hypersomnia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Bradycardia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Appetite suppression (with possible effects on growth), insomnia, and increased heart rate/blood pressure are common stimulant side effects monitored over time.</w:t>
      </w:r>
    </w:p>
    <w:p>
      <w:pPr>
        <w:spacing w:after="50" w:before="140"/>
      </w:pPr>
      <w:r>
        <w:rPr>
          <w:b/>
          <w:bCs/>
          <w:color w:val="1F6B83"/>
        </w:rPr>
        <w:t xml:space="preserve">Q13. </w:t>
      </w:r>
      <w:r>
        <w:rPr>
          <w:b/>
          <w:bCs/>
        </w:rPr>
        <w:t xml:space="preserve">Bupropion is sometimes used off-label for ADHD because it: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Is an alpha-2 agonist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Inhibits dopamine and norepinephrine reuptake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Is a stimulant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Blocks serotonin only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Bupropion (a norepinephrine-dopamine reuptake inhibitor) is sometimes used off-label, especially with comorbid depression, though it is less effective than first-line agents.</w:t>
      </w:r>
    </w:p>
    <w:p>
      <w:pPr>
        <w:spacing w:after="50" w:before="140"/>
      </w:pPr>
      <w:r>
        <w:rPr>
          <w:b/>
          <w:bCs/>
          <w:color w:val="1F6B83"/>
        </w:rPr>
        <w:t xml:space="preserve">Q14. </w:t>
      </w:r>
      <w:r>
        <w:rPr>
          <w:b/>
          <w:bCs/>
        </w:rPr>
        <w:t xml:space="preserve">The most evidence-based treatment approach for childhood ADHD combines: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Medication only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Behavioral/parent-training interventions and medication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Psychoanalysis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Dietary elimination alone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Best evidence supports combining behavioral interventions (parent training, classroom strategies) with medication, particularly for functional and comorbid outcomes.</w:t>
      </w:r>
    </w:p>
    <w:p>
      <w:pPr>
        <w:spacing w:after="50" w:before="140"/>
      </w:pPr>
      <w:r>
        <w:rPr>
          <w:b/>
          <w:bCs/>
          <w:color w:val="1F6B83"/>
        </w:rPr>
        <w:t xml:space="preserve">Q15. </w:t>
      </w:r>
      <w:r>
        <w:rPr>
          <w:b/>
          <w:bCs/>
        </w:rPr>
        <w:t xml:space="preserve">Tics or a personal/family history of tics may favor which ADHD option?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High-dose amphetamine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Alpha-2 agonists (guanfacine/clonidine) or atomoxetine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Immediate-release methylphenidate at high dose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No treatment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When tics are a concern, non-stimulant options such as alpha-2 agonists or atomoxetine are often preferred, since stimulants can sometimes exacerbate tics.</w:t>
      </w:r>
    </w:p>
    <w:p>
      <w:pPr>
        <w:spacing w:after="60" w:before="240"/>
      </w:pPr>
      <w:r>
        <w:rPr>
          <w:b/>
          <w:bCs/>
          <w:color w:val="1F6B83"/>
          <w:sz w:val="26"/>
          <w:szCs w:val="26"/>
        </w:rPr>
        <w:t xml:space="preserve">Topic 9 — Psychopharmacology</w:t>
      </w: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16 net-new quiz questions for topic_id 9 (existing 15 → new total 31). Consider marking ~half examOnly=true to enrich the practice exam.</w:t>
      </w:r>
    </w:p>
    <w:p>
      <w:pPr>
        <w:spacing w:after="50" w:before="140"/>
      </w:pPr>
      <w:r>
        <w:rPr>
          <w:b/>
          <w:bCs/>
          <w:color w:val="1F6B83"/>
        </w:rPr>
        <w:t xml:space="preserve">Q1. </w:t>
      </w:r>
      <w:r>
        <w:rPr>
          <w:b/>
          <w:bCs/>
        </w:rPr>
        <w:t xml:space="preserve">The therapeutic delay of antidepressants (2–4 weeks despite immediate synaptic effects) is best explained by: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Slow absorption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Downstream adaptations such as receptor changes and neuroplasticity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Hepatic first-pass only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Placebo response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Monoamine levels rise quickly, but clinical improvement lags, implicating downstream adaptations — receptor downregulation, gene expression, and neuroplastic changes — rather than the immediate reuptake effect.</w:t>
      </w:r>
    </w:p>
    <w:p>
      <w:pPr>
        <w:spacing w:after="50" w:before="140"/>
      </w:pPr>
      <w:r>
        <w:rPr>
          <w:b/>
          <w:bCs/>
          <w:color w:val="1F6B83"/>
        </w:rPr>
        <w:t xml:space="preserve">Q2. </w:t>
      </w:r>
      <w:r>
        <w:rPr>
          <w:b/>
          <w:bCs/>
        </w:rPr>
        <w:t xml:space="preserve">Serotonin syndrome is distinguished from neuroleptic malignant syndrome (NMS) by: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Lead-pipe rigidity and slow onset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Clonus, hyperreflexia, and rapid onset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Absence of autonomic signs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Occurring only with antipsychotics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Serotonin syndrome features clonus, hyperreflexia, agitation, and rapid onset; NMS features ‘lead-pipe’ rigidity, hyporeflexia, and a slower onset — the key differential.</w:t>
      </w:r>
    </w:p>
    <w:p>
      <w:pPr>
        <w:spacing w:after="50" w:before="140"/>
      </w:pPr>
      <w:r>
        <w:rPr>
          <w:b/>
          <w:bCs/>
          <w:color w:val="1F6B83"/>
        </w:rPr>
        <w:t xml:space="preserve">Q3. </w:t>
      </w:r>
      <w:r>
        <w:rPr>
          <w:b/>
          <w:bCs/>
        </w:rPr>
        <w:t xml:space="preserve">Lithium’s narrow therapeutic index means clinicians must monitor: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Liver enzymes only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Serum levels, renal function, and thyroid function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EEG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Bone density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Lithium has a narrow therapeutic window (~0.6–1.2 mEq/L); levels, renal function, and thyroid function require monitoring due to toxicity and long-term effects.</w:t>
      </w:r>
    </w:p>
    <w:p>
      <w:pPr>
        <w:spacing w:after="50" w:before="140"/>
      </w:pPr>
      <w:r>
        <w:rPr>
          <w:b/>
          <w:bCs/>
          <w:color w:val="1F6B83"/>
        </w:rPr>
        <w:t xml:space="preserve">Q4. </w:t>
      </w:r>
      <w:r>
        <w:rPr>
          <w:b/>
          <w:bCs/>
        </w:rPr>
        <w:t xml:space="preserve">The dietary restriction required with irreversible MAOIs exists because tyramine can cause: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Serotonin syndrome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 hypertensive crisis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Hypoglycemia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Agranulocytosis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MAOIs impair tyramine breakdown; dietary tyramine (aged cheeses, cured meats) can then trigger a dangerous hypertensive crisis.</w:t>
      </w:r>
    </w:p>
    <w:p>
      <w:pPr>
        <w:spacing w:after="50" w:before="140"/>
      </w:pPr>
      <w:r>
        <w:rPr>
          <w:b/>
          <w:bCs/>
          <w:color w:val="1F6B83"/>
        </w:rPr>
        <w:t xml:space="preserve">Q5. </w:t>
      </w:r>
      <w:r>
        <w:rPr>
          <w:b/>
          <w:bCs/>
        </w:rPr>
        <w:t xml:space="preserve">Clozapine requires regular blood monitoring primarily because of the risk of: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Hepatotoxicity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Agranulocytosis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Nephrotoxicity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Pulmonary fibrosis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Clozapine can cause agranulocytosis (dangerously low neutrophils), mandating regular WBC/ANC monitoring, though it is highly effective for treatment-resistant schizophrenia.</w:t>
      </w:r>
    </w:p>
    <w:p>
      <w:pPr>
        <w:spacing w:after="50" w:before="140"/>
      </w:pPr>
      <w:r>
        <w:rPr>
          <w:b/>
          <w:bCs/>
          <w:color w:val="1F6B83"/>
        </w:rPr>
        <w:t xml:space="preserve">Q6. </w:t>
      </w:r>
      <w:r>
        <w:rPr>
          <w:b/>
          <w:bCs/>
        </w:rPr>
        <w:t xml:space="preserve">Extrapyramidal symptoms are most associated with which drug class?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SSRIs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First-generation (typical) antipsychotics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Benzodiazepines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Stimulants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Typical (first-generation) antipsychotics, via strong D2 blockade, carry higher risk of extrapyramidal symptoms (dystonia, akathisia, parkinsonism) and tardive dyskinesia.</w:t>
      </w:r>
    </w:p>
    <w:p>
      <w:pPr>
        <w:spacing w:after="50" w:before="140"/>
      </w:pPr>
      <w:r>
        <w:rPr>
          <w:b/>
          <w:bCs/>
          <w:color w:val="1F6B83"/>
        </w:rPr>
        <w:t xml:space="preserve">Q7. </w:t>
      </w:r>
      <w:r>
        <w:rPr>
          <w:b/>
          <w:bCs/>
        </w:rPr>
        <w:t xml:space="preserve">Second-generation (atypical) antipsychotics are particularly associated with: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Tardive dyskinesia more than metabolic effects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Metabolic side effects (weight gain, dyslipidemia, diabetes risk)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No side effects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Hypertensive crisis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Atypicals carry lower EPS risk but greater metabolic burden — weight gain, dyslipidemia, and increased diabetes risk requiring metabolic monitoring.</w:t>
      </w:r>
    </w:p>
    <w:p>
      <w:pPr>
        <w:spacing w:after="50" w:before="140"/>
      </w:pPr>
      <w:r>
        <w:rPr>
          <w:b/>
          <w:bCs/>
          <w:color w:val="1F6B83"/>
        </w:rPr>
        <w:t xml:space="preserve">Q8. </w:t>
      </w:r>
      <w:r>
        <w:rPr>
          <w:b/>
          <w:bCs/>
        </w:rPr>
        <w:t xml:space="preserve">Benzodiazepines and barbiturates both act at the GABA-A receptor, but differ in that benzodiazepines increase the ___ of channel opening while barbiturates increase the ___.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duration; frequency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frequency; duration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amplitude; voltage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neither affects GABA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Benzodiazepines increase the FREQUENCY of chloride-channel opening; barbiturates increase the DURATION — which is why barbiturate overdose is far more dangerous.</w:t>
      </w:r>
    </w:p>
    <w:p>
      <w:pPr>
        <w:spacing w:after="50" w:before="140"/>
      </w:pPr>
      <w:r>
        <w:rPr>
          <w:b/>
          <w:bCs/>
          <w:color w:val="1F6B83"/>
        </w:rPr>
        <w:t xml:space="preserve">Q9. </w:t>
      </w:r>
      <w:r>
        <w:rPr>
          <w:b/>
          <w:bCs/>
        </w:rPr>
        <w:t xml:space="preserve">Tricyclic antidepressants are dangerous in overdose primarily due to: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Serotonin syndrome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Cardiac sodium-channel blockade causing arrhythmias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Agranulocytosis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Hypertensive crisis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TCAs block cardiac sodium channels, producing conduction abnormalities and arrhythmias — the main reason they are lethal in overdose.</w:t>
      </w:r>
    </w:p>
    <w:p>
      <w:pPr>
        <w:spacing w:after="50" w:before="140"/>
      </w:pPr>
      <w:r>
        <w:rPr>
          <w:b/>
          <w:bCs/>
          <w:color w:val="1F6B83"/>
        </w:rPr>
        <w:t xml:space="preserve">Q10. </w:t>
      </w:r>
      <w:r>
        <w:rPr>
          <w:b/>
          <w:bCs/>
        </w:rPr>
        <w:t xml:space="preserve">SSRIs in elderly patients carry a notable risk of: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Hypertensive crisis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Hyponatremia (via SIADH)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Agranulocytosis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Tardive dyskinesia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SSRIs can cause hyponatremia through SIADH, a risk that is especially relevant in elderly patients and warrants sodium monitoring.</w:t>
      </w:r>
    </w:p>
    <w:p>
      <w:pPr>
        <w:spacing w:after="50" w:before="140"/>
      </w:pPr>
      <w:r>
        <w:rPr>
          <w:b/>
          <w:bCs/>
          <w:color w:val="1F6B83"/>
        </w:rPr>
        <w:t xml:space="preserve">Q11. </w:t>
      </w:r>
      <w:r>
        <w:rPr>
          <w:b/>
          <w:bCs/>
        </w:rPr>
        <w:t xml:space="preserve">Lamotrigine requires slow titration mainly to reduce the risk of: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Weight gain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Stevens-Johnson syndrome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Agranulocytosis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Hyperthyroidism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Lamotrigine carries a risk of serious rash including Stevens-Johnson syndrome; slow dose titration substantially lowers this risk.</w:t>
      </w:r>
    </w:p>
    <w:p>
      <w:pPr>
        <w:spacing w:after="50" w:before="140"/>
      </w:pPr>
      <w:r>
        <w:rPr>
          <w:b/>
          <w:bCs/>
          <w:color w:val="1F6B83"/>
        </w:rPr>
        <w:t xml:space="preserve">Q12. </w:t>
      </w:r>
      <w:r>
        <w:rPr>
          <w:b/>
          <w:bCs/>
        </w:rPr>
        <w:t xml:space="preserve">Buprenorphine’s lower overdose risk relative to full opioid agonists is due to its action as a: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Full mu agonist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Partial mu agonist with a ceiling effect on respiratory depression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Mu antagonist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Kappa agonist only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Buprenorphine is a partial mu-opioid agonist with a ceiling effect on respiratory depression, contributing to a relatively safer overdose profile.</w:t>
      </w:r>
    </w:p>
    <w:p>
      <w:pPr>
        <w:spacing w:after="50" w:before="140"/>
      </w:pPr>
      <w:r>
        <w:rPr>
          <w:b/>
          <w:bCs/>
          <w:color w:val="1F6B83"/>
        </w:rPr>
        <w:t xml:space="preserve">Q13. </w:t>
      </w:r>
      <w:r>
        <w:rPr>
          <w:b/>
          <w:bCs/>
        </w:rPr>
        <w:t xml:space="preserve">Among MAOIs, selegiline and moclobemide differ from phenelzine in that they are: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More dangerous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Selective and/or reversible (lower dietary risk)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Stimulants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SSRIs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Selegiline (selective MAO-B at low dose) and moclobemide (a reversible MAO-A inhibitor, RIMA) carry lower dietary-tyramine risk than irreversible nonselective MAOIs like phenelzine.</w:t>
      </w:r>
    </w:p>
    <w:p>
      <w:pPr>
        <w:spacing w:after="50" w:before="140"/>
      </w:pPr>
      <w:r>
        <w:rPr>
          <w:b/>
          <w:bCs/>
          <w:color w:val="1F6B83"/>
        </w:rPr>
        <w:t xml:space="preserve">Q14. </w:t>
      </w:r>
      <w:r>
        <w:rPr>
          <w:b/>
          <w:bCs/>
        </w:rPr>
        <w:t xml:space="preserve">A black-box warning for antidepressants concerns increased suicidality in: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Adults over 65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Children, adolescents, and young adults up to age 25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Pregnant women only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No age group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Antidepressants carry a black-box warning for increased suicidal thinking/behavior in patients up to age 25, warranting close early monitoring.</w:t>
      </w:r>
    </w:p>
    <w:p>
      <w:pPr>
        <w:spacing w:after="50" w:before="140"/>
      </w:pPr>
      <w:r>
        <w:rPr>
          <w:b/>
          <w:bCs/>
          <w:color w:val="1F6B83"/>
        </w:rPr>
        <w:t xml:space="preserve">Q15. </w:t>
      </w:r>
      <w:r>
        <w:rPr>
          <w:b/>
          <w:bCs/>
        </w:rPr>
        <w:t xml:space="preserve">First-line pharmacotherapy for most anxiety disorders and depression is: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Benzodiazepines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SSRIs/SNRIs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TCAs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MAOIs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SSRIs and SNRIs are first-line for depression and most anxiety disorders due to efficacy and a more favorable safety profile than TCAs, MAOIs, or chronic benzodiazepines.</w:t>
      </w:r>
    </w:p>
    <w:p>
      <w:pPr>
        <w:spacing w:after="50" w:before="140"/>
      </w:pPr>
      <w:r>
        <w:rPr>
          <w:b/>
          <w:bCs/>
          <w:color w:val="1F6B83"/>
        </w:rPr>
        <w:t xml:space="preserve">Q16. </w:t>
      </w:r>
      <w:r>
        <w:rPr>
          <w:b/>
          <w:bCs/>
        </w:rPr>
        <w:t xml:space="preserve">The mechanism most implicated in antipsychotic efficacy for positive symptoms is: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Serotonin reuptake inhibition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Dopamine D2 receptor blockade in mesolimbic pathways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GABA potentiation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Sodium-channel blockade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Blockade of mesolimbic dopamine D2 receptors is most linked to reduction of positive psychotic symptoms; atypicals add 5-HT2A antagonism.</w:t>
      </w:r>
    </w:p>
    <w:p>
      <w:pPr>
        <w:spacing w:after="60" w:before="240"/>
      </w:pPr>
      <w:r>
        <w:rPr>
          <w:b/>
          <w:bCs/>
          <w:color w:val="1F6B83"/>
          <w:sz w:val="26"/>
          <w:szCs w:val="26"/>
        </w:rPr>
        <w:t xml:space="preserve">Topic 11 — Personality Disorders</w:t>
      </w:r>
    </w:p>
    <w:p>
      <w:pPr>
        <w:spacing w:after="140"/>
      </w:pPr>
      <w:r>
        <w:rPr>
          <w:i/>
          <w:iCs/>
          <w:color w:val="666666"/>
          <w:sz w:val="20"/>
          <w:szCs w:val="20"/>
        </w:rPr>
        <w:t xml:space="preserve">15 net-new quiz questions for topic_id 11 (existing 15 → new total 30). Consider marking ~half examOnly=true to enrich the practice exam.</w:t>
      </w:r>
    </w:p>
    <w:p>
      <w:pPr>
        <w:spacing w:after="50" w:before="140"/>
      </w:pPr>
      <w:r>
        <w:rPr>
          <w:b/>
          <w:bCs/>
          <w:color w:val="1F6B83"/>
        </w:rPr>
        <w:t xml:space="preserve">Q1. </w:t>
      </w:r>
      <w:r>
        <w:rPr>
          <w:b/>
          <w:bCs/>
        </w:rPr>
        <w:t xml:space="preserve">DSM-5 personality disorders are grouped into how many clusters?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Two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Three (A, B, C)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Four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Five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DSM-5 groups the ten personality disorders into three clusters: A (odd/eccentric), B (dramatic/erratic), and C (anxious/fearful).</w:t>
      </w:r>
    </w:p>
    <w:p>
      <w:pPr>
        <w:spacing w:after="50" w:before="140"/>
      </w:pPr>
      <w:r>
        <w:rPr>
          <w:b/>
          <w:bCs/>
          <w:color w:val="1F6B83"/>
        </w:rPr>
        <w:t xml:space="preserve">Q2. </w:t>
      </w:r>
      <w:r>
        <w:rPr>
          <w:b/>
          <w:bCs/>
        </w:rPr>
        <w:t xml:space="preserve">Cluster A (odd/eccentric) includes: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Borderline, narcissistic, antisocial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Paranoid, schizoid, schizotypal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Avoidant, dependent, obsessive-compulsive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Histrionic and narcissistic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Cluster A comprises paranoid, schizoid, and schizotypal personality disorders — the ‘odd/eccentric’ cluster.</w:t>
      </w:r>
    </w:p>
    <w:p>
      <w:pPr>
        <w:spacing w:after="50" w:before="140"/>
      </w:pPr>
      <w:r>
        <w:rPr>
          <w:b/>
          <w:bCs/>
          <w:color w:val="1F6B83"/>
        </w:rPr>
        <w:t xml:space="preserve">Q3. </w:t>
      </w:r>
      <w:r>
        <w:rPr>
          <w:b/>
          <w:bCs/>
        </w:rPr>
        <w:t xml:space="preserve">Cluster B (dramatic/emotional/erratic) includes: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Paranoid and schizoid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Antisocial, borderline, histrionic, narcissistic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Avoidant and dependent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Schizotypal only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Cluster B comprises antisocial, borderline, histrionic, and narcissistic personality disorders.</w:t>
      </w:r>
    </w:p>
    <w:p>
      <w:pPr>
        <w:spacing w:after="50" w:before="140"/>
      </w:pPr>
      <w:r>
        <w:rPr>
          <w:b/>
          <w:bCs/>
          <w:color w:val="1F6B83"/>
        </w:rPr>
        <w:t xml:space="preserve">Q4. </w:t>
      </w:r>
      <w:r>
        <w:rPr>
          <w:b/>
          <w:bCs/>
        </w:rPr>
        <w:t xml:space="preserve">Cluster C (anxious/fearful) includes: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Borderline and narcissistic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Avoidant, dependent, obsessive-compulsive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Paranoid and schizotypal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Antisocial and histrionic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Cluster C comprises avoidant, dependent, and obsessive-compulsive personality disorders.</w:t>
      </w:r>
    </w:p>
    <w:p>
      <w:pPr>
        <w:spacing w:after="50" w:before="140"/>
      </w:pPr>
      <w:r>
        <w:rPr>
          <w:b/>
          <w:bCs/>
          <w:color w:val="1F6B83"/>
        </w:rPr>
        <w:t xml:space="preserve">Q5. </w:t>
      </w:r>
      <w:r>
        <w:rPr>
          <w:b/>
          <w:bCs/>
        </w:rPr>
        <w:t xml:space="preserve">The four core features of borderline personality disorder include all EXCEPT: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Emotion dysregulation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B) </w:t>
      </w:r>
      <w:r>
        <w:rPr>
          <w:b w:val="false"/>
          <w:bCs w:val="false"/>
          <w:color w:val="000000"/>
        </w:rPr>
        <w:t xml:space="preserve">Interpersonal instability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C) </w:t>
      </w:r>
      <w:r>
        <w:rPr>
          <w:b/>
          <w:bCs/>
          <w:color w:val="1E7A4E"/>
        </w:rPr>
        <w:t xml:space="preserve">Grandiosity and need for admiration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Identity disturbance and impulsivity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C. </w:t>
      </w:r>
      <w:r>
        <w:rPr>
          <w:i/>
          <w:iCs/>
          <w:color w:val="444444"/>
          <w:sz w:val="20"/>
          <w:szCs w:val="20"/>
        </w:rPr>
        <w:t xml:space="preserve">BPD’s core features are emotion dysregulation, interpersonal instability, identity disturbance, and impulsivity/behavioral dyscontrol. Grandiosity/need for admiration is a narcissistic feature.</w:t>
      </w:r>
    </w:p>
    <w:p>
      <w:pPr>
        <w:spacing w:after="50" w:before="140"/>
      </w:pPr>
      <w:r>
        <w:rPr>
          <w:b/>
          <w:bCs/>
          <w:color w:val="1F6B83"/>
        </w:rPr>
        <w:t xml:space="preserve">Q6. </w:t>
      </w:r>
      <w:r>
        <w:rPr>
          <w:b/>
          <w:bCs/>
        </w:rPr>
        <w:t xml:space="preserve">The defense mechanism of splitting is most characteristic of: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Obsessive-compulsive personality disorder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Borderline personality organization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Schizoid personality disorder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Dependent personality disorder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Splitting — experiencing others as all-good or all-bad — is characteristic of borderline personality organization and underlies the instability of relationships.</w:t>
      </w:r>
    </w:p>
    <w:p>
      <w:pPr>
        <w:spacing w:after="50" w:before="140"/>
      </w:pPr>
      <w:r>
        <w:rPr>
          <w:b/>
          <w:bCs/>
          <w:color w:val="1F6B83"/>
        </w:rPr>
        <w:t xml:space="preserve">Q7. </w:t>
      </w:r>
      <w:r>
        <w:rPr>
          <w:b/>
          <w:bCs/>
        </w:rPr>
        <w:t xml:space="preserve">The most established evidence-based treatment for borderline personality disorder is: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Psychoanalysis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Dialectical Behavior Therapy (DBT)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Stimulant medication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Aversion therapy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DBT (Linehan) has the strongest evidence base for BPD, particularly for reducing self-harm and suicidal behavior; schema therapy and MBT also have support.</w:t>
      </w:r>
    </w:p>
    <w:p>
      <w:pPr>
        <w:spacing w:after="50" w:before="140"/>
      </w:pPr>
      <w:r>
        <w:rPr>
          <w:b/>
          <w:bCs/>
          <w:color w:val="1F6B83"/>
        </w:rPr>
        <w:t xml:space="preserve">Q8. </w:t>
      </w:r>
      <w:r>
        <w:rPr>
          <w:b/>
          <w:bCs/>
        </w:rPr>
        <w:t xml:space="preserve">Schizotypal personality disorder is distinguished from schizoid primarily by: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Complete absence of social interest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The presence of cognitive-perceptual oddities (e.g., magical thinking, ideas of reference)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Grandiosity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Fear of abandonment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Both involve social detachment, but schizotypal adds cognitive-perceptual distortions (magical thinking, odd beliefs, ideas of reference) absent in schizoid PD.</w:t>
      </w:r>
    </w:p>
    <w:p>
      <w:pPr>
        <w:spacing w:after="50" w:before="140"/>
      </w:pPr>
      <w:r>
        <w:rPr>
          <w:b/>
          <w:bCs/>
          <w:color w:val="1F6B83"/>
        </w:rPr>
        <w:t xml:space="preserve">Q9. </w:t>
      </w:r>
      <w:r>
        <w:rPr>
          <w:b/>
          <w:bCs/>
        </w:rPr>
        <w:t xml:space="preserve">Antisocial personality disorder requires evidence of: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Onset after age 30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Conduct disorder before age 15 and current age at least 18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Psychotic symptoms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Fear of evaluation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DSM-5 requires a pattern of disregard for others’ rights since age 15, evidence of conduct disorder with onset before 15, and a minimum current age of 18.</w:t>
      </w:r>
    </w:p>
    <w:p>
      <w:pPr>
        <w:spacing w:after="50" w:before="140"/>
      </w:pPr>
      <w:r>
        <w:rPr>
          <w:b/>
          <w:bCs/>
          <w:color w:val="1F6B83"/>
        </w:rPr>
        <w:t xml:space="preserve">Q10. </w:t>
      </w:r>
      <w:r>
        <w:rPr>
          <w:b/>
          <w:bCs/>
        </w:rPr>
        <w:t xml:space="preserve">Narcissistic personality disorder is characterized by: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Submissiveness and need to be cared for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B) </w:t>
      </w:r>
      <w:r>
        <w:rPr>
          <w:b w:val="false"/>
          <w:bCs w:val="false"/>
          <w:color w:val="000000"/>
        </w:rPr>
        <w:t xml:space="preserve">Grandiosity, need for admiration, and lack of empathy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C) </w:t>
      </w:r>
      <w:r>
        <w:rPr>
          <w:b/>
          <w:bCs/>
          <w:color w:val="1E7A4E"/>
        </w:rPr>
        <w:t xml:space="preserve">Magical thinking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Perfectionism and rigidity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C. </w:t>
      </w:r>
      <w:r>
        <w:rPr>
          <w:i/>
          <w:iCs/>
          <w:color w:val="444444"/>
          <w:sz w:val="20"/>
          <w:szCs w:val="20"/>
        </w:rPr>
        <w:t xml:space="preserve">NPD features a pervasive pattern of grandiosity, need for admiration, and lack of empathy. Submissiveness suggests dependent PD; perfectionism suggests OCPD.</w:t>
      </w:r>
    </w:p>
    <w:p>
      <w:pPr>
        <w:spacing w:after="50" w:before="140"/>
      </w:pPr>
      <w:r>
        <w:rPr>
          <w:b/>
          <w:bCs/>
          <w:color w:val="1F6B83"/>
        </w:rPr>
        <w:t xml:space="preserve">Q11. </w:t>
      </w:r>
      <w:r>
        <w:rPr>
          <w:b/>
          <w:bCs/>
        </w:rPr>
        <w:t xml:space="preserve">Avoidant personality disorder is distinguished from schizoid by: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Indifference to relationships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A DESIRE for relationships inhibited by fear of rejection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Grandiosity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Magical thinking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Avoidant individuals WANT closeness but avoid it due to fear of criticism/rejection; schizoid individuals are genuinely indifferent to relationships — a key differential.</w:t>
      </w:r>
    </w:p>
    <w:p>
      <w:pPr>
        <w:spacing w:after="50" w:before="140"/>
      </w:pPr>
      <w:r>
        <w:rPr>
          <w:b/>
          <w:bCs/>
          <w:color w:val="1F6B83"/>
        </w:rPr>
        <w:t xml:space="preserve">Q12. </w:t>
      </w:r>
      <w:r>
        <w:rPr>
          <w:b/>
          <w:bCs/>
        </w:rPr>
        <w:t xml:space="preserve">Obsessive-compulsive personality disorder differs from OCD in that OCPD: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Involves true obsessions and compulsions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Is an ego-syntonic pattern of perfectionism and control without true obsessions/compulsions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Always co-occurs with OCD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Is a psychotic disorder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OCPD is a pervasive, ego-syntonic personality pattern of perfectionism, orderliness, and control; OCD involves ego-dystonic obsessions and compulsions — they are distinct.</w:t>
      </w:r>
    </w:p>
    <w:p>
      <w:pPr>
        <w:spacing w:after="50" w:before="140"/>
      </w:pPr>
      <w:r>
        <w:rPr>
          <w:b/>
          <w:bCs/>
          <w:color w:val="1F6B83"/>
        </w:rPr>
        <w:t xml:space="preserve">Q13. </w:t>
      </w:r>
      <w:r>
        <w:rPr>
          <w:b/>
          <w:bCs/>
        </w:rPr>
        <w:t xml:space="preserve">The DSM-5 Alternative Model for Personality Disorders (AMPD) emphasizes: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Categorical diagnosis only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Dimensions of personality functioning and pathological traits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Removal of all personality disorders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Only Cluster B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The AMPD (Section III) uses a hybrid dimensional approach — level of personality functioning plus pathological trait domains — alongside the traditional categorical system.</w:t>
      </w:r>
    </w:p>
    <w:p>
      <w:pPr>
        <w:spacing w:after="50" w:before="140"/>
      </w:pPr>
      <w:r>
        <w:rPr>
          <w:b/>
          <w:bCs/>
          <w:color w:val="1F6B83"/>
        </w:rPr>
        <w:t xml:space="preserve">Q14. </w:t>
      </w:r>
      <w:r>
        <w:rPr>
          <w:b/>
          <w:bCs/>
        </w:rPr>
        <w:t xml:space="preserve">Which feature of BPD most strongly predicts treatment response?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Identity disturbance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Emotion dysregulation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Chronic emptiness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Paranoid ideation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Emotion dysregulation is the most predictive of treatment response; treatments targeting it directly (e.g., DBT) produce the largest effect sizes.</w:t>
      </w:r>
    </w:p>
    <w:p>
      <w:pPr>
        <w:spacing w:after="50" w:before="140"/>
      </w:pPr>
      <w:r>
        <w:rPr>
          <w:b/>
          <w:bCs/>
          <w:color w:val="1F6B83"/>
        </w:rPr>
        <w:t xml:space="preserve">Q15. </w:t>
      </w:r>
      <w:r>
        <w:rPr>
          <w:b/>
          <w:bCs/>
        </w:rPr>
        <w:t xml:space="preserve">A pervasive distrust and suspiciousness such that others’ motives are interpreted as malevolent describes: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A) </w:t>
      </w:r>
      <w:r>
        <w:rPr>
          <w:b w:val="false"/>
          <w:bCs w:val="false"/>
          <w:color w:val="000000"/>
        </w:rPr>
        <w:t xml:space="preserve">Schizoid PD</w:t>
      </w:r>
    </w:p>
    <w:p>
      <w:pPr>
        <w:spacing w:after="16"/>
        <w:ind w:left="360"/>
      </w:pPr>
      <w:r>
        <w:rPr>
          <w:b/>
          <w:bCs/>
          <w:color w:val="1E7A4E"/>
        </w:rPr>
        <w:t xml:space="preserve">B) </w:t>
      </w:r>
      <w:r>
        <w:rPr>
          <w:b/>
          <w:bCs/>
          <w:color w:val="1E7A4E"/>
        </w:rPr>
        <w:t xml:space="preserve">Paranoid PD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C) </w:t>
      </w:r>
      <w:r>
        <w:rPr>
          <w:b w:val="false"/>
          <w:bCs w:val="false"/>
          <w:color w:val="000000"/>
        </w:rPr>
        <w:t xml:space="preserve">Avoidant PD</w:t>
      </w:r>
    </w:p>
    <w:p>
      <w:pPr>
        <w:spacing w:after="16"/>
        <w:ind w:left="360"/>
      </w:pPr>
      <w:r>
        <w:rPr>
          <w:b/>
          <w:bCs/>
          <w:color w:val="000000"/>
        </w:rPr>
        <w:t xml:space="preserve">D) </w:t>
      </w:r>
      <w:r>
        <w:rPr>
          <w:b w:val="false"/>
          <w:bCs w:val="false"/>
          <w:color w:val="000000"/>
        </w:rPr>
        <w:t xml:space="preserve">Dependent PD</w:t>
      </w:r>
    </w:p>
    <w:p>
      <w:pPr>
        <w:spacing w:after="70" w:before="30"/>
        <w:ind w:left="360"/>
      </w:pPr>
      <w:r>
        <w:rPr>
          <w:b/>
          <w:bCs/>
          <w:sz w:val="20"/>
          <w:szCs w:val="20"/>
        </w:rPr>
        <w:t xml:space="preserve">Correct: B. </w:t>
      </w:r>
      <w:r>
        <w:rPr>
          <w:i/>
          <w:iCs/>
          <w:color w:val="444444"/>
          <w:sz w:val="20"/>
          <w:szCs w:val="20"/>
        </w:rPr>
        <w:t xml:space="preserve">Paranoid personality disorder (Cluster A) is defined by pervasive distrust and suspiciousness, interpreting others’ motives as malevolent without sufficient basis.</w:t>
      </w:r>
    </w:p>
    <w:p>
      <w:pPr>
        <w:pStyle w:val="Heading1"/>
        <w:spacing w:before="280"/>
      </w:pPr>
      <w:r>
        <w:t xml:space="preserve">Insertion Notes</w:t>
      </w:r>
    </w:p>
    <w:p>
      <w:pPr>
        <w:spacing w:after="80"/>
      </w:pPr>
      <w:r>
        <w:rPr>
          <w:sz w:val="22"/>
          <w:szCs w:val="22"/>
        </w:rPr>
        <w:t xml:space="preserve">Append-only — add_quiz_questions adds to the existing pool. Verify each topic ID by name before inserting.</w:t>
      </w:r>
    </w:p>
    <w:p>
      <w:pPr>
        <w:pStyle w:val="ListParagraph"/>
        <w:numPr>
          <w:ilvl w:val="0"/>
          <w:numId w:val="2"/>
        </w:numPr>
      </w:pPr>
      <w:r>
        <w:t xml:space="preserve">Topic 12 (ADHD &amp; Medications): +15 → 30 total. Distractors target methylphenidate vs. amphetamine mechanism, stimulant vs. non-stimulant options, and the before-age-12 criterion.</w:t>
      </w:r>
    </w:p>
    <w:p>
      <w:pPr>
        <w:pStyle w:val="ListParagraph"/>
        <w:numPr>
          <w:ilvl w:val="0"/>
          <w:numId w:val="2"/>
        </w:numPr>
      </w:pPr>
      <w:r>
        <w:t xml:space="preserve">Topic 9 (Psychopharmacology): +16 → 31 total. Distractors target serotonin syndrome vs. NMS, benzo vs. barbiturate GABA action, typical vs. atypical antipsychotic side effects, and the antidepressant delay.</w:t>
      </w:r>
    </w:p>
    <w:p>
      <w:pPr>
        <w:pStyle w:val="ListParagraph"/>
        <w:numPr>
          <w:ilvl w:val="0"/>
          <w:numId w:val="2"/>
        </w:numPr>
      </w:pPr>
      <w:r>
        <w:t xml:space="preserve">Topic 11 (Personality Disorders): +15 → 30 total. Distractors target the three clusters, avoidant vs. schizoid, OCPD vs. OCD, and BPD core features vs. narcissistic features.</w:t>
      </w:r>
    </w:p>
    <w:p>
      <w:pPr>
        <w:pStyle w:val="ListParagraph"/>
        <w:numPr>
          <w:ilvl w:val="0"/>
          <w:numId w:val="2"/>
        </w:numPr>
      </w:pPr>
      <w:r>
        <w:t xml:space="preserve">Consider marking roughly half of each batch examOnly=true to enrich the practice exams, as done for Topic 49.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F6B8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2026-05-23T01:32:33.022Z</dcterms:created>
  <dcterms:modified xsi:type="dcterms:W3CDTF">2026-05-23T01:32:33.024Z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