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PsychPro — Topic 49 Content Expansion</w:t>
      </w:r>
    </w:p>
    <w:p>
      <w:pPr>
        <w:spacing w:after="120"/>
      </w:pPr>
      <w:r>
        <w:rPr>
          <w:i/>
          <w:iCs/>
          <w:color w:val="1F6B83"/>
          <w:sz w:val="26"/>
          <w:szCs w:val="26"/>
        </w:rPr>
        <w:t xml:space="preserve">Cognitive Therapy, CBT, and Schema Therapy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Part 1 of 3 — Flashcards for review. These 33 cards are net-new and complement the existing 12 (no overlap). Quiz questions (Part 2) and the study-guide expansion (Part 3) follow once these are approved.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Current: </w:t>
      </w:r>
      <w:r>
        <w:rPr>
          <w:sz w:val="20"/>
          <w:szCs w:val="20"/>
        </w:rPr>
        <w:t xml:space="preserve">12 flashcards</w:t>
      </w:r>
      <w:r>
        <w:rPr>
          <w:color w:val="999999"/>
          <w:sz w:val="20"/>
          <w:szCs w:val="20"/>
        </w:rPr>
        <w:t xml:space="preserve">    →    </w:t>
      </w:r>
      <w:r>
        <w:rPr>
          <w:b/>
          <w:bCs/>
          <w:sz w:val="20"/>
          <w:szCs w:val="20"/>
        </w:rPr>
        <w:t xml:space="preserve">After insert: </w:t>
      </w:r>
      <w:r>
        <w:rPr>
          <w:b/>
          <w:bCs/>
          <w:color w:val="1F6B83"/>
          <w:sz w:val="20"/>
          <w:szCs w:val="20"/>
        </w:rPr>
        <w:t xml:space="preserve">45 flashcards</w:t>
      </w:r>
    </w:p>
    <w:p>
      <w:pPr>
        <w:pStyle w:val="Heading2"/>
      </w:pPr>
      <w:r>
        <w:t xml:space="preserve">Cognitive Distortions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The largest gap in the existing set — only one distortion was previously carded. These 10 cover the classic Beck/Burns distortions.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3600"/>
        <w:gridCol w:w="4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(front)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(back)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all-or-nothing (dichotomous) thinking?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Viewing situations in only two categories instead of on a continuum — e.g., “If I’m not perfect, I’m a total failure.” Also called black-and-white or polarized thinking.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overgeneralization?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Drawing a broad, sweeping conclusion from a single event — e.g., “I failed this quiz, so I’ll fail everything.” Often signaled by words like “always” or “never.”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“mental filter” distortion?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Focusing exclusively on a single negative detail while ignoring the broader positive context — like a drop of ink coloring an entire glass of water.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“disqualifying the positive”?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Rejecting positive experiences by insisting they “don’t count” — distinct from the mental filter (which ignores positives); here the person actively neutralizes them.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Distinguish mind reading from fortune telling.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are “jumping to conclusions.” Mind reading = assuming you know what others think (“She thinks I’m incompetent”). Fortune telling = predicting the future negatively (“I’ll definitely fail”).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catastrophizing (magnification)?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Exaggerating the importance or consequences of an event — assuming the worst possible outcome and treating it as unbearable. Paired with “minimization” (shrinking positives).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emotional reasoning?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Treating feelings as evidence for facts — “I feel anxious, therefore I’m in danger” or “I feel worthless, therefore I am.” The emotion is taken as proof of the belief.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are “should statements”?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Rigid demands about how oneself or others must behave (“I should always be productive”). Directed inward they produce guilt; directed outward, anger and frustration. (Ellis called these “musturbation.”)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labeling?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extreme form of overgeneralization — attaching a fixed global label to oneself or others based on behavior (“I’m a loser”) rather than describing the specific event (“I made a mistake”).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personalization?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Attributing external events to oneself without basis — taking responsibility for things outside one’s control (“My patient relapsed; I’m a terrible clinician”).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Beck’s Techniques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Techniques the study guide mentions but that had no dedicated flashcards.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3600"/>
        <w:gridCol w:w="4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(front)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(back)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are the components of a thought record?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Situation → automatic thought(s) → emotion(s) and intensity → evidence for the thought → evidence against → balanced/alternative thought → re-rated emotion. The core CBT self-monitoring tool.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a behavioral experiment in CBT?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planned real-world test of a belief’s accuracy — the patient makes a prediction (“If I speak up, people will laugh”), tests it, and compares the outcome to the prediction. Operationalizes collaborative empiricism behaviorally.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activity scheduling (behavioral activation) in CBT?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 and tracking activities — especially mastery and pleasure activities — to counter the withdrawal and inactivity of depression. A behavioral component often used early in cognitive therapy for depression.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guided discovery / Socratic questioning?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Beck’s method of helping patients examine their own thinking through curious, open questions rather than direct disputation — leading them to discover alternative perspectives themselves rather than being told.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decentering in cognitive therapy?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ability to view one’s thoughts as mental events rather than literal truths or accurate reflections of reality — a precursor concept to the “defusion” emphasized in later third-wave approaches.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REBT (Ellis)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Deepens REBT beyond the existing ABCDE and irrational-belief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3600"/>
        <w:gridCol w:w="4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(front)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(back)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“musturbation” in REBT?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Ellis’s term for the rigid, absolutist demands (“musts,” “shoulds,” “oughts”) at the root of irrational beliefs and emotional disturbance.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are shame-attacking exercises in REBT?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Deliberately doing something mildly embarrassing in public (while tolerating the discomfort) to disprove the irrational belief that others’ disapproval is catastrophic. Builds frustration tolerance.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Distinguish REBT’s three types of disputation.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Empirical (Where’s the evidence?), Logical (Does it follow?), and Pragmatic (Where does holding this belief get you?). Used to challenge irrational beliefs.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distinction between unconditional self-acceptance (USA) and self-esteem in REBT?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Self-esteem rates the self based on performance/traits (conditional and fragile). USA refuses to globally rate the self at all — accepting oneself as a fallible human regardless of success or approval.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How does Ellis distinguish healthy from unhealthy negative emotions?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Healthy negative emotions (concern, sadness, annoyance, regret) follow rational/flexible beliefs and motivate adaptive action; unhealthy ones (anxiety, depression, anger, guilt) follow rigid/absolutist beliefs and impair functioning.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Schema Therapy (Young)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The existing set defines EMS and lists the five domains but cards no individual schemas or modes. These add the high-yield individual schemas, the four key modes, and the three coping styles.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3600"/>
        <w:gridCol w:w="4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(front)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(back)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abandonment/instability schema?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Disconnection/Rejection-domain EMS: the belief that close others are unreliable and will inevitably leave, causing clinginess, jealousy, or avoidance of closeness.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defectiveness/shame schema?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Disconnection/Rejection EMS: the belief that one is fundamentally flawed, bad, or unlovable — driving hypersensitivity to criticism and pervasive shame.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emotional deprivation schema?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Disconnection/Rejection EMS: the expectation that one’s needs for nurturance, empathy, and protection will not be adequately met by others.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subjugation schema?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Other-Directedness EMS: surrendering control to others to avoid negative consequences, suppressing one’s own needs and emotions, often breeding accumulated anger.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unrelenting standards schema?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Overvigilance/Inhibition EMS: the belief that one must meet very high internalized standards, usually to avoid criticism — associated with perfectionism, time pressure, and difficulty slowing down.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“vulnerable child” mode in schema therapy?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schema mode representing the part of the self that feels the painful core emotions (fear, shame, loneliness) tied to unmet childhood needs — the mode limited reparenting most directly targets.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“punitive parent” mode?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schema mode that internalizes a critical, punishing caregiver voice — generating self-directed shame and harshness. Mode work aims to weaken it and strengthen the healthy adult mode.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“detached protector” mode?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coping mode of emotional withdrawal and shutdown — cutting off feelings and needs to avoid pain. Often must be “bypassed” in session to reach the vulnerable child.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the “healthy adult” mode and its role?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mode that nurtures the vulnerable child, sets limits on the maladaptive child/parent modes, and pursues healthy adult functioning. Strengthening it is the central goal of schema therapy.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E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are the three coping styles that perpetuate schemas?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Surrender (giving in to the schema as if it’s true), Avoidance (escaping triggers — emotionally, cognitively, behaviorally), and Overcompensation (acting as if the opposite were true).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CBT Structure &amp; Integration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Ties the topic together — session structure, psychoeducation, and the relapse-prevention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3600"/>
        <w:gridCol w:w="41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(front)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2D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(back)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are the typical structural features of a CBT session?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Agenda-setting, mood check, review of homework, work on agenda items, assignment of new homework, and end-of-session feedback. CBT is structured, time-limited, and collaborative.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What is psychoeducation’s role in CBT?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Teaching the patient the cognitive model itself — how thoughts, emotions, and behaviors interact — so they become an active collaborator who can apply the model independently (a key reason CBT gains are durable).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D3F"/>
                <w:sz w:val="19"/>
                <w:szCs w:val="19"/>
              </w:rPr>
              <w:t xml:space="preserve">Why is CBT considered to have strong relapse-prevention effects in depression?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 teaches transferable skills (thought monitoring, behavioral experiments, cognitive restructuring) the patient continues using after treatment ends — associated with lower relapse rates than medication discontinuation.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Difficulty Distribution</w:t>
      </w:r>
    </w:p>
    <w:p>
      <w:pPr>
        <w:spacing w:after="200"/>
      </w:pPr>
      <w:r>
        <w:rPr>
          <w:sz w:val="20"/>
          <w:szCs w:val="20"/>
        </w:rPr>
        <w:t xml:space="preserve">Easy: 3    </w:t>
      </w:r>
      <w:r>
        <w:rPr>
          <w:sz w:val="20"/>
          <w:szCs w:val="20"/>
        </w:rPr>
        <w:t xml:space="preserve">Medium: 22    </w:t>
      </w:r>
      <w:r>
        <w:rPr>
          <w:sz w:val="20"/>
          <w:szCs w:val="20"/>
        </w:rPr>
        <w:t xml:space="preserve">Hard: 8    </w:t>
      </w:r>
      <w:r>
        <w:rPr>
          <w:b/>
          <w:bCs/>
          <w:color w:val="1F6B83"/>
          <w:sz w:val="20"/>
          <w:szCs w:val="20"/>
        </w:rPr>
        <w:t xml:space="preserve">(Total new: 33)</w:t>
      </w:r>
    </w:p>
    <w:p>
      <w:r>
        <w:rPr>
          <w:i/>
          <w:iCs/>
          <w:color w:val="666666"/>
          <w:sz w:val="19"/>
          <w:szCs w:val="19"/>
        </w:rPr>
        <w:t xml:space="preserve">Review notes: flag any card to reword, cut as duplicative, or correct. Once approved, Parts 2 (quiz questions) and 3 (study-guide expansion) follow, then all three package into one Replit MCP insert prompt for Topic 49.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0E2D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2026-05-22T14:20:20.176Z</dcterms:created>
  <dcterms:modified xsi:type="dcterms:W3CDTF">2026-05-22T14:20:20.177Z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