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43 — Foundations of Psychotherapy</w:t>
      </w:r>
    </w:p>
    <w:p>
      <w:pPr>
        <w:spacing w:after="200"/>
      </w:pPr>
      <w:r>
        <w:rPr>
          <w:i/>
          <w:iCs/>
          <w:color w:val="666666"/>
          <w:sz w:val="20"/>
          <w:szCs w:val="20"/>
        </w:rPr>
        <w:t xml:space="preserve">Net-new content to ADD to the existing topic (complements the existing 12 flashcards / 15 quiz questions / study guide — no duplication). Review before inserting; MCP insert is live immediately.</w:t>
      </w:r>
    </w:p>
    <w:p>
      <w:pPr>
        <w:spacing w:after="240"/>
      </w:pPr>
      <w:r>
        <w:rPr>
          <w:i/>
          <w:iCs/>
          <w:color w:val="B8453A"/>
          <w:sz w:val="20"/>
          <w:szCs w:val="20"/>
        </w:rPr>
        <w:t xml:space="preserve">KEY ACCURACY NOTES: The Dodo bird verdict supports common factors — it does NOT mean all therapies are identical or technique never matters. Stages of Change (Prochaska &amp; DiClemente) is rigorously distinguished from Kubler-Ross’s grief stages (used as a distractor). EBP (APA three-legged stool) vs. ESTs (specific validated protocols) are kept distinct.</w:t>
      </w:r>
    </w:p>
    <w:p>
      <w:pPr>
        <w:pStyle w:val="Heading1"/>
      </w:pPr>
      <w:r>
        <w:t xml:space="preserve">1. New Flashcards (24)</w:t>
      </w:r>
    </w:p>
    <w:p>
      <w:pPr>
        <w:spacing w:after="160"/>
      </w:pPr>
      <w:r>
        <w:rPr>
          <w:color w:val="666666"/>
          <w:sz w:val="20"/>
          <w:szCs w:val="20"/>
        </w:rPr>
        <w:t xml:space="preserve">Covers common factors (Dodo bird, Wampold), the therapeutic alliance (Bordin), the Transtheoretical Model, evidence-based practice vs. ESTs, ethics and the therapeutic frame (informed consent, confidentiality limits, Tarasoff, dual relationships), cultural humility, and process/outcome research (therapist effects, deliberate practice, feedback-informed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“common factors” theory of psychotherapy?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view that elements shared across therapies — the therapeutic alliance, empathy, positive expectancy, and a credible rationale — account for much of therapeutic outcome, often more than the specific techniques of any one approach.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“Dodo bird verdict,” and what does it actually claim?</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Rosenzweig (and Luborsky): “Everybody has won and all must have prizes” — the finding that bona fide therapies produce roughly comparable outcomes. It supports the importance of common factors; it does NOT mean all therapies are identical or that technique never matters.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Wampold’s contextual model?</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framework arguing that psychotherapy works largely through common factors — the real relationship, expectations created by a credible explanation, and engaging in health-promoting actions — rather than primarily through approach-specific ingredients.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therapeutic alliance?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collaborative, trusting bond between therapist and client that supports the work of therapy. It is one of the most robust predictors of outcome across approaches.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Bordin’s three components of the working alliance?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Bond (the emotional relationship/trust), (2) Goals (agreement on the aims of therapy), and (3) Tasks (agreement on the methods/activities to reach those goals).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strong is the alliance–outcome relationship?</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is one of the most consistently replicated findings in psychotherapy research: a moderate but reliable association between alliance quality and positive outcome across diverse therapies and disorders.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the Transtheoretical Model (Stages of Change)?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James Prochaska and Carlo DiClemente. It describes the stages people move through when changing a behavior.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the stages of the Transtheoretical Model in order.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Precontemplation, Contemplation, Preparation, Action, Maintenance (with relapse possible, and sometimes Termination). NOTE: these are stages of behavior change — NOT Kubler-Ross’s stages of grief.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distinguishes precontemplation from contemplation?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Precontemplation: no intention to change, often unaware of the problem. Contemplation: aware of the problem and considering change, but ambivalent and not yet committed to 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does matching intervention to stage of change matter?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Interventions are more effective when matched to the client’s readiness — e.g., consciousness-raising for precontemplators, but action-oriented strategies only once the client reaches preparation/action. Pushing action too early increases resistance.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APA definition of Evidence-Based Practice (EBP)?</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integration of (1) the best available research evidence with (2) clinical expertise in the context of (3) patient characteristics, values, and preferences — the “three-legged stool.”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evidence-based practice from empirically supported treatments (ESTs).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EBP is a broad decision-making process integrating research, expertise, and patient values. ESTs are specific treatments shown effective for specific disorders in controlled trials (a list of protocols). EBP is the framework; ESTs are one input to 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efficacy and effectiveness research?</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Efficacy: does a treatment work under controlled (often RCT) conditions with high internal validity? Effectiveness: does it work in real-world clinical settings with high external validity? Both are needed.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informed consent in psychotherapy?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client’s voluntary agreement to treatment after being informed of its nature, risks, benefits, alternatives, limits of confidentiality, and fees. An ongoing process, not a one-time form.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main limits of confidentiality a therapist must disclose?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of serious harm to self or others (duty to protect/warn), suspected abuse of children or vulnerable adults (mandated reporting), and court orders. These are typically reviewed at the outset as part of informed consent.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did Tarasoff establish?</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duty to protect (often called duty to warn): when a client poses a serious, foreseeable danger to an identifiable victim, the therapist has a duty to take reasonable steps to protect that person, which can override confidentiality.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therapeutic frame?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consistent structure of therapy — time, place, fee, confidentiality, and boundaries — that creates a safe, predictable container for the 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multiple (dual) relationship, and why is it an ethical concern?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therapist has an additional role with a client (social, business, sexual) beyond the professional one. It risks impaired judgment, exploitation, and harm; many forms (especially sexual) are prohibited.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cultural humility, and how does it differ from cultural competence?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Cultural competence frames culture as a body of knowledge to master. Cultural humility is an ongoing, self-reflective, lifelong stance of openness, recognizing the limits of one’s understanding and centering the client as the expert on their own experience.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process and outcome in psychotherapy research?</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Outcome research asks whether therapy works (did the client improve?). Process research asks how and why it works — examining what happens in sessions (alliance, interventions, client responses) that produces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nonspecific (or “placebo”) factors in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Therapeutic benefits arising from expectancy, hope, attention, and the relationship rather than the specific technique. They overlap heavily with common factors and contribute substantially to 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feedback-informed treatment / routine outcome monitoring?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Systematically measuring client progress and alliance session-by-session (e.g., with brief standardized measures) and using the feedback to adjust treatment — shown to improve outcomes, especially for clients at risk of deterioration.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meant by “therapist effects” in outcome research?</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finding that who the therapist is accounts for meaningful variance in outcome — some therapists consistently achieve better results than others, independent of the treatment approach used.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deliberate practice in the context of therapist development?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use of focused, effortful, feedback-driven practice on specific skills (beyond accumulated experience alone) to improve therapeutic competence — since years of experience alone correlate weakly with better outcomes.</w:t>
            </w:r>
          </w:p>
        </w:tc>
      </w:tr>
    </w:tbl>
    <w:p>
      <w:pPr>
        <w:pStyle w:val="Heading1"/>
        <w:spacing w:before="360"/>
      </w:pPr>
      <w:r>
        <w:t xml:space="preserve">2. New Quiz Questions (15)</w:t>
      </w:r>
    </w:p>
    <w:p>
      <w:pPr>
        <w:spacing w:after="160"/>
      </w:pPr>
      <w:r>
        <w:rPr>
          <w:color w:val="666666"/>
          <w:sz w:val="20"/>
          <w:szCs w:val="20"/>
        </w:rPr>
        <w:t xml:space="preserve">Distractors target the real confusions: the Dodo bird’s actual claim, Bordin’s alliance vs. Rogers’s conditions, Stages of Change vs. Kubler-Ross grief stages, EBP vs. ESTs, and efficacy vs. effectiveness.</w:t>
      </w:r>
    </w:p>
    <w:p>
      <w:pPr>
        <w:spacing w:after="60" w:before="160"/>
      </w:pPr>
      <w:r>
        <w:rPr>
          <w:b/>
          <w:bCs/>
          <w:color w:val="1F6B83"/>
        </w:rPr>
        <w:t xml:space="preserve">Q1. </w:t>
      </w:r>
      <w:r>
        <w:rPr>
          <w:b/>
          <w:bCs/>
        </w:rPr>
        <w:t xml:space="preserve">The “Dodo bird verdict” refers to the finding that:</w:t>
      </w:r>
    </w:p>
    <w:p>
      <w:pPr>
        <w:spacing w:after="20"/>
        <w:ind w:left="360"/>
      </w:pPr>
      <w:r>
        <w:rPr>
          <w:b/>
          <w:bCs/>
          <w:color w:val="000000"/>
        </w:rPr>
        <w:t xml:space="preserve">A) </w:t>
      </w:r>
      <w:r>
        <w:rPr>
          <w:b w:val="false"/>
          <w:bCs w:val="false"/>
          <w:color w:val="000000"/>
        </w:rPr>
        <w:t xml:space="preserve">All therapies are exactly identical</w:t>
      </w:r>
    </w:p>
    <w:p>
      <w:pPr>
        <w:spacing w:after="20"/>
        <w:ind w:left="360"/>
      </w:pPr>
      <w:r>
        <w:rPr>
          <w:b/>
          <w:bCs/>
          <w:color w:val="1E7A4E"/>
        </w:rPr>
        <w:t xml:space="preserve">B) </w:t>
      </w:r>
      <w:r>
        <w:rPr>
          <w:b/>
          <w:bCs/>
          <w:color w:val="1E7A4E"/>
        </w:rPr>
        <w:t xml:space="preserve">Bona fide therapies produce roughly comparable outcomes, supporting common factors</w:t>
      </w:r>
    </w:p>
    <w:p>
      <w:pPr>
        <w:spacing w:after="20"/>
        <w:ind w:left="360"/>
      </w:pPr>
      <w:r>
        <w:rPr>
          <w:b/>
          <w:bCs/>
          <w:color w:val="000000"/>
        </w:rPr>
        <w:t xml:space="preserve">C) </w:t>
      </w:r>
      <w:r>
        <w:rPr>
          <w:b w:val="false"/>
          <w:bCs w:val="false"/>
          <w:color w:val="000000"/>
        </w:rPr>
        <w:t xml:space="preserve">Technique never matters</w:t>
      </w:r>
    </w:p>
    <w:p>
      <w:pPr>
        <w:spacing w:after="20"/>
        <w:ind w:left="360"/>
      </w:pPr>
      <w:r>
        <w:rPr>
          <w:b/>
          <w:bCs/>
          <w:color w:val="000000"/>
        </w:rPr>
        <w:t xml:space="preserve">D) </w:t>
      </w:r>
      <w:r>
        <w:rPr>
          <w:b w:val="false"/>
          <w:bCs w:val="false"/>
          <w:color w:val="000000"/>
        </w:rPr>
        <w:t xml:space="preserve">Only CBT is effective</w:t>
      </w:r>
    </w:p>
    <w:p>
      <w:pPr>
        <w:spacing w:after="80" w:before="40"/>
        <w:ind w:left="360"/>
      </w:pPr>
      <w:r>
        <w:rPr>
          <w:b/>
          <w:bCs/>
          <w:sz w:val="20"/>
          <w:szCs w:val="20"/>
        </w:rPr>
        <w:t xml:space="preserve">Correct: B. </w:t>
      </w:r>
      <w:r>
        <w:rPr>
          <w:i/>
          <w:iCs/>
          <w:color w:val="444444"/>
          <w:sz w:val="20"/>
          <w:szCs w:val="20"/>
        </w:rPr>
        <w:t xml:space="preserve">The Dodo bird verdict — “everybody has won” — reflects roughly comparable outcomes across bona fide therapies, supporting common factors. It does NOT claim all therapies are identical or that technique is irrelevant.</w:t>
      </w:r>
    </w:p>
    <w:p>
      <w:pPr>
        <w:spacing w:after="60" w:before="160"/>
      </w:pPr>
      <w:r>
        <w:rPr>
          <w:b/>
          <w:bCs/>
          <w:color w:val="1F6B83"/>
        </w:rPr>
        <w:t xml:space="preserve">Q2. </w:t>
      </w:r>
      <w:r>
        <w:rPr>
          <w:b/>
          <w:bCs/>
        </w:rPr>
        <w:t xml:space="preserve">Bordin’s three components of the working alliance are:</w:t>
      </w:r>
    </w:p>
    <w:p>
      <w:pPr>
        <w:spacing w:after="20"/>
        <w:ind w:left="360"/>
      </w:pPr>
      <w:r>
        <w:rPr>
          <w:b/>
          <w:bCs/>
          <w:color w:val="000000"/>
        </w:rPr>
        <w:t xml:space="preserve">A) </w:t>
      </w:r>
      <w:r>
        <w:rPr>
          <w:b w:val="false"/>
          <w:bCs w:val="false"/>
          <w:color w:val="000000"/>
        </w:rPr>
        <w:t xml:space="preserve">Transference, resistance, interpretation</w:t>
      </w:r>
    </w:p>
    <w:p>
      <w:pPr>
        <w:spacing w:after="20"/>
        <w:ind w:left="360"/>
      </w:pPr>
      <w:r>
        <w:rPr>
          <w:b/>
          <w:bCs/>
          <w:color w:val="1E7A4E"/>
        </w:rPr>
        <w:t xml:space="preserve">B) </w:t>
      </w:r>
      <w:r>
        <w:rPr>
          <w:b/>
          <w:bCs/>
          <w:color w:val="1E7A4E"/>
        </w:rPr>
        <w:t xml:space="preserve">Bond, goals, tasks</w:t>
      </w:r>
    </w:p>
    <w:p>
      <w:pPr>
        <w:spacing w:after="20"/>
        <w:ind w:left="360"/>
      </w:pPr>
      <w:r>
        <w:rPr>
          <w:b/>
          <w:bCs/>
          <w:color w:val="000000"/>
        </w:rPr>
        <w:t xml:space="preserve">C) </w:t>
      </w:r>
      <w:r>
        <w:rPr>
          <w:b w:val="false"/>
          <w:bCs w:val="false"/>
          <w:color w:val="000000"/>
        </w:rPr>
        <w:t xml:space="preserve">Empathy, congruence, regard</w:t>
      </w:r>
    </w:p>
    <w:p>
      <w:pPr>
        <w:spacing w:after="20"/>
        <w:ind w:left="360"/>
      </w:pPr>
      <w:r>
        <w:rPr>
          <w:b/>
          <w:bCs/>
          <w:color w:val="000000"/>
        </w:rPr>
        <w:t xml:space="preserve">D) </w:t>
      </w:r>
      <w:r>
        <w:rPr>
          <w:b w:val="false"/>
          <w:bCs w:val="false"/>
          <w:color w:val="000000"/>
        </w:rPr>
        <w:t xml:space="preserve">Precontemplation, contemplation, action</w:t>
      </w:r>
    </w:p>
    <w:p>
      <w:pPr>
        <w:spacing w:after="80" w:before="40"/>
        <w:ind w:left="360"/>
      </w:pPr>
      <w:r>
        <w:rPr>
          <w:b/>
          <w:bCs/>
          <w:sz w:val="20"/>
          <w:szCs w:val="20"/>
        </w:rPr>
        <w:t xml:space="preserve">Correct: B. </w:t>
      </w:r>
      <w:r>
        <w:rPr>
          <w:i/>
          <w:iCs/>
          <w:color w:val="444444"/>
          <w:sz w:val="20"/>
          <w:szCs w:val="20"/>
        </w:rPr>
        <w:t xml:space="preserve">Bordin’s working alliance comprises the bond, agreement on goals, and agreement on tasks.</w:t>
      </w:r>
    </w:p>
    <w:p>
      <w:pPr>
        <w:spacing w:after="60" w:before="160"/>
      </w:pPr>
      <w:r>
        <w:rPr>
          <w:b/>
          <w:bCs/>
          <w:color w:val="1F6B83"/>
        </w:rPr>
        <w:t xml:space="preserve">Q3. </w:t>
      </w:r>
      <w:r>
        <w:rPr>
          <w:b/>
          <w:bCs/>
        </w:rPr>
        <w:t xml:space="preserve">Which is one of the most robust predictors of psychotherapy outcome across approaches?</w:t>
      </w:r>
    </w:p>
    <w:p>
      <w:pPr>
        <w:spacing w:after="20"/>
        <w:ind w:left="360"/>
      </w:pPr>
      <w:r>
        <w:rPr>
          <w:b/>
          <w:bCs/>
          <w:color w:val="000000"/>
        </w:rPr>
        <w:t xml:space="preserve">A) </w:t>
      </w:r>
      <w:r>
        <w:rPr>
          <w:b w:val="false"/>
          <w:bCs w:val="false"/>
          <w:color w:val="000000"/>
        </w:rPr>
        <w:t xml:space="preserve">The therapist’s theoretical orientation</w:t>
      </w:r>
    </w:p>
    <w:p>
      <w:pPr>
        <w:spacing w:after="20"/>
        <w:ind w:left="360"/>
      </w:pPr>
      <w:r>
        <w:rPr>
          <w:b/>
          <w:bCs/>
          <w:color w:val="1E7A4E"/>
        </w:rPr>
        <w:t xml:space="preserve">B) </w:t>
      </w:r>
      <w:r>
        <w:rPr>
          <w:b/>
          <w:bCs/>
          <w:color w:val="1E7A4E"/>
        </w:rPr>
        <w:t xml:space="preserve">The therapeutic alliance</w:t>
      </w:r>
    </w:p>
    <w:p>
      <w:pPr>
        <w:spacing w:after="20"/>
        <w:ind w:left="360"/>
      </w:pPr>
      <w:r>
        <w:rPr>
          <w:b/>
          <w:bCs/>
          <w:color w:val="000000"/>
        </w:rPr>
        <w:t xml:space="preserve">C) </w:t>
      </w:r>
      <w:r>
        <w:rPr>
          <w:b w:val="false"/>
          <w:bCs w:val="false"/>
          <w:color w:val="000000"/>
        </w:rPr>
        <w:t xml:space="preserve">Session length</w:t>
      </w:r>
    </w:p>
    <w:p>
      <w:pPr>
        <w:spacing w:after="20"/>
        <w:ind w:left="360"/>
      </w:pPr>
      <w:r>
        <w:rPr>
          <w:b/>
          <w:bCs/>
          <w:color w:val="000000"/>
        </w:rPr>
        <w:t xml:space="preserve">D) </w:t>
      </w:r>
      <w:r>
        <w:rPr>
          <w:b w:val="false"/>
          <w:bCs w:val="false"/>
          <w:color w:val="000000"/>
        </w:rPr>
        <w:t xml:space="preserve">The client’s age</w:t>
      </w:r>
    </w:p>
    <w:p>
      <w:pPr>
        <w:spacing w:after="80" w:before="40"/>
        <w:ind w:left="360"/>
      </w:pPr>
      <w:r>
        <w:rPr>
          <w:b/>
          <w:bCs/>
          <w:sz w:val="20"/>
          <w:szCs w:val="20"/>
        </w:rPr>
        <w:t xml:space="preserve">Correct: B. </w:t>
      </w:r>
      <w:r>
        <w:rPr>
          <w:i/>
          <w:iCs/>
          <w:color w:val="444444"/>
          <w:sz w:val="20"/>
          <w:szCs w:val="20"/>
        </w:rPr>
        <w:t xml:space="preserve">The therapeutic alliance shows one of the most consistent associations with positive outcome across diverse therapies and disorders.</w:t>
      </w:r>
    </w:p>
    <w:p>
      <w:pPr>
        <w:spacing w:after="60" w:before="160"/>
      </w:pPr>
      <w:r>
        <w:rPr>
          <w:b/>
          <w:bCs/>
          <w:color w:val="1F6B83"/>
        </w:rPr>
        <w:t xml:space="preserve">Q4. </w:t>
      </w:r>
      <w:r>
        <w:rPr>
          <w:b/>
          <w:bCs/>
        </w:rPr>
        <w:t xml:space="preserve">The Stages of Change (Transtheoretical) model was developed by:</w:t>
      </w:r>
    </w:p>
    <w:p>
      <w:pPr>
        <w:spacing w:after="20"/>
        <w:ind w:left="360"/>
      </w:pPr>
      <w:r>
        <w:rPr>
          <w:b/>
          <w:bCs/>
          <w:color w:val="000000"/>
        </w:rPr>
        <w:t xml:space="preserve">A) </w:t>
      </w:r>
      <w:r>
        <w:rPr>
          <w:b w:val="false"/>
          <w:bCs w:val="false"/>
          <w:color w:val="000000"/>
        </w:rPr>
        <w:t xml:space="preserve">Kubler-Ross</w:t>
      </w:r>
    </w:p>
    <w:p>
      <w:pPr>
        <w:spacing w:after="20"/>
        <w:ind w:left="360"/>
      </w:pPr>
      <w:r>
        <w:rPr>
          <w:b/>
          <w:bCs/>
          <w:color w:val="1E7A4E"/>
        </w:rPr>
        <w:t xml:space="preserve">B) </w:t>
      </w:r>
      <w:r>
        <w:rPr>
          <w:b/>
          <w:bCs/>
          <w:color w:val="1E7A4E"/>
        </w:rPr>
        <w:t xml:space="preserve">Prochaska and DiClemente</w:t>
      </w:r>
    </w:p>
    <w:p>
      <w:pPr>
        <w:spacing w:after="20"/>
        <w:ind w:left="360"/>
      </w:pPr>
      <w:r>
        <w:rPr>
          <w:b/>
          <w:bCs/>
          <w:color w:val="000000"/>
        </w:rPr>
        <w:t xml:space="preserve">C) </w:t>
      </w:r>
      <w:r>
        <w:rPr>
          <w:b w:val="false"/>
          <w:bCs w:val="false"/>
          <w:color w:val="000000"/>
        </w:rPr>
        <w:t xml:space="preserve">Bordin</w:t>
      </w:r>
    </w:p>
    <w:p>
      <w:pPr>
        <w:spacing w:after="20"/>
        <w:ind w:left="360"/>
      </w:pPr>
      <w:r>
        <w:rPr>
          <w:b/>
          <w:bCs/>
          <w:color w:val="000000"/>
        </w:rPr>
        <w:t xml:space="preserve">D) </w:t>
      </w:r>
      <w:r>
        <w:rPr>
          <w:b w:val="false"/>
          <w:bCs w:val="false"/>
          <w:color w:val="000000"/>
        </w:rPr>
        <w:t xml:space="preserve">Wampold</w:t>
      </w:r>
    </w:p>
    <w:p>
      <w:pPr>
        <w:spacing w:after="80" w:before="40"/>
        <w:ind w:left="360"/>
      </w:pPr>
      <w:r>
        <w:rPr>
          <w:b/>
          <w:bCs/>
          <w:sz w:val="20"/>
          <w:szCs w:val="20"/>
        </w:rPr>
        <w:t xml:space="preserve">Correct: B. </w:t>
      </w:r>
      <w:r>
        <w:rPr>
          <w:i/>
          <w:iCs/>
          <w:color w:val="444444"/>
          <w:sz w:val="20"/>
          <w:szCs w:val="20"/>
        </w:rPr>
        <w:t xml:space="preserve">Prochaska and DiClemente developed the Transtheoretical Model. Kubler-Ross described stages of grief — a frequent and important distractor.</w:t>
      </w:r>
    </w:p>
    <w:p>
      <w:pPr>
        <w:spacing w:after="60" w:before="160"/>
      </w:pPr>
      <w:r>
        <w:rPr>
          <w:b/>
          <w:bCs/>
          <w:color w:val="1F6B83"/>
        </w:rPr>
        <w:t xml:space="preserve">Q5. </w:t>
      </w:r>
      <w:r>
        <w:rPr>
          <w:b/>
          <w:bCs/>
        </w:rPr>
        <w:t xml:space="preserve">The correct order of the Stages of Change is:</w:t>
      </w:r>
    </w:p>
    <w:p>
      <w:pPr>
        <w:spacing w:after="20"/>
        <w:ind w:left="360"/>
      </w:pPr>
      <w:r>
        <w:rPr>
          <w:b/>
          <w:bCs/>
          <w:color w:val="000000"/>
        </w:rPr>
        <w:t xml:space="preserve">A) </w:t>
      </w:r>
      <w:r>
        <w:rPr>
          <w:b w:val="false"/>
          <w:bCs w:val="false"/>
          <w:color w:val="000000"/>
        </w:rPr>
        <w:t xml:space="preserve">Denial, anger, bargaining, depression, acceptance</w:t>
      </w:r>
    </w:p>
    <w:p>
      <w:pPr>
        <w:spacing w:after="20"/>
        <w:ind w:left="360"/>
      </w:pPr>
      <w:r>
        <w:rPr>
          <w:b/>
          <w:bCs/>
          <w:color w:val="1E7A4E"/>
        </w:rPr>
        <w:t xml:space="preserve">B) </w:t>
      </w:r>
      <w:r>
        <w:rPr>
          <w:b/>
          <w:bCs/>
          <w:color w:val="1E7A4E"/>
        </w:rPr>
        <w:t xml:space="preserve">Precontemplation, contemplation, preparation, action, maintenance</w:t>
      </w:r>
    </w:p>
    <w:p>
      <w:pPr>
        <w:spacing w:after="20"/>
        <w:ind w:left="360"/>
      </w:pPr>
      <w:r>
        <w:rPr>
          <w:b/>
          <w:bCs/>
          <w:color w:val="000000"/>
        </w:rPr>
        <w:t xml:space="preserve">C) </w:t>
      </w:r>
      <w:r>
        <w:rPr>
          <w:b w:val="false"/>
          <w:bCs w:val="false"/>
          <w:color w:val="000000"/>
        </w:rPr>
        <w:t xml:space="preserve">Action, preparation, contemplation, maintenance, relapse</w:t>
      </w:r>
    </w:p>
    <w:p>
      <w:pPr>
        <w:spacing w:after="20"/>
        <w:ind w:left="360"/>
      </w:pPr>
      <w:r>
        <w:rPr>
          <w:b/>
          <w:bCs/>
          <w:color w:val="000000"/>
        </w:rPr>
        <w:t xml:space="preserve">D) </w:t>
      </w:r>
      <w:r>
        <w:rPr>
          <w:b w:val="false"/>
          <w:bCs w:val="false"/>
          <w:color w:val="000000"/>
        </w:rPr>
        <w:t xml:space="preserve">Bond, goals, tasks, outcome</w:t>
      </w:r>
    </w:p>
    <w:p>
      <w:pPr>
        <w:spacing w:after="80" w:before="40"/>
        <w:ind w:left="360"/>
      </w:pPr>
      <w:r>
        <w:rPr>
          <w:b/>
          <w:bCs/>
          <w:sz w:val="20"/>
          <w:szCs w:val="20"/>
        </w:rPr>
        <w:t xml:space="preserve">Correct: B. </w:t>
      </w:r>
      <w:r>
        <w:rPr>
          <w:i/>
          <w:iCs/>
          <w:color w:val="444444"/>
          <w:sz w:val="20"/>
          <w:szCs w:val="20"/>
        </w:rPr>
        <w:t xml:space="preserve">The stages are precontemplation, contemplation, preparation, action, and maintenance. Option A is Kubler-Ross’s grief stages — a different model.</w:t>
      </w:r>
    </w:p>
    <w:p>
      <w:pPr>
        <w:spacing w:after="60" w:before="160"/>
      </w:pPr>
      <w:r>
        <w:rPr>
          <w:b/>
          <w:bCs/>
          <w:color w:val="1F6B83"/>
        </w:rPr>
        <w:t xml:space="preserve">Q6. </w:t>
      </w:r>
      <w:r>
        <w:rPr>
          <w:b/>
          <w:bCs/>
        </w:rPr>
        <w:t xml:space="preserve">A client who is unaware of their problem and has no intention to change is in which stage?</w:t>
      </w:r>
    </w:p>
    <w:p>
      <w:pPr>
        <w:spacing w:after="20"/>
        <w:ind w:left="360"/>
      </w:pPr>
      <w:r>
        <w:rPr>
          <w:b/>
          <w:bCs/>
          <w:color w:val="000000"/>
        </w:rPr>
        <w:t xml:space="preserve">A) </w:t>
      </w:r>
      <w:r>
        <w:rPr>
          <w:b w:val="false"/>
          <w:bCs w:val="false"/>
          <w:color w:val="000000"/>
        </w:rPr>
        <w:t xml:space="preserve">Contemplation</w:t>
      </w:r>
    </w:p>
    <w:p>
      <w:pPr>
        <w:spacing w:after="20"/>
        <w:ind w:left="360"/>
      </w:pPr>
      <w:r>
        <w:rPr>
          <w:b/>
          <w:bCs/>
          <w:color w:val="1E7A4E"/>
        </w:rPr>
        <w:t xml:space="preserve">B) </w:t>
      </w:r>
      <w:r>
        <w:rPr>
          <w:b/>
          <w:bCs/>
          <w:color w:val="1E7A4E"/>
        </w:rPr>
        <w:t xml:space="preserve">Precontemplation</w:t>
      </w:r>
    </w:p>
    <w:p>
      <w:pPr>
        <w:spacing w:after="20"/>
        <w:ind w:left="360"/>
      </w:pPr>
      <w:r>
        <w:rPr>
          <w:b/>
          <w:bCs/>
          <w:color w:val="000000"/>
        </w:rPr>
        <w:t xml:space="preserve">C) </w:t>
      </w:r>
      <w:r>
        <w:rPr>
          <w:b w:val="false"/>
          <w:bCs w:val="false"/>
          <w:color w:val="000000"/>
        </w:rPr>
        <w:t xml:space="preserve">Preparation</w:t>
      </w:r>
    </w:p>
    <w:p>
      <w:pPr>
        <w:spacing w:after="20"/>
        <w:ind w:left="360"/>
      </w:pPr>
      <w:r>
        <w:rPr>
          <w:b/>
          <w:bCs/>
          <w:color w:val="000000"/>
        </w:rPr>
        <w:t xml:space="preserve">D) </w:t>
      </w:r>
      <w:r>
        <w:rPr>
          <w:b w:val="false"/>
          <w:bCs w:val="false"/>
          <w:color w:val="000000"/>
        </w:rPr>
        <w:t xml:space="preserve">Action</w:t>
      </w:r>
    </w:p>
    <w:p>
      <w:pPr>
        <w:spacing w:after="80" w:before="40"/>
        <w:ind w:left="360"/>
      </w:pPr>
      <w:r>
        <w:rPr>
          <w:b/>
          <w:bCs/>
          <w:sz w:val="20"/>
          <w:szCs w:val="20"/>
        </w:rPr>
        <w:t xml:space="preserve">Correct: B. </w:t>
      </w:r>
      <w:r>
        <w:rPr>
          <w:i/>
          <w:iCs/>
          <w:color w:val="444444"/>
          <w:sz w:val="20"/>
          <w:szCs w:val="20"/>
        </w:rPr>
        <w:t xml:space="preserve">Precontemplation: no intention to change, often unaware of the problem. Contemplation involves awareness and ambivalence.</w:t>
      </w:r>
    </w:p>
    <w:p>
      <w:pPr>
        <w:spacing w:after="60" w:before="160"/>
      </w:pPr>
      <w:r>
        <w:rPr>
          <w:b/>
          <w:bCs/>
          <w:color w:val="1F6B83"/>
        </w:rPr>
        <w:t xml:space="preserve">Q7. </w:t>
      </w:r>
      <w:r>
        <w:rPr>
          <w:b/>
          <w:bCs/>
        </w:rPr>
        <w:t xml:space="preserve">The APA’s definition of evidence-based practice integrates research evidence with:</w:t>
      </w:r>
    </w:p>
    <w:p>
      <w:pPr>
        <w:spacing w:after="20"/>
        <w:ind w:left="360"/>
      </w:pPr>
      <w:r>
        <w:rPr>
          <w:b/>
          <w:bCs/>
          <w:color w:val="000000"/>
        </w:rPr>
        <w:t xml:space="preserve">A) </w:t>
      </w:r>
      <w:r>
        <w:rPr>
          <w:b w:val="false"/>
          <w:bCs w:val="false"/>
          <w:color w:val="000000"/>
        </w:rPr>
        <w:t xml:space="preserve">Insurance requirements and cost</w:t>
      </w:r>
    </w:p>
    <w:p>
      <w:pPr>
        <w:spacing w:after="20"/>
        <w:ind w:left="360"/>
      </w:pPr>
      <w:r>
        <w:rPr>
          <w:b/>
          <w:bCs/>
          <w:color w:val="1E7A4E"/>
        </w:rPr>
        <w:t xml:space="preserve">B) </w:t>
      </w:r>
      <w:r>
        <w:rPr>
          <w:b/>
          <w:bCs/>
          <w:color w:val="1E7A4E"/>
        </w:rPr>
        <w:t xml:space="preserve">Clinical expertise and patient values/preferences</w:t>
      </w:r>
    </w:p>
    <w:p>
      <w:pPr>
        <w:spacing w:after="20"/>
        <w:ind w:left="360"/>
      </w:pPr>
      <w:r>
        <w:rPr>
          <w:b/>
          <w:bCs/>
          <w:color w:val="000000"/>
        </w:rPr>
        <w:t xml:space="preserve">C) </w:t>
      </w:r>
      <w:r>
        <w:rPr>
          <w:b w:val="false"/>
          <w:bCs w:val="false"/>
          <w:color w:val="000000"/>
        </w:rPr>
        <w:t xml:space="preserve">The DSM and ICD only</w:t>
      </w:r>
    </w:p>
    <w:p>
      <w:pPr>
        <w:spacing w:after="20"/>
        <w:ind w:left="360"/>
      </w:pPr>
      <w:r>
        <w:rPr>
          <w:b/>
          <w:bCs/>
          <w:color w:val="000000"/>
        </w:rPr>
        <w:t xml:space="preserve">D) </w:t>
      </w:r>
      <w:r>
        <w:rPr>
          <w:b w:val="false"/>
          <w:bCs w:val="false"/>
          <w:color w:val="000000"/>
        </w:rPr>
        <w:t xml:space="preserve">Supervisor preferences</w:t>
      </w:r>
    </w:p>
    <w:p>
      <w:pPr>
        <w:spacing w:after="80" w:before="40"/>
        <w:ind w:left="360"/>
      </w:pPr>
      <w:r>
        <w:rPr>
          <w:b/>
          <w:bCs/>
          <w:sz w:val="20"/>
          <w:szCs w:val="20"/>
        </w:rPr>
        <w:t xml:space="preserve">Correct: B. </w:t>
      </w:r>
      <w:r>
        <w:rPr>
          <w:i/>
          <w:iCs/>
          <w:color w:val="444444"/>
          <w:sz w:val="20"/>
          <w:szCs w:val="20"/>
        </w:rPr>
        <w:t xml:space="preserve">EBP is the integration of best research evidence, clinical expertise, and patient characteristics, values, and preferences — the three-legged stool.</w:t>
      </w:r>
    </w:p>
    <w:p>
      <w:pPr>
        <w:spacing w:after="60" w:before="160"/>
      </w:pPr>
      <w:r>
        <w:rPr>
          <w:b/>
          <w:bCs/>
          <w:color w:val="1F6B83"/>
        </w:rPr>
        <w:t xml:space="preserve">Q8. </w:t>
      </w:r>
      <w:r>
        <w:rPr>
          <w:b/>
          <w:bCs/>
        </w:rPr>
        <w:t xml:space="preserve">Empirically supported treatments (ESTs) differ from evidence-based practice (EBP) in that ESTs:</w:t>
      </w:r>
    </w:p>
    <w:p>
      <w:pPr>
        <w:spacing w:after="20"/>
        <w:ind w:left="360"/>
      </w:pPr>
      <w:r>
        <w:rPr>
          <w:b/>
          <w:bCs/>
          <w:color w:val="000000"/>
        </w:rPr>
        <w:t xml:space="preserve">A) </w:t>
      </w:r>
      <w:r>
        <w:rPr>
          <w:b w:val="false"/>
          <w:bCs w:val="false"/>
          <w:color w:val="000000"/>
        </w:rPr>
        <w:t xml:space="preserve">Are a broad decision-making framework</w:t>
      </w:r>
    </w:p>
    <w:p>
      <w:pPr>
        <w:spacing w:after="20"/>
        <w:ind w:left="360"/>
      </w:pPr>
      <w:r>
        <w:rPr>
          <w:b/>
          <w:bCs/>
          <w:color w:val="1E7A4E"/>
        </w:rPr>
        <w:t xml:space="preserve">B) </w:t>
      </w:r>
      <w:r>
        <w:rPr>
          <w:b/>
          <w:bCs/>
          <w:color w:val="1E7A4E"/>
        </w:rPr>
        <w:t xml:space="preserve">Are specific treatments shown effective for specific disorders in trials</w:t>
      </w:r>
    </w:p>
    <w:p>
      <w:pPr>
        <w:spacing w:after="20"/>
        <w:ind w:left="360"/>
      </w:pPr>
      <w:r>
        <w:rPr>
          <w:b/>
          <w:bCs/>
          <w:color w:val="000000"/>
        </w:rPr>
        <w:t xml:space="preserve">C) </w:t>
      </w:r>
      <w:r>
        <w:rPr>
          <w:b w:val="false"/>
          <w:bCs w:val="false"/>
          <w:color w:val="000000"/>
        </w:rPr>
        <w:t xml:space="preserve">Ignore research</w:t>
      </w:r>
    </w:p>
    <w:p>
      <w:pPr>
        <w:spacing w:after="20"/>
        <w:ind w:left="360"/>
      </w:pPr>
      <w:r>
        <w:rPr>
          <w:b/>
          <w:bCs/>
          <w:color w:val="000000"/>
        </w:rPr>
        <w:t xml:space="preserve">D) </w:t>
      </w:r>
      <w:r>
        <w:rPr>
          <w:b w:val="false"/>
          <w:bCs w:val="false"/>
          <w:color w:val="000000"/>
        </w:rPr>
        <w:t xml:space="preserve">Are the same as common factors</w:t>
      </w:r>
    </w:p>
    <w:p>
      <w:pPr>
        <w:spacing w:after="80" w:before="40"/>
        <w:ind w:left="360"/>
      </w:pPr>
      <w:r>
        <w:rPr>
          <w:b/>
          <w:bCs/>
          <w:sz w:val="20"/>
          <w:szCs w:val="20"/>
        </w:rPr>
        <w:t xml:space="preserve">Correct: B. </w:t>
      </w:r>
      <w:r>
        <w:rPr>
          <w:i/>
          <w:iCs/>
          <w:color w:val="444444"/>
          <w:sz w:val="20"/>
          <w:szCs w:val="20"/>
        </w:rPr>
        <w:t xml:space="preserve">ESTs are specific protocols validated for specific disorders; EBP is the broader framework integrating research, expertise, and patient values, with ESTs as one input.</w:t>
      </w:r>
    </w:p>
    <w:p>
      <w:pPr>
        <w:spacing w:after="60" w:before="160"/>
      </w:pPr>
      <w:r>
        <w:rPr>
          <w:b/>
          <w:bCs/>
          <w:color w:val="1F6B83"/>
        </w:rPr>
        <w:t xml:space="preserve">Q9. </w:t>
      </w:r>
      <w:r>
        <w:rPr>
          <w:b/>
          <w:bCs/>
        </w:rPr>
        <w:t xml:space="preserve">Efficacy research differs from effectiveness research in that efficacy emphasizes:</w:t>
      </w:r>
    </w:p>
    <w:p>
      <w:pPr>
        <w:spacing w:after="20"/>
        <w:ind w:left="360"/>
      </w:pPr>
      <w:r>
        <w:rPr>
          <w:b/>
          <w:bCs/>
          <w:color w:val="000000"/>
        </w:rPr>
        <w:t xml:space="preserve">A) </w:t>
      </w:r>
      <w:r>
        <w:rPr>
          <w:b w:val="false"/>
          <w:bCs w:val="false"/>
          <w:color w:val="000000"/>
        </w:rPr>
        <w:t xml:space="preserve">Real-world settings and external validity</w:t>
      </w:r>
    </w:p>
    <w:p>
      <w:pPr>
        <w:spacing w:after="20"/>
        <w:ind w:left="360"/>
      </w:pPr>
      <w:r>
        <w:rPr>
          <w:b/>
          <w:bCs/>
          <w:color w:val="1E7A4E"/>
        </w:rPr>
        <w:t xml:space="preserve">B) </w:t>
      </w:r>
      <w:r>
        <w:rPr>
          <w:b/>
          <w:bCs/>
          <w:color w:val="1E7A4E"/>
        </w:rPr>
        <w:t xml:space="preserve">Controlled conditions and internal validity</w:t>
      </w:r>
    </w:p>
    <w:p>
      <w:pPr>
        <w:spacing w:after="20"/>
        <w:ind w:left="360"/>
      </w:pPr>
      <w:r>
        <w:rPr>
          <w:b/>
          <w:bCs/>
          <w:color w:val="000000"/>
        </w:rPr>
        <w:t xml:space="preserve">C) </w:t>
      </w:r>
      <w:r>
        <w:rPr>
          <w:b w:val="false"/>
          <w:bCs w:val="false"/>
          <w:color w:val="000000"/>
        </w:rPr>
        <w:t xml:space="preserve">Cost-effectiveness</w:t>
      </w:r>
    </w:p>
    <w:p>
      <w:pPr>
        <w:spacing w:after="20"/>
        <w:ind w:left="360"/>
      </w:pPr>
      <w:r>
        <w:rPr>
          <w:b/>
          <w:bCs/>
          <w:color w:val="000000"/>
        </w:rPr>
        <w:t xml:space="preserve">D) </w:t>
      </w:r>
      <w:r>
        <w:rPr>
          <w:b w:val="false"/>
          <w:bCs w:val="false"/>
          <w:color w:val="000000"/>
        </w:rPr>
        <w:t xml:space="preserve">Cultural factors</w:t>
      </w:r>
    </w:p>
    <w:p>
      <w:pPr>
        <w:spacing w:after="80" w:before="40"/>
        <w:ind w:left="360"/>
      </w:pPr>
      <w:r>
        <w:rPr>
          <w:b/>
          <w:bCs/>
          <w:sz w:val="20"/>
          <w:szCs w:val="20"/>
        </w:rPr>
        <w:t xml:space="preserve">Correct: B. </w:t>
      </w:r>
      <w:r>
        <w:rPr>
          <w:i/>
          <w:iCs/>
          <w:color w:val="444444"/>
          <w:sz w:val="20"/>
          <w:szCs w:val="20"/>
        </w:rPr>
        <w:t xml:space="preserve">Efficacy research tests treatments under controlled conditions (internal validity); effectiveness research examines real-world performance (external validity).</w:t>
      </w:r>
    </w:p>
    <w:p>
      <w:pPr>
        <w:spacing w:after="60" w:before="160"/>
      </w:pPr>
      <w:r>
        <w:rPr>
          <w:b/>
          <w:bCs/>
          <w:color w:val="1F6B83"/>
        </w:rPr>
        <w:t xml:space="preserve">Q10. </w:t>
      </w:r>
      <w:r>
        <w:rPr>
          <w:b/>
          <w:bCs/>
        </w:rPr>
        <w:t xml:space="preserve">The Tarasoff ruling established the:</w:t>
      </w:r>
    </w:p>
    <w:p>
      <w:pPr>
        <w:spacing w:after="20"/>
        <w:ind w:left="360"/>
      </w:pPr>
      <w:r>
        <w:rPr>
          <w:b/>
          <w:bCs/>
          <w:color w:val="000000"/>
        </w:rPr>
        <w:t xml:space="preserve">A) </w:t>
      </w:r>
      <w:r>
        <w:rPr>
          <w:b w:val="false"/>
          <w:bCs w:val="false"/>
          <w:color w:val="000000"/>
        </w:rPr>
        <w:t xml:space="preserve">Right to refuse treatment</w:t>
      </w:r>
    </w:p>
    <w:p>
      <w:pPr>
        <w:spacing w:after="20"/>
        <w:ind w:left="360"/>
      </w:pPr>
      <w:r>
        <w:rPr>
          <w:b/>
          <w:bCs/>
          <w:color w:val="1E7A4E"/>
        </w:rPr>
        <w:t xml:space="preserve">B) </w:t>
      </w:r>
      <w:r>
        <w:rPr>
          <w:b/>
          <w:bCs/>
          <w:color w:val="1E7A4E"/>
        </w:rPr>
        <w:t xml:space="preserve">Duty to protect identifiable potential victims</w:t>
      </w:r>
    </w:p>
    <w:p>
      <w:pPr>
        <w:spacing w:after="20"/>
        <w:ind w:left="360"/>
      </w:pPr>
      <w:r>
        <w:rPr>
          <w:b/>
          <w:bCs/>
          <w:color w:val="000000"/>
        </w:rPr>
        <w:t xml:space="preserve">C) </w:t>
      </w:r>
      <w:r>
        <w:rPr>
          <w:b w:val="false"/>
          <w:bCs w:val="false"/>
          <w:color w:val="000000"/>
        </w:rPr>
        <w:t xml:space="preserve">Standard for informed consent</w:t>
      </w:r>
    </w:p>
    <w:p>
      <w:pPr>
        <w:spacing w:after="20"/>
        <w:ind w:left="360"/>
      </w:pPr>
      <w:r>
        <w:rPr>
          <w:b/>
          <w:bCs/>
          <w:color w:val="000000"/>
        </w:rPr>
        <w:t xml:space="preserve">D) </w:t>
      </w:r>
      <w:r>
        <w:rPr>
          <w:b w:val="false"/>
          <w:bCs w:val="false"/>
          <w:color w:val="000000"/>
        </w:rPr>
        <w:t xml:space="preserve">Definition of a dual relationship</w:t>
      </w:r>
    </w:p>
    <w:p>
      <w:pPr>
        <w:spacing w:after="80" w:before="40"/>
        <w:ind w:left="360"/>
      </w:pPr>
      <w:r>
        <w:rPr>
          <w:b/>
          <w:bCs/>
          <w:sz w:val="20"/>
          <w:szCs w:val="20"/>
        </w:rPr>
        <w:t xml:space="preserve">Correct: B. </w:t>
      </w:r>
      <w:r>
        <w:rPr>
          <w:i/>
          <w:iCs/>
          <w:color w:val="444444"/>
          <w:sz w:val="20"/>
          <w:szCs w:val="20"/>
        </w:rPr>
        <w:t xml:space="preserve">Tarasoff established the duty to protect (often “warn”): a serious, foreseeable threat to an identifiable victim can require protective action overriding confidentiality.</w:t>
      </w:r>
    </w:p>
    <w:p>
      <w:pPr>
        <w:spacing w:after="60" w:before="160"/>
      </w:pPr>
      <w:r>
        <w:rPr>
          <w:b/>
          <w:bCs/>
          <w:color w:val="1F6B83"/>
        </w:rPr>
        <w:t xml:space="preserve">Q11. </w:t>
      </w:r>
      <w:r>
        <w:rPr>
          <w:b/>
          <w:bCs/>
        </w:rPr>
        <w:t xml:space="preserve">Cultural humility differs from cultural competence primarily in that cultural humility:</w:t>
      </w:r>
    </w:p>
    <w:p>
      <w:pPr>
        <w:spacing w:after="20"/>
        <w:ind w:left="360"/>
      </w:pPr>
      <w:r>
        <w:rPr>
          <w:b/>
          <w:bCs/>
          <w:color w:val="000000"/>
        </w:rPr>
        <w:t xml:space="preserve">A) </w:t>
      </w:r>
      <w:r>
        <w:rPr>
          <w:b w:val="false"/>
          <w:bCs w:val="false"/>
          <w:color w:val="000000"/>
        </w:rPr>
        <w:t xml:space="preserve">Treats culture as knowledge to be mastered</w:t>
      </w:r>
    </w:p>
    <w:p>
      <w:pPr>
        <w:spacing w:after="20"/>
        <w:ind w:left="360"/>
      </w:pPr>
      <w:r>
        <w:rPr>
          <w:b/>
          <w:bCs/>
          <w:color w:val="1E7A4E"/>
        </w:rPr>
        <w:t xml:space="preserve">B) </w:t>
      </w:r>
      <w:r>
        <w:rPr>
          <w:b/>
          <w:bCs/>
          <w:color w:val="1E7A4E"/>
        </w:rPr>
        <w:t xml:space="preserve">Is an ongoing self-reflective stance recognizing the limits of one’s understanding</w:t>
      </w:r>
    </w:p>
    <w:p>
      <w:pPr>
        <w:spacing w:after="20"/>
        <w:ind w:left="360"/>
      </w:pPr>
      <w:r>
        <w:rPr>
          <w:b/>
          <w:bCs/>
          <w:color w:val="000000"/>
        </w:rPr>
        <w:t xml:space="preserve">C) </w:t>
      </w:r>
      <w:r>
        <w:rPr>
          <w:b w:val="false"/>
          <w:bCs w:val="false"/>
          <w:color w:val="000000"/>
        </w:rPr>
        <w:t xml:space="preserve">Requires no self-awareness</w:t>
      </w:r>
    </w:p>
    <w:p>
      <w:pPr>
        <w:spacing w:after="20"/>
        <w:ind w:left="360"/>
      </w:pPr>
      <w:r>
        <w:rPr>
          <w:b/>
          <w:bCs/>
          <w:color w:val="000000"/>
        </w:rPr>
        <w:t xml:space="preserve">D) </w:t>
      </w:r>
      <w:r>
        <w:rPr>
          <w:b w:val="false"/>
          <w:bCs w:val="false"/>
          <w:color w:val="000000"/>
        </w:rPr>
        <w:t xml:space="preserve">Applies only to research</w:t>
      </w:r>
    </w:p>
    <w:p>
      <w:pPr>
        <w:spacing w:after="80" w:before="40"/>
        <w:ind w:left="360"/>
      </w:pPr>
      <w:r>
        <w:rPr>
          <w:b/>
          <w:bCs/>
          <w:sz w:val="20"/>
          <w:szCs w:val="20"/>
        </w:rPr>
        <w:t xml:space="preserve">Correct: B. </w:t>
      </w:r>
      <w:r>
        <w:rPr>
          <w:i/>
          <w:iCs/>
          <w:color w:val="444444"/>
          <w:sz w:val="20"/>
          <w:szCs w:val="20"/>
        </w:rPr>
        <w:t xml:space="preserve">Cultural humility is a lifelong, self-reflective posture centering the client as expert on their experience, contrasting with competence framed as masterable knowledge.</w:t>
      </w:r>
    </w:p>
    <w:p>
      <w:pPr>
        <w:spacing w:after="60" w:before="160"/>
      </w:pPr>
      <w:r>
        <w:rPr>
          <w:b/>
          <w:bCs/>
          <w:color w:val="1F6B83"/>
        </w:rPr>
        <w:t xml:space="preserve">Q12. </w:t>
      </w:r>
      <w:r>
        <w:rPr>
          <w:b/>
          <w:bCs/>
        </w:rPr>
        <w:t xml:space="preserve">“Therapist effects” in outcome research refer to:</w:t>
      </w:r>
    </w:p>
    <w:p>
      <w:pPr>
        <w:spacing w:after="20"/>
        <w:ind w:left="360"/>
      </w:pPr>
      <w:r>
        <w:rPr>
          <w:b/>
          <w:bCs/>
          <w:color w:val="000000"/>
        </w:rPr>
        <w:t xml:space="preserve">A) </w:t>
      </w:r>
      <w:r>
        <w:rPr>
          <w:b w:val="false"/>
          <w:bCs w:val="false"/>
          <w:color w:val="000000"/>
        </w:rPr>
        <w:t xml:space="preserve">Side effects of medication</w:t>
      </w:r>
    </w:p>
    <w:p>
      <w:pPr>
        <w:spacing w:after="20"/>
        <w:ind w:left="360"/>
      </w:pPr>
      <w:r>
        <w:rPr>
          <w:b/>
          <w:bCs/>
          <w:color w:val="1E7A4E"/>
        </w:rPr>
        <w:t xml:space="preserve">B) </w:t>
      </w:r>
      <w:r>
        <w:rPr>
          <w:b/>
          <w:bCs/>
          <w:color w:val="1E7A4E"/>
        </w:rPr>
        <w:t xml:space="preserve">Meaningful variance in outcome attributable to who the therapist is</w:t>
      </w:r>
    </w:p>
    <w:p>
      <w:pPr>
        <w:spacing w:after="20"/>
        <w:ind w:left="360"/>
      </w:pPr>
      <w:r>
        <w:rPr>
          <w:b/>
          <w:bCs/>
          <w:color w:val="000000"/>
        </w:rPr>
        <w:t xml:space="preserve">C) </w:t>
      </w:r>
      <w:r>
        <w:rPr>
          <w:b w:val="false"/>
          <w:bCs w:val="false"/>
          <w:color w:val="000000"/>
        </w:rPr>
        <w:t xml:space="preserve">The placebo response</w:t>
      </w:r>
    </w:p>
    <w:p>
      <w:pPr>
        <w:spacing w:after="20"/>
        <w:ind w:left="360"/>
      </w:pPr>
      <w:r>
        <w:rPr>
          <w:b/>
          <w:bCs/>
          <w:color w:val="000000"/>
        </w:rPr>
        <w:t xml:space="preserve">D) </w:t>
      </w:r>
      <w:r>
        <w:rPr>
          <w:b w:val="false"/>
          <w:bCs w:val="false"/>
          <w:color w:val="000000"/>
        </w:rPr>
        <w:t xml:space="preserve">Dropout rates</w:t>
      </w:r>
    </w:p>
    <w:p>
      <w:pPr>
        <w:spacing w:after="80" w:before="40"/>
        <w:ind w:left="360"/>
      </w:pPr>
      <w:r>
        <w:rPr>
          <w:b/>
          <w:bCs/>
          <w:sz w:val="20"/>
          <w:szCs w:val="20"/>
        </w:rPr>
        <w:t xml:space="preserve">Correct: B. </w:t>
      </w:r>
      <w:r>
        <w:rPr>
          <w:i/>
          <w:iCs/>
          <w:color w:val="444444"/>
          <w:sz w:val="20"/>
          <w:szCs w:val="20"/>
        </w:rPr>
        <w:t xml:space="preserve">Therapist effects describe consistent differences in outcomes among therapists, independent of the treatment approach used.</w:t>
      </w:r>
    </w:p>
    <w:p>
      <w:pPr>
        <w:spacing w:after="60" w:before="160"/>
      </w:pPr>
      <w:r>
        <w:rPr>
          <w:b/>
          <w:bCs/>
          <w:color w:val="1F6B83"/>
        </w:rPr>
        <w:t xml:space="preserve">Q13. </w:t>
      </w:r>
      <w:r>
        <w:rPr>
          <w:b/>
          <w:bCs/>
        </w:rPr>
        <w:t xml:space="preserve">Which is the best example of a common (nonspecific) factor?</w:t>
      </w:r>
    </w:p>
    <w:p>
      <w:pPr>
        <w:spacing w:after="20"/>
        <w:ind w:left="360"/>
      </w:pPr>
      <w:r>
        <w:rPr>
          <w:b/>
          <w:bCs/>
          <w:color w:val="000000"/>
        </w:rPr>
        <w:t xml:space="preserve">A) </w:t>
      </w:r>
      <w:r>
        <w:rPr>
          <w:b w:val="false"/>
          <w:bCs w:val="false"/>
          <w:color w:val="000000"/>
        </w:rPr>
        <w:t xml:space="preserve">A specific exposure hierarchy</w:t>
      </w:r>
    </w:p>
    <w:p>
      <w:pPr>
        <w:spacing w:after="20"/>
        <w:ind w:left="360"/>
      </w:pPr>
      <w:r>
        <w:rPr>
          <w:b/>
          <w:bCs/>
          <w:color w:val="1E7A4E"/>
        </w:rPr>
        <w:t xml:space="preserve">B) </w:t>
      </w:r>
      <w:r>
        <w:rPr>
          <w:b/>
          <w:bCs/>
          <w:color w:val="1E7A4E"/>
        </w:rPr>
        <w:t xml:space="preserve">Client expectancy and hope</w:t>
      </w:r>
    </w:p>
    <w:p>
      <w:pPr>
        <w:spacing w:after="20"/>
        <w:ind w:left="360"/>
      </w:pPr>
      <w:r>
        <w:rPr>
          <w:b/>
          <w:bCs/>
          <w:color w:val="000000"/>
        </w:rPr>
        <w:t xml:space="preserve">C) </w:t>
      </w:r>
      <w:r>
        <w:rPr>
          <w:b w:val="false"/>
          <w:bCs w:val="false"/>
          <w:color w:val="000000"/>
        </w:rPr>
        <w:t xml:space="preserve">A thought record</w:t>
      </w:r>
    </w:p>
    <w:p>
      <w:pPr>
        <w:spacing w:after="20"/>
        <w:ind w:left="360"/>
      </w:pPr>
      <w:r>
        <w:rPr>
          <w:b/>
          <w:bCs/>
          <w:color w:val="000000"/>
        </w:rPr>
        <w:t xml:space="preserve">D) </w:t>
      </w:r>
      <w:r>
        <w:rPr>
          <w:b w:val="false"/>
          <w:bCs w:val="false"/>
          <w:color w:val="000000"/>
        </w:rPr>
        <w:t xml:space="preserve">Bilateral stimulation</w:t>
      </w:r>
    </w:p>
    <w:p>
      <w:pPr>
        <w:spacing w:after="80" w:before="40"/>
        <w:ind w:left="360"/>
      </w:pPr>
      <w:r>
        <w:rPr>
          <w:b/>
          <w:bCs/>
          <w:sz w:val="20"/>
          <w:szCs w:val="20"/>
        </w:rPr>
        <w:t xml:space="preserve">Correct: B. </w:t>
      </w:r>
      <w:r>
        <w:rPr>
          <w:i/>
          <w:iCs/>
          <w:color w:val="444444"/>
          <w:sz w:val="20"/>
          <w:szCs w:val="20"/>
        </w:rPr>
        <w:t xml:space="preserve">Expectancy and hope are nonspecific/common factors contributing to outcome, as opposed to approach-specific techniques like exposure hierarchies or thought records.</w:t>
      </w:r>
    </w:p>
    <w:p>
      <w:pPr>
        <w:spacing w:after="60" w:before="160"/>
      </w:pPr>
      <w:r>
        <w:rPr>
          <w:b/>
          <w:bCs/>
          <w:color w:val="1F6B83"/>
        </w:rPr>
        <w:t xml:space="preserve">Q14. </w:t>
      </w:r>
      <w:r>
        <w:rPr>
          <w:b/>
          <w:bCs/>
        </w:rPr>
        <w:t xml:space="preserve">Routine outcome monitoring (feedback-informed treatment) improves outcomes mainly by:</w:t>
      </w:r>
    </w:p>
    <w:p>
      <w:pPr>
        <w:spacing w:after="20"/>
        <w:ind w:left="360"/>
      </w:pPr>
      <w:r>
        <w:rPr>
          <w:b/>
          <w:bCs/>
          <w:color w:val="000000"/>
        </w:rPr>
        <w:t xml:space="preserve">A) </w:t>
      </w:r>
      <w:r>
        <w:rPr>
          <w:b w:val="false"/>
          <w:bCs w:val="false"/>
          <w:color w:val="000000"/>
        </w:rPr>
        <w:t xml:space="preserve">Replacing the therapeutic relationship</w:t>
      </w:r>
    </w:p>
    <w:p>
      <w:pPr>
        <w:spacing w:after="20"/>
        <w:ind w:left="360"/>
      </w:pPr>
      <w:r>
        <w:rPr>
          <w:b/>
          <w:bCs/>
          <w:color w:val="1E7A4E"/>
        </w:rPr>
        <w:t xml:space="preserve">B) </w:t>
      </w:r>
      <w:r>
        <w:rPr>
          <w:b/>
          <w:bCs/>
          <w:color w:val="1E7A4E"/>
        </w:rPr>
        <w:t xml:space="preserve">Flagging clients at risk of deterioration so treatment can be adjusted</w:t>
      </w:r>
    </w:p>
    <w:p>
      <w:pPr>
        <w:spacing w:after="20"/>
        <w:ind w:left="360"/>
      </w:pPr>
      <w:r>
        <w:rPr>
          <w:b/>
          <w:bCs/>
          <w:color w:val="000000"/>
        </w:rPr>
        <w:t xml:space="preserve">C) </w:t>
      </w:r>
      <w:r>
        <w:rPr>
          <w:b w:val="false"/>
          <w:bCs w:val="false"/>
          <w:color w:val="000000"/>
        </w:rPr>
        <w:t xml:space="preserve">Eliminating the need for diagnosis</w:t>
      </w:r>
    </w:p>
    <w:p>
      <w:pPr>
        <w:spacing w:after="20"/>
        <w:ind w:left="360"/>
      </w:pPr>
      <w:r>
        <w:rPr>
          <w:b/>
          <w:bCs/>
          <w:color w:val="000000"/>
        </w:rPr>
        <w:t xml:space="preserve">D) </w:t>
      </w:r>
      <w:r>
        <w:rPr>
          <w:b w:val="false"/>
          <w:bCs w:val="false"/>
          <w:color w:val="000000"/>
        </w:rPr>
        <w:t xml:space="preserve">Standardizing all treatment to one protocol</w:t>
      </w:r>
    </w:p>
    <w:p>
      <w:pPr>
        <w:spacing w:after="80" w:before="40"/>
        <w:ind w:left="360"/>
      </w:pPr>
      <w:r>
        <w:rPr>
          <w:b/>
          <w:bCs/>
          <w:sz w:val="20"/>
          <w:szCs w:val="20"/>
        </w:rPr>
        <w:t xml:space="preserve">Correct: B. </w:t>
      </w:r>
      <w:r>
        <w:rPr>
          <w:i/>
          <w:iCs/>
          <w:color w:val="444444"/>
          <w:sz w:val="20"/>
          <w:szCs w:val="20"/>
        </w:rPr>
        <w:t xml:space="preserve">Session-by-session measurement of progress and alliance lets clinicians detect and respond to clients who are not improving or are at risk of deterioration.</w:t>
      </w:r>
    </w:p>
    <w:p>
      <w:pPr>
        <w:spacing w:after="60" w:before="160"/>
      </w:pPr>
      <w:r>
        <w:rPr>
          <w:b/>
          <w:bCs/>
          <w:color w:val="1F6B83"/>
        </w:rPr>
        <w:t xml:space="preserve">Q15. </w:t>
      </w:r>
      <w:r>
        <w:rPr>
          <w:b/>
          <w:bCs/>
        </w:rPr>
        <w:t xml:space="preserve">Years of clinical experience alone tend to correlate ___ with better client outcomes, which is why ___ is emphasized.</w:t>
      </w:r>
    </w:p>
    <w:p>
      <w:pPr>
        <w:spacing w:after="20"/>
        <w:ind w:left="360"/>
      </w:pPr>
      <w:r>
        <w:rPr>
          <w:b/>
          <w:bCs/>
          <w:color w:val="000000"/>
        </w:rPr>
        <w:t xml:space="preserve">A) </w:t>
      </w:r>
      <w:r>
        <w:rPr>
          <w:b w:val="false"/>
          <w:bCs w:val="false"/>
          <w:color w:val="000000"/>
        </w:rPr>
        <w:t xml:space="preserve">Strongly; supervision</w:t>
      </w:r>
    </w:p>
    <w:p>
      <w:pPr>
        <w:spacing w:after="20"/>
        <w:ind w:left="360"/>
      </w:pPr>
      <w:r>
        <w:rPr>
          <w:b/>
          <w:bCs/>
          <w:color w:val="1E7A4E"/>
        </w:rPr>
        <w:t xml:space="preserve">B) </w:t>
      </w:r>
      <w:r>
        <w:rPr>
          <w:b/>
          <w:bCs/>
          <w:color w:val="1E7A4E"/>
        </w:rPr>
        <w:t xml:space="preserve">Weakly; deliberate practice</w:t>
      </w:r>
    </w:p>
    <w:p>
      <w:pPr>
        <w:spacing w:after="20"/>
        <w:ind w:left="360"/>
      </w:pPr>
      <w:r>
        <w:rPr>
          <w:b/>
          <w:bCs/>
          <w:color w:val="000000"/>
        </w:rPr>
        <w:t xml:space="preserve">C) </w:t>
      </w:r>
      <w:r>
        <w:rPr>
          <w:b w:val="false"/>
          <w:bCs w:val="false"/>
          <w:color w:val="000000"/>
        </w:rPr>
        <w:t xml:space="preserve">Perfectly; licensure</w:t>
      </w:r>
    </w:p>
    <w:p>
      <w:pPr>
        <w:spacing w:after="20"/>
        <w:ind w:left="360"/>
      </w:pPr>
      <w:r>
        <w:rPr>
          <w:b/>
          <w:bCs/>
          <w:color w:val="000000"/>
        </w:rPr>
        <w:t xml:space="preserve">D) </w:t>
      </w:r>
      <w:r>
        <w:rPr>
          <w:b w:val="false"/>
          <w:bCs w:val="false"/>
          <w:color w:val="000000"/>
        </w:rPr>
        <w:t xml:space="preserve">Negatively; manualization</w:t>
      </w:r>
    </w:p>
    <w:p>
      <w:pPr>
        <w:spacing w:after="80" w:before="40"/>
        <w:ind w:left="360"/>
      </w:pPr>
      <w:r>
        <w:rPr>
          <w:b/>
          <w:bCs/>
          <w:sz w:val="20"/>
          <w:szCs w:val="20"/>
        </w:rPr>
        <w:t xml:space="preserve">Correct: B. </w:t>
      </w:r>
      <w:r>
        <w:rPr>
          <w:i/>
          <w:iCs/>
          <w:color w:val="444444"/>
          <w:sz w:val="20"/>
          <w:szCs w:val="20"/>
        </w:rPr>
        <w:t xml:space="preserve">Experience alone correlates weakly with outcome, motivating deliberate practice — focused, feedback-driven skill development — to improve competence.</w:t>
      </w:r>
    </w:p>
    <w:p>
      <w:pPr>
        <w:pStyle w:val="Heading1"/>
        <w:spacing w:before="360"/>
      </w:pPr>
      <w:r>
        <w:t xml:space="preserve">3. Study Guide Expansion</w:t>
      </w:r>
    </w:p>
    <w:p>
      <w:pPr>
        <w:spacing w:after="160"/>
      </w:pPr>
      <w:r>
        <w:rPr>
          <w:color w:val="666666"/>
          <w:sz w:val="20"/>
          <w:szCs w:val="20"/>
        </w:rPr>
        <w:t xml:space="preserve">New sections to APPEND to the existing guide.</w:t>
      </w:r>
    </w:p>
    <w:p>
      <w:pPr>
        <w:pStyle w:val="Heading2"/>
      </w:pPr>
      <w:r>
        <w:t xml:space="preserve">Common Factors and the Therapeutic Alliance</w:t>
      </w:r>
    </w:p>
    <w:p>
      <w:pPr>
        <w:spacing w:after="120"/>
      </w:pPr>
      <w:r>
        <w:t xml:space="preserve">A foundational debate in psychotherapy concerns why therapy works. The common factors perspective holds that elements shared across approaches — the therapeutic alliance, empathy, positive expectancy, and a credible treatment rationale — account for much of the outcome, often more than the specific techniques of any single model. This is captured in the “Dodo bird verdict” (“everybody has won and all must have prizes”), the repeated finding that bona fide therapies produce roughly comparable outcomes. It is important to state the verdict carefully: it supports the importance of common factors, but it does not mean all therapies are identical or that technique never matters. Wampold’s contextual model formalizes this view, proposing that therapy works largely through the real relationship, the expectations created by a credible explanation, and engagement in health-promoting actions. Central to all of this is the therapeutic alliance, one of the most robustly replicated predictors of outcome. Bordin defined the working alliance in three parts: the bond (the trusting emotional relationship), agreement on goals, and agreement on tasks.</w:t>
      </w:r>
    </w:p>
    <w:p>
      <w:pPr>
        <w:pStyle w:val="Heading2"/>
      </w:pPr>
      <w:r>
        <w:t xml:space="preserve">Readiness for Change and Evidence-Based Practice</w:t>
      </w:r>
    </w:p>
    <w:p>
      <w:pPr>
        <w:spacing w:after="120"/>
      </w:pPr>
      <w:r>
        <w:t xml:space="preserve">The Transtheoretical Model, developed by Prochaska and DiClemente, describes how people move through stages when changing a behavior: precontemplation (no intention to change, often unaware), contemplation (aware and ambivalent), preparation, action, and maintenance, with relapse possible along the way. These are stages of behavior change and should not be confused with Kubler-Ross’s stages of grief. Matching interventions to the client’s stage — consciousness-raising for precontemplators, action strategies only once a client is ready — improves effectiveness and reduces resistance. Evidence-based practice, as defined by the APA, is the integration of the best available research evidence, clinical expertise, and patient characteristics, values, and preferences — the “three-legged stool.” This broad decision-making framework should be distinguished from empirically supported treatments, which are specific protocols validated for specific disorders in controlled trials; ESTs are one input to EBP, not the whole of it. The research itself spans efficacy studies (controlled conditions, high internal validity) and effectiveness studies (real-world settings, high external validity), both of which are needed to understand how treatments perform.</w:t>
      </w:r>
    </w:p>
    <w:p>
      <w:pPr>
        <w:pStyle w:val="Heading2"/>
      </w:pPr>
      <w:r>
        <w:t xml:space="preserve">Ethics and the Therapeutic Frame</w:t>
      </w:r>
    </w:p>
    <w:p>
      <w:pPr>
        <w:spacing w:after="120"/>
      </w:pPr>
      <w:r>
        <w:t xml:space="preserve">Psychotherapy rests on an ethical and structural foundation. Informed consent is an ongoing process in which the client voluntarily agrees to treatment after being informed of its nature, risks, benefits, alternatives, the limits of confidentiality, and fees. Those limits typically include risk of serious harm to self or others, mandated reporting of suspected abuse, and court orders, and they are reviewed at the outset. The Tarasoff ruling established the duty to protect (often called the duty to warn): when a client poses a serious, foreseeable danger to an identifiable victim, the clinician must take reasonable protective steps, which can override confidentiality. The therapeutic frame — the consistent structure of time, place, fee, confidentiality, and boundaries — provides a safe, predictable container for the work, and multiple (dual) relationships, in which the therapist holds an additional role with the client, are an ethical concern because they risk impaired judgment and exploitation.</w:t>
      </w:r>
    </w:p>
    <w:p>
      <w:pPr>
        <w:pStyle w:val="Heading2"/>
      </w:pPr>
      <w:r>
        <w:t xml:space="preserve">Culture, Process, and Therapist Development</w:t>
      </w:r>
    </w:p>
    <w:p>
      <w:pPr>
        <w:spacing w:after="120"/>
      </w:pPr>
      <w:r>
        <w:t xml:space="preserve">Effective practice also requires attention to culture and to the therapist’s own contribution. Cultural humility — a lifelong, self-reflective stance that recognizes the limits of one’s understanding and centers the client as the expert on their own experience — is increasingly emphasized over a static notion of cultural competence framed as masterable knowledge. Research on therapy distinguishes outcome (whether clients improve) from process (how and why change occurs within sessions), and has documented substantial therapist effects: who the therapist is accounts for meaningful variance in outcome, independent of the approach used. Because years of experience alone correlate only weakly with better outcomes, the field increasingly emphasizes deliberate practice — focused, feedback-driven skill development — and feedback-informed treatment, in which session-by-session measurement of progress and alliance allows clinicians to detect and respond to clients at risk of deterioration.</w:t>
      </w:r>
    </w:p>
    <w:p>
      <w:pPr>
        <w:pStyle w:val="Heading1"/>
        <w:spacing w:before="360"/>
      </w:pPr>
      <w:r>
        <w:t xml:space="preserve">Insertion Notes</w:t>
      </w:r>
    </w:p>
    <w:p>
      <w:pPr>
        <w:spacing w:after="120"/>
      </w:pPr>
      <w:r>
        <w:t xml:space="preserve">Additive content for topic_id 43 (Foundations of Psychotherapy). Verify the topic ID by name before inserting. MCP insert is live immediately — review here first.</w:t>
      </w:r>
    </w:p>
    <w:p>
      <w:pPr>
        <w:pStyle w:val="ListParagraph"/>
        <w:numPr>
          <w:ilvl w:val="0"/>
          <w:numId w:val="2"/>
        </w:numPr>
      </w:pPr>
      <w:r>
        <w:t xml:space="preserve">Flashcards: append the 24 above to the existing 12 (new total: 36).</w:t>
      </w:r>
    </w:p>
    <w:p>
      <w:pPr>
        <w:pStyle w:val="ListParagraph"/>
        <w:numPr>
          <w:ilvl w:val="0"/>
          <w:numId w:val="2"/>
        </w:numPr>
      </w:pPr>
      <w:r>
        <w:t xml:space="preserve">Quiz questions: append the 15 above to the existing 15 (new total: 30). Consider marking ~10 examOnly=true to enrich the practice exam.</w:t>
      </w:r>
    </w:p>
    <w:p>
      <w:pPr>
        <w:pStyle w:val="ListParagraph"/>
        <w:numPr>
          <w:ilvl w:val="0"/>
          <w:numId w:val="2"/>
        </w:numPr>
      </w:pPr>
      <w:r>
        <w:t xml:space="preserve">Study guide: add_study_guide REPLACES the guide — the insert prompt must contain the FULL merged guide (existing text + the expansion above), not just the new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2026-05-23T00:56:50.702Z</dcterms:created>
  <dcterms:modified xsi:type="dcterms:W3CDTF">2026-05-23T00:56:50.702Z</dcterms:modified>
</cp:coreProperties>
</file>

<file path=docProps/custom.xml><?xml version="1.0" encoding="utf-8"?>
<Properties xmlns="http://schemas.openxmlformats.org/officeDocument/2006/custom-properties" xmlns:vt="http://schemas.openxmlformats.org/officeDocument/2006/docPropsVTypes"/>
</file>