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PsychPro Content Expansion — Tier-2 Study Guides</w:t>
      </w:r>
    </w:p>
    <w:p>
      <w:pPr>
        <w:spacing w:after="160"/>
      </w:pPr>
      <w:r>
        <w:rPr>
          <w:i/>
          <w:iCs/>
          <w:color w:val="666666"/>
          <w:sz w:val="20"/>
          <w:szCs w:val="20"/>
        </w:rPr>
        <w:t xml:space="preserve">Three study-guide expansions for the thinnest non-therapy guides: Executive Function (topic 26, ~767 words), Forensic Neuropsychology (topic 27, ~907 words), and Qualitative Research Methods (topic 23, ~957 words). Each section below is the NET-NEW material to APPEND to the existing guide. REMINDER: add_study_guide REPLACES the guide — each insert prompt must contain the FULL merged guide (existing text + the expansion below), not just the new sections. Verify each topic ID by name before inserting. MCP insert is live immediately — review here first.</w:t>
      </w:r>
    </w:p>
    <w:p>
      <w:pPr>
        <w:spacing w:after="120"/>
      </w:pPr>
      <w:r>
        <w:rPr>
          <w:b/>
          <w:bCs/>
          <w:color w:val="1F6B83"/>
          <w:sz w:val="26"/>
          <w:szCs w:val="26"/>
        </w:rPr>
        <w:t xml:space="preserve">Topic 26 — Executive Function: Study Guide Expansion</w:t>
      </w:r>
    </w:p>
    <w:p>
      <w:pPr>
        <w:pStyle w:val="Heading1"/>
      </w:pPr>
      <w:r>
        <w:t xml:space="preserve">Defining Executive Function</w:t>
      </w:r>
    </w:p>
    <w:p>
      <w:pPr>
        <w:spacing w:after="120"/>
      </w:pPr>
      <w:r>
        <w:t xml:space="preserve">Executive functions are the higher-order, top-down cognitive processes that coordinate and control goal-directed behavior. Rather than a single ability, they form a family of partially separable processes that allow a person to override automatic responses, hold and manipulate information, plan ahead, and flexibly adjust to changing demands. They are most associated with the prefrontal cortex and its connections to subcortical and posterior regions, though it is more accurate to think of executive function as supported by distributed frontal-subcortical networks than by a single “executive” center. Because they govern the regulation of other cognitive abilities, executive functions are often described as the brain’s conductor or central management system.</w:t>
      </w:r>
    </w:p>
    <w:p>
      <w:pPr>
        <w:pStyle w:val="Heading1"/>
      </w:pPr>
      <w:r>
        <w:t xml:space="preserve">Core Components</w:t>
      </w:r>
    </w:p>
    <w:p>
      <w:pPr>
        <w:spacing w:after="120"/>
      </w:pPr>
      <w:r>
        <w:t xml:space="preserve">Contemporary models, particularly Miyake and colleagues’ influential framework, identify three core, separable but correlated components:</w:t>
      </w:r>
    </w:p>
    <w:p>
      <w:pPr>
        <w:pStyle w:val="ListParagraph"/>
        <w:numPr>
          <w:ilvl w:val="0"/>
          <w:numId w:val="2"/>
        </w:numPr>
      </w:pPr>
      <w:r>
        <w:t xml:space="preserve">Inhibition (inhibitory control): the ability to suppress prepotent or automatic responses and resist distraction — the basis of self-control and the capacity to stop, wait, and override impulses.</w:t>
      </w:r>
    </w:p>
    <w:p>
      <w:pPr>
        <w:pStyle w:val="ListParagraph"/>
        <w:numPr>
          <w:ilvl w:val="0"/>
          <w:numId w:val="2"/>
        </w:numPr>
      </w:pPr>
      <w:r>
        <w:t xml:space="preserve">Working memory (updating): the ability to hold and actively manipulate information in mind over short intervals, continuously updating its contents as new information arrives.</w:t>
      </w:r>
    </w:p>
    <w:p>
      <w:pPr>
        <w:pStyle w:val="ListParagraph"/>
        <w:numPr>
          <w:ilvl w:val="0"/>
          <w:numId w:val="2"/>
        </w:numPr>
      </w:pPr>
      <w:r>
        <w:t xml:space="preserve">Cognitive flexibility (set-shifting): the ability to shift between tasks, rules, or mental sets and to adapt to changing demands or feedback.</w:t>
      </w:r>
    </w:p>
    <w:p>
      <w:pPr>
        <w:spacing w:after="120"/>
      </w:pPr>
      <w:r>
        <w:t xml:space="preserve">From these core processes, higher-order functions emerge, including planning, organization, problem-solving, reasoning, and goal management. A widely used clinical distinction separates “cool” executive functions — the relatively abstract, logically based processes (working memory, set-shifting) — from “hot” executive functions — the affectively and motivationally significant processes involved in decisions about emotionally meaningful or reward-related stimuli (as tapped by gambling-type tasks).</w:t>
      </w:r>
    </w:p>
    <w:p>
      <w:pPr>
        <w:pStyle w:val="Heading1"/>
      </w:pPr>
      <w:r>
        <w:t xml:space="preserve">Neuroanatomy of Executive Function</w:t>
      </w:r>
    </w:p>
    <w:p>
      <w:pPr>
        <w:spacing w:after="120"/>
      </w:pPr>
      <w:r>
        <w:t xml:space="preserve">Executive functions depend heavily on the prefrontal cortex, with different prefrontal regions emphasizing different functions. The dorsolateral prefrontal cortex is central to working memory, planning, and cognitive flexibility; the ventromedial and orbitofrontal cortex are central to decision-making, reward valuation, and the regulation of emotion and social behavior; and the anterior cingulate cortex contributes to error monitoring, conflict detection, and the allocation of cognitive control. Crucially, these regions operate within frontal-subcortical circuits linking the prefrontal cortex with the basal ganglia and thalamus, so executive dysfunction can arise from damage anywhere along these loops, not only from cortical injury. This is why conditions affecting subcortical structures — such as Parkinson’s disease and other basal-ganglia disorders — can produce executive deficits resembling those of frontal lesions.</w:t>
      </w:r>
    </w:p>
    <w:p>
      <w:pPr>
        <w:pStyle w:val="Heading1"/>
      </w:pPr>
      <w:r>
        <w:t xml:space="preserve">Clinical Syndromes and Dysexecutive Presentations</w:t>
      </w:r>
    </w:p>
    <w:p>
      <w:pPr>
        <w:spacing w:after="120"/>
      </w:pPr>
      <w:r>
        <w:t xml:space="preserve">Damage to the prefrontal cortex produces the dysexecutive syndrome, whose presentation varies by region. Dorsolateral injury tends to produce difficulties with planning, organization, working memory, and cognitive flexibility — a more “cognitive” dysexecutive picture. Orbitofrontal and ventromedial injury tends to produce disinhibition, impulsivity, poor judgment, emotional dysregulation, and changes in social conduct — classically illustrated by the case of Phineas Gage. Medial frontal damage can produce apathy, reduced spontaneous behavior, and in severe cases akinetic mutism. Executive dysfunction is transdiagnostic, appearing across ADHD, traumatic brain injury, frontotemporal dementia, schizophrenia, and the frontal-subcortical changes of Parkinson’s and Huntington’s disease.</w:t>
      </w:r>
    </w:p>
    <w:p>
      <w:pPr>
        <w:pStyle w:val="Heading1"/>
      </w:pPr>
      <w:r>
        <w:t xml:space="preserve">Assessment of Executive Function</w:t>
      </w:r>
    </w:p>
    <w:p>
      <w:pPr>
        <w:spacing w:after="120"/>
      </w:pPr>
      <w:r>
        <w:t xml:space="preserve">Executive function is assessed with both performance-based tests and rating scales, and a recurring challenge is ecological validity — structured office tasks may not capture real-world, self-directed difficulties. Common performance measures include the Wisconsin Card Sorting Test (set-shifting and the tendency toward perseveration), the Stroop Color-Word Test (inhibition of a prepotent response), Trail Making Test Part B (set-shifting and divided attention), verbal fluency tasks (initiation and generativity), the Tower of London and Tower of Hanoi (planning), and the Iowa Gambling Task (“hot” decision-making under uncertainty). The Delis-Kaplan Executive Function System (D-KEFS) provides a co-normed battery of such tasks. Because performance tests can miss everyday dysfunction, behavior rating scales such as the BRIEF (Behavior Rating Inventory of Executive Function) are used to capture executive problems as they appear in daily life, often revealing impairments that structured testing does not.</w:t>
      </w:r>
    </w:p>
    <w:p>
      <w:pPr>
        <w:pStyle w:val="Heading1"/>
      </w:pPr>
      <w:r>
        <w:t xml:space="preserve">Development and Everyday Significance</w:t>
      </w:r>
    </w:p>
    <w:p>
      <w:pPr>
        <w:spacing w:after="120"/>
      </w:pPr>
      <w:r>
        <w:t xml:space="preserve">Executive functions develop gradually across childhood and adolescence, paralleling the protracted maturation of the prefrontal cortex into the mid-twenties, and they decline in later life as part of normal aging. Their everyday importance is substantial: executive skills predict academic achievement, occupational success, emotional self-regulation, and health behaviors, often more strongly than general intelligence. This developmental and predictive significance is part of why executive function is a high-yield topic clinically — it sits at the intersection of neuropsychology, developmental psychology, and the everyday capacity for self-directed, goal-oriented living.</w:t>
      </w:r>
    </w:p>
    <w:p>
      <w:pPr>
        <w:spacing w:before="240"/>
      </w:pPr>
      <w:r>
        <w:t xml:space="preserve"/>
      </w:r>
    </w:p>
    <w:p>
      <w:pPr>
        <w:spacing w:after="120"/>
      </w:pPr>
      <w:r>
        <w:rPr>
          <w:b/>
          <w:bCs/>
          <w:color w:val="1F6B83"/>
          <w:sz w:val="26"/>
          <w:szCs w:val="26"/>
        </w:rPr>
        <w:t xml:space="preserve">Topic 27 — Forensic Neuropsychology: Study Guide Expansion</w:t>
      </w:r>
    </w:p>
    <w:p>
      <w:pPr>
        <w:pStyle w:val="Heading1"/>
      </w:pPr>
      <w:r>
        <w:t xml:space="preserve">The Scope of Forensic Neuropsychology</w:t>
      </w:r>
    </w:p>
    <w:p>
      <w:pPr>
        <w:spacing w:after="120"/>
      </w:pPr>
      <w:r>
        <w:t xml:space="preserve">Forensic neuropsychology applies the science and methods of clinical neuropsychology to questions raised within the legal system. The forensic context differs fundamentally from the clinical one. In ordinary clinical work the patient seeks help and the clinician is a treating, allied professional; in forensic work the examinee has not sought treatment, the referral comes from an attorney or court, and the neuropsychologist serves the legal question as an objective expert rather than as the examinee’s advocate. This shift has profound implications: the relationship is non-therapeutic, the usual assumption of cooperative effort cannot be taken for granted, and the stakes — financial compensation, criminal liability, custody, capacity — create powerful incentives that may distort presentation. Forensic neuropsychologists must therefore clarify their role, manage the absence of ordinary confidentiality, and maintain rigorous objectivity.</w:t>
      </w:r>
    </w:p>
    <w:p>
      <w:pPr>
        <w:pStyle w:val="Heading1"/>
      </w:pPr>
      <w:r>
        <w:t xml:space="preserve">Common Referral Questions</w:t>
      </w:r>
    </w:p>
    <w:p>
      <w:pPr>
        <w:spacing w:after="120"/>
      </w:pPr>
      <w:r>
        <w:t xml:space="preserve">Forensic neuropsychological evaluations address a range of legal questions, spanning both criminal and civil domains:</w:t>
      </w:r>
    </w:p>
    <w:p>
      <w:pPr>
        <w:pStyle w:val="ListParagraph"/>
        <w:numPr>
          <w:ilvl w:val="0"/>
          <w:numId w:val="2"/>
        </w:numPr>
      </w:pPr>
      <w:r>
        <w:t xml:space="preserve">Competency to stand trial: whether a defendant can understand the proceedings and assist in their own defense (a present-state question, distinct from the time of the offense).</w:t>
      </w:r>
    </w:p>
    <w:p>
      <w:pPr>
        <w:pStyle w:val="ListParagraph"/>
        <w:numPr>
          <w:ilvl w:val="0"/>
          <w:numId w:val="2"/>
        </w:numPr>
      </w:pPr>
      <w:r>
        <w:t xml:space="preserve">Criminal responsibility / insanity: the defendant’s mental state at the time of the alleged offense, including questions about the capacity to appreciate wrongfulness.</w:t>
      </w:r>
    </w:p>
    <w:p>
      <w:pPr>
        <w:pStyle w:val="ListParagraph"/>
        <w:numPr>
          <w:ilvl w:val="0"/>
          <w:numId w:val="2"/>
        </w:numPr>
      </w:pPr>
      <w:r>
        <w:t xml:space="preserve">Civil litigation and personal injury: whether and to what degree a brain injury (e.g., from trauma or toxic exposure) has caused cognitive impairment, and the implications for damages.</w:t>
      </w:r>
    </w:p>
    <w:p>
      <w:pPr>
        <w:pStyle w:val="ListParagraph"/>
        <w:numPr>
          <w:ilvl w:val="0"/>
          <w:numId w:val="2"/>
        </w:numPr>
      </w:pPr>
      <w:r>
        <w:t xml:space="preserve">Capacity and competency in civil matters: testamentary capacity, financial capacity, and the capacity to make medical or personal decisions.</w:t>
      </w:r>
    </w:p>
    <w:p>
      <w:pPr>
        <w:pStyle w:val="ListParagraph"/>
        <w:numPr>
          <w:ilvl w:val="0"/>
          <w:numId w:val="2"/>
        </w:numPr>
      </w:pPr>
      <w:r>
        <w:t xml:space="preserve">Disability determinations and the assessment of cognitive impairment for benefits.</w:t>
      </w:r>
    </w:p>
    <w:p>
      <w:pPr>
        <w:pStyle w:val="Heading1"/>
      </w:pPr>
      <w:r>
        <w:t xml:space="preserve">Validity and Effort Assessment</w:t>
      </w:r>
    </w:p>
    <w:p>
      <w:pPr>
        <w:spacing w:after="120"/>
      </w:pPr>
      <w:r>
        <w:t xml:space="preserve">Because the forensic context introduces strong external incentives, the assessment of validity — whether the examinee is putting forth genuine effort and reporting symptoms accurately — is central rather than optional. Neuropsychologists distinguish performance validity (whether cognitive test performance reflects true ability) from symptom validity (whether self-reported symptoms are accurate). Performance validity tests, including stand-alone measures such as the Test of Memory Malingering (TOMM) and embedded indicators within standard tests, detect suboptimal effort independent of true cognitive ability. Symptom validity is assessed with measures and embedded scales (such as those within the MMPI family) that detect symptom exaggeration or fabrication. A key conceptual point is that failing validity testing indicates non-credible performance or reporting; it does not by itself prove deliberate malingering, which is a clinical-legal judgment requiring the integration of validity data with the broader context, motivation, and inconsistencies in the record.</w:t>
      </w:r>
    </w:p>
    <w:p>
      <w:pPr>
        <w:pStyle w:val="Heading1"/>
      </w:pPr>
      <w:r>
        <w:t xml:space="preserve">Malingering and Response Bias</w:t>
      </w:r>
    </w:p>
    <w:p>
      <w:pPr>
        <w:spacing w:after="120"/>
      </w:pPr>
      <w:r>
        <w:t xml:space="preserve">Malingering is the intentional production or gross exaggeration of symptoms motivated by external incentives such as compensation, avoiding criminal responsibility, or obtaining medication. It must be distinguished from factitious presentations (where the motivation is to assume the sick role rather than to obtain an external reward) and from genuine impairment. Influential frameworks, such as the Slick criteria for malingered neurocognitive dysfunction, formalize how converging evidence — marked discrepancies, failed validity tests, and inconsistencies between reported symptoms and known patterns of brain function — supports a determination of probable or definite malingering. Because conclusions in this area carry serious consequences, sound practice requires multiple validity indicators and caution against over-interpreting any single failed measure.</w:t>
      </w:r>
    </w:p>
    <w:p>
      <w:pPr>
        <w:pStyle w:val="Heading1"/>
      </w:pPr>
      <w:r>
        <w:t xml:space="preserve">Standards, Admissibility, and Ethics</w:t>
      </w:r>
    </w:p>
    <w:p>
      <w:pPr>
        <w:spacing w:after="120"/>
      </w:pPr>
      <w:r>
        <w:t xml:space="preserve">Expert neuropsychological testimony is governed by legal standards of admissibility. The Daubert standard (and the related Federal Rules of Evidence) charges the judge with acting as a gatekeeper, evaluating whether expert methods are scientifically reliable — considering factors such as testability, peer review, known error rates, and general acceptance. The older Frye standard, still used in some jurisdictions, focuses more narrowly on whether a method has gained general acceptance in its field. Ethically, the forensic neuropsychologist must maintain objectivity and avoid advocacy, clarify the non-therapeutic role and the limits of confidentiality at the outset, base opinions on adequate data, distinguish facts from inferences, and remain within the bounds of their competence and the available evidence. The credibility of the entire enterprise rests on this combination of methodological rigor and role clarity.</w:t>
      </w:r>
    </w:p>
    <w:p>
      <w:pPr>
        <w:spacing w:before="240"/>
      </w:pPr>
      <w:r>
        <w:t xml:space="preserve"/>
      </w:r>
    </w:p>
    <w:p>
      <w:pPr>
        <w:spacing w:after="120"/>
      </w:pPr>
      <w:r>
        <w:rPr>
          <w:b/>
          <w:bCs/>
          <w:color w:val="1F6B83"/>
          <w:sz w:val="26"/>
          <w:szCs w:val="26"/>
        </w:rPr>
        <w:t xml:space="preserve">Topic 23 — Qualitative Research Methods: Study Guide Expansion</w:t>
      </w:r>
    </w:p>
    <w:p>
      <w:pPr>
        <w:pStyle w:val="Heading1"/>
      </w:pPr>
      <w:r>
        <w:t xml:space="preserve">The Logic of Qualitative Inquiry</w:t>
      </w:r>
    </w:p>
    <w:p>
      <w:pPr>
        <w:spacing w:after="120"/>
      </w:pPr>
      <w:r>
        <w:t xml:space="preserve">Qualitative research seeks to understand the meaning, experience, and context of human phenomena rather than to quantify and measure them. Where quantitative research typically tests hypotheses deductively and aims for generalizable, numerical findings, qualitative research is usually inductive, building understanding from the ground up through rich, detailed, non-numerical data such as interviews, observations, and texts. Its philosophical roots often lie in interpretivism and constructivism — the view that reality is socially constructed and that the researcher’s task is to interpret participants’ meanings in context. This orientation makes qualitative methods especially valuable for exploring poorly understood phenomena, generating theory and hypotheses, capturing lived experience, and studying processes and meanings that numbers alone cannot convey.</w:t>
      </w:r>
    </w:p>
    <w:p>
      <w:pPr>
        <w:pStyle w:val="Heading1"/>
      </w:pPr>
      <w:r>
        <w:t xml:space="preserve">Major Qualitative Traditions</w:t>
      </w:r>
    </w:p>
    <w:p>
      <w:pPr>
        <w:spacing w:after="120"/>
      </w:pPr>
      <w:r>
        <w:t xml:space="preserve">Several established traditions guide qualitative work, each with a distinct aim and characteristic methods:</w:t>
      </w:r>
    </w:p>
    <w:p>
      <w:pPr>
        <w:pStyle w:val="ListParagraph"/>
        <w:numPr>
          <w:ilvl w:val="0"/>
          <w:numId w:val="2"/>
        </w:numPr>
      </w:pPr>
      <w:r>
        <w:t xml:space="preserve">Phenomenology: seeks to describe the essence of a lived experience as experienced by those who lived it (e.g., the experience of recovering from a stroke). Interpretative Phenomenological Analysis (IPA) is a widely used variant focusing on how participants make sense of significant experiences.</w:t>
      </w:r>
    </w:p>
    <w:p>
      <w:pPr>
        <w:pStyle w:val="ListParagraph"/>
        <w:numPr>
          <w:ilvl w:val="0"/>
          <w:numId w:val="2"/>
        </w:numPr>
      </w:pPr>
      <w:r>
        <w:t xml:space="preserve">Grounded theory: aims to generate a theory grounded in the data through systematic, iterative coding and constant comparison, with data collection and analysis proceeding together until theoretical saturation is reached.</w:t>
      </w:r>
    </w:p>
    <w:p>
      <w:pPr>
        <w:pStyle w:val="ListParagraph"/>
        <w:numPr>
          <w:ilvl w:val="0"/>
          <w:numId w:val="2"/>
        </w:numPr>
      </w:pPr>
      <w:r>
        <w:t xml:space="preserve">Ethnography: studies a culture or social group in its natural setting through prolonged immersion and participant observation, producing a rich description of shared patterns of behavior, belief, and language.</w:t>
      </w:r>
    </w:p>
    <w:p>
      <w:pPr>
        <w:pStyle w:val="ListParagraph"/>
        <w:numPr>
          <w:ilvl w:val="0"/>
          <w:numId w:val="2"/>
        </w:numPr>
      </w:pPr>
      <w:r>
        <w:t xml:space="preserve">Narrative inquiry: examines the stories people tell to understand how they construct meaning and identity over time.</w:t>
      </w:r>
    </w:p>
    <w:p>
      <w:pPr>
        <w:pStyle w:val="ListParagraph"/>
        <w:numPr>
          <w:ilvl w:val="0"/>
          <w:numId w:val="2"/>
        </w:numPr>
      </w:pPr>
      <w:r>
        <w:t xml:space="preserve">Case study: provides an in-depth, bounded examination of a single case or small number of cases within their real-life context.</w:t>
      </w:r>
    </w:p>
    <w:p>
      <w:pPr>
        <w:pStyle w:val="ListParagraph"/>
        <w:numPr>
          <w:ilvl w:val="0"/>
          <w:numId w:val="2"/>
        </w:numPr>
      </w:pPr>
      <w:r>
        <w:t xml:space="preserve">Thematic analysis: a flexible, widely used approach for identifying, analyzing, and reporting patterns (themes) across qualitative data, not tied to a single theoretical framework.</w:t>
      </w:r>
    </w:p>
    <w:p>
      <w:pPr>
        <w:pStyle w:val="Heading1"/>
      </w:pPr>
      <w:r>
        <w:t xml:space="preserve">Data Collection and Sampling</w:t>
      </w:r>
    </w:p>
    <w:p>
      <w:pPr>
        <w:spacing w:after="120"/>
      </w:pPr>
      <w:r>
        <w:t xml:space="preserve">Qualitative data are gathered through methods that preserve depth and context, including in-depth and semi-structured interviews, focus groups, participant and naturalistic observation, and the analysis of documents and artifacts. Sampling is typically purposive rather than random: participants are selected deliberately because they can offer rich, relevant information about the phenomenon. Common strategies include maximum-variation sampling (capturing a wide range of perspectives), criterion sampling, and snowball sampling. Sample sizes are generally small, and the guiding principle for adequacy is saturation — the point at which additional data yield no substantially new themes or insights, rather than a predetermined number.</w:t>
      </w:r>
    </w:p>
    <w:p>
      <w:pPr>
        <w:pStyle w:val="Heading1"/>
      </w:pPr>
      <w:r>
        <w:t xml:space="preserve">Analysis: Coding and Interpretation</w:t>
      </w:r>
    </w:p>
    <w:p>
      <w:pPr>
        <w:spacing w:after="120"/>
      </w:pPr>
      <w:r>
        <w:t xml:space="preserve">Qualitative analysis transforms raw data into meaning through systematic engagement with the text. Coding — labeling segments of data with concepts — typically proceeds from open or initial coding (generating descriptive labels), to focused or axial coding (grouping and relating codes into categories), and toward the development of overarching themes or, in grounded theory, an integrated theory. Grounded theory specifically uses the constant comparative method, repeatedly comparing new data against emerging categories. Memo-writing throughout the process records the analyst’s developing interpretations. Because the researcher is the primary instrument of analysis, reflexivity — critically examining how the researcher’s own assumptions, position, and reactions shape the inquiry — is an essential part of rigorous qualitative analysis rather than a source of bias to be eliminated.</w:t>
      </w:r>
    </w:p>
    <w:p>
      <w:pPr>
        <w:pStyle w:val="Heading1"/>
      </w:pPr>
      <w:r>
        <w:t xml:space="preserve">Rigor and Trustworthiness</w:t>
      </w:r>
    </w:p>
    <w:p>
      <w:pPr>
        <w:spacing w:after="120"/>
      </w:pPr>
      <w:r>
        <w:t xml:space="preserve">Qualitative research evaluates quality through criteria suited to its aims rather than through quantitative notions of reliability and validity. Lincoln and Guba’s framework of trustworthiness specifies four criteria: credibility (confidence that the findings accurately represent participants’ meanings, supported by techniques such as member checking, prolonged engagement, and triangulation), transferability (the extent to which findings may apply to other contexts, supported by rich, “thick” description), dependability (the consistency and traceability of the process, supported by an audit trail), and confirmability (the degree to which findings are grounded in the data rather than the researcher’s bias). Triangulation — using multiple data sources, methods, investigators, or theories — strengthens credibility, and the explicit acknowledgment of the researcher’s role through reflexivity is itself a marker of rigor. Together these criteria allow qualitative research to be evaluated on its own epistemological terms, complementing rather than imitating quantitative standards.</w:t>
      </w:r>
    </w:p>
    <w:p>
      <w:pPr>
        <w:pStyle w:val="Heading1"/>
        <w:spacing w:before="280"/>
      </w:pPr>
      <w:r>
        <w:t xml:space="preserve">Insertion Notes</w:t>
      </w:r>
    </w:p>
    <w:p>
      <w:pPr>
        <w:spacing w:after="120"/>
      </w:pPr>
      <w:r>
        <w:t xml:space="preserve">Three separate study-guide expansions — each goes to its own topic. add_study_guide REPLACES the guide, so each insert prompt must contain the FULL merged guide (existing original text + the expansion above).</w:t>
      </w:r>
    </w:p>
    <w:p>
      <w:pPr>
        <w:pStyle w:val="ListParagraph"/>
        <w:numPr>
          <w:ilvl w:val="0"/>
          <w:numId w:val="2"/>
        </w:numPr>
      </w:pPr>
      <w:r>
        <w:t xml:space="preserve">Topic 26 (Executive Function): append the Executive Function sections above to its existing ~767-word guide.</w:t>
      </w:r>
    </w:p>
    <w:p>
      <w:pPr>
        <w:pStyle w:val="ListParagraph"/>
        <w:numPr>
          <w:ilvl w:val="0"/>
          <w:numId w:val="2"/>
        </w:numPr>
      </w:pPr>
      <w:r>
        <w:t xml:space="preserve">Topic 27 (Forensic Neuropsychology): append the Forensic sections to its existing ~907-word guide.</w:t>
      </w:r>
    </w:p>
    <w:p>
      <w:pPr>
        <w:pStyle w:val="ListParagraph"/>
        <w:numPr>
          <w:ilvl w:val="0"/>
          <w:numId w:val="2"/>
        </w:numPr>
      </w:pPr>
      <w:r>
        <w:t xml:space="preserve">Topic 23 (Qualitative Research Methods): append the Qualitative sections to its existing ~957-word guide.</w:t>
      </w:r>
    </w:p>
    <w:p>
      <w:pPr>
        <w:pStyle w:val="ListParagraph"/>
        <w:numPr>
          <w:ilvl w:val="0"/>
          <w:numId w:val="2"/>
        </w:numPr>
      </w:pPr>
      <w:r>
        <w:t xml:space="preserve">Verify each topic ID by name before inserting.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Arial" w:cs="Arial" w:eastAsia="Arial" w:hAnsi="Arial"/>
      <w:b/>
      <w:bCs/>
      <w:color w:val="1F6B83"/>
      <w:sz w:val="28"/>
      <w:szCs w:val="28"/>
    </w:rPr>
  </w:style>
  <w:style w:type="paragraph" w:styleId="Heading2">
    <w:name w:val="Heading 2"/>
    <w:basedOn w:val="Normal"/>
    <w:next w:val="Normal"/>
    <w:qFormat/>
    <w:pPr>
      <w:spacing w:after="80" w:before="16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2026-05-23T01:30:50.056Z</dcterms:created>
  <dcterms:modified xsi:type="dcterms:W3CDTF">2026-05-23T01:30:50.068Z</dcterms:modified>
</cp:coreProperties>
</file>

<file path=docProps/custom.xml><?xml version="1.0" encoding="utf-8"?>
<Properties xmlns="http://schemas.openxmlformats.org/officeDocument/2006/custom-properties" xmlns:vt="http://schemas.openxmlformats.org/officeDocument/2006/docPropsVTypes"/>
</file>