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2019-11-27</w:t>
      </w:r>
    </w:p>
    <w:p>
      <w:pPr>
        <w:pStyle w:val="Heading1"/>
      </w:pPr>
      <w:bookmarkStart w:id="20" w:name="summaryabstract"/>
      <w:r>
        <w:t xml:space="preserve">Summary/Abstract</w:t>
      </w:r>
      <w:bookmarkEnd w:id="20"/>
    </w:p>
    <w:p>
      <w:pPr>
        <w:pStyle w:val="FirstParagraph"/>
      </w:pPr>
      <w:r>
        <w:rPr>
          <w:i/>
        </w:rPr>
        <w:t xml:space="preserve">Write a summary of your project.</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crops[NEW REF]. The utility of water quality data is due to the fact that key parameters can provide information on the baseline health conditon of a water system at a relatively low cost in sampling methodology.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 Water quality is one of the most common monitoring indicators due to the high level of ecosystem response to changes in water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seagrass/mangroves, patch reefs/hardbottom and coral reefs</w:t>
      </w:r>
      <w:r>
        <w:t xml:space="preserve">(Kruczynski &amp; Fletcher, 2012)</w:t>
      </w:r>
      <w:r>
        <w:t xml:space="preserve">. Though distinct in community structure, these three ecosystems exist in delicate balance with one another by means of water-mediating ecosystem functions</w:t>
      </w:r>
      <w:r>
        <w:t xml:space="preserve">(Barnes et al., 2014)</w:t>
      </w:r>
      <w:r>
        <w:t xml:space="preserve">. Key Largo is surrounded on all sides by two major bodies of water: the Florida bay which rests on the Gulf of Mexico side of the island, and the Atlantic Ocean. Florida Bay is a relatively small body of water that extends from the tip of mainland Florida and boarders the west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and patch reef/hardbottom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and pH are both measured using standardized test kits contiaing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r>
        <w:t xml:space="preserve"> </w:t>
      </w:r>
      <w:r>
        <w:t xml:space="preserve">The raw Florida Keys National Marine Sanctuary (FKNMS) data was aquired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shell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 side (Atlantic) and bay side (Gulf of Mexico). Site type was split into three categories: Seagrass/Mangrove, Patch Reef/Hardbottom, and Coral Reef. Island side was determined based on the geographic location of the site in relation to the island of Key Largo and site type was determined by the dominat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contstraints/facility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visualise specific seasonal changes for all years of study.</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hurricane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a coral reef site type. Tarpon Basin represented a seagrass/mangrove habitat site and Rodriguez Key represented a patch reef/hardbottom site. Comparative analysis of pH measures was unable to be conducted due to insufficent pH data in the FKNMS database.</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cluter values were assessed using the silhouette and within-cluster sum of squares metrics. Tanglegrams were used to compare dendrogram similarity and entanglemnt was computed as a metric of similarity. Cluster analysis was broken into three groups: total cluster analysis, site type cluster analysis, and representitive site seasonal cluster analysis. Total cluster analysis grouped all of the sampling sites from all years of study. Site type cluster analysis explored the similarity and dissimilarity of sampling locations within each of the three major site types. Representitive site seasonal cluster analysis compared the month-wise grouping three most frequently visited sites (one of each type) in the study.</w:t>
      </w:r>
    </w:p>
    <w:p>
      <w:pPr>
        <w:pStyle w:val="Heading2"/>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contitions within categorical location groups and across the time series of the study. Location analysis showed abiotic water quality conditions of sampling sites based on island side and site type. Water temperature showed a consistent average for both ocean and bay side site locations near 29 degrees and a wider ranger of temperature measures in bay side locations. When compared by site type, both coral reefs and patch reef/hardbottom sites exhibit stenothermal themperature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 side sites and a greater average salinity (35ppt) on the ocean side. Coral reefs and patch reefs/hardbottom sites showed a similar stenohaline distrubution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reuslts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5334000" cy="3290815"/>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5334000" cy="3290815"/>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5334000" cy="3290815"/>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5334000" cy="3290815"/>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5334000" cy="3290815"/>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occurance of the seasons. Dissolved oxygen measures showed a similar overall pattern of fluctuation however, this pattern was inconsistent with seasonal trends. All remining water quality parameters showed inconsistent patterns of increase and decrease which will be discussed in further analyses. Annual fluctuation results can be viewed in Figure 6.</w:t>
      </w:r>
    </w:p>
    <w:p>
      <w:pPr>
        <w:pStyle w:val="CaptionedFigure"/>
      </w:pPr>
      <w:r>
        <w:drawing>
          <wp:inline>
            <wp:extent cx="5334000" cy="3290815"/>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these parameters, however no novel correlations were observed. All comparative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the seasonal water conditions for bay and ocean side sites. Analysis of water temperature showed distinct seasonal patterns of temperature rise an fall consistent with cooler and warmer months of the year. For all four years of study, bayside site locations showed a greater temperature range when compared to oceanside sites, consistent with the findings of univariate analysis. Bivariate water temperature analysis can be viewed in Figure 7. Salinity showed a distinctive seperation of bay side and ocean 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5334000" cy="3290815"/>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5334000" cy="3290815"/>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in the oxygen levels of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 side and ocean side remain relatively low through the course of study with small intermittant spikes occasionally. There is a substantial spike in bay and ocean side ammonia levels in 2017 coinciding with the late summer to early fall. The results of bivariate ammonia analysis can be viewed in Figure 10. Analysis of pH levels showed no discernable seasonal fluctuations. pH remained relatively constant at both bay side and ocean side site locations. The minimum and maximum pH levels did not show any distinct patterns between island sides. The results of bivariate pH analysis can be viewed in Figure 11.</w:t>
      </w:r>
    </w:p>
    <w:p>
      <w:pPr>
        <w:pStyle w:val="CaptionedFigure"/>
      </w:pPr>
      <w:r>
        <w:drawing>
          <wp:inline>
            <wp:extent cx="5334000" cy="3290815"/>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5334000" cy="3290815"/>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5334000" cy="3290815"/>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continious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analysis. The results of Hurrican Irma water temperature effects can be viewed in Figure 12. Salinity levels associated with hurricane landfall showed a sharp decrease for bayside site locations immediately following the storm which persisted for 1-2 months before stablizing back to a standard level. The mean salinity of the ocean remained relatively constant following the storm. The results of Hurricane Irma salinity effects can be viewed in Figure 13.</w:t>
      </w:r>
    </w:p>
    <w:p>
      <w:pPr>
        <w:pStyle w:val="CaptionedFigure"/>
      </w:pPr>
      <w:r>
        <w:drawing>
          <wp:inline>
            <wp:extent cx="5334000" cy="3290815"/>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5334000" cy="3290815"/>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analysis. The results of Hurricane Irma pH effects can be viewed in Figure 16.</w:t>
      </w:r>
    </w:p>
    <w:p>
      <w:pPr>
        <w:pStyle w:val="CaptionedFigure"/>
      </w:pPr>
      <w:r>
        <w:drawing>
          <wp:inline>
            <wp:extent cx="5334000" cy="3290815"/>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5334000" cy="3290815"/>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5334000" cy="3290815"/>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September-Febuary from 2017-2018 were compared to measures from 2016-2017 using a Two-sample Kolmogorov-Smirnov test to determine if any of the five parameters were significantly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produced from univariate, bivariate, and Hurricane Irma analysis.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variaton is discernable. Comparative water temperature results can be viewed in Figure 17. Comparative salinity analysis showed a distinctive decrease in the size of the interquartile range of salinity measures for FKNMS observations compared to citizen science observations.Both FKNMS and citizen science show Tarpon Basin to have the largest range of salinity which is consistent with the findings of the bivariate analysis. The resuts of comparitave salinity analysis can be viewed in Figure 18.</w:t>
      </w:r>
    </w:p>
    <w:p>
      <w:pPr>
        <w:pStyle w:val="CaptionedFigure"/>
      </w:pPr>
      <w:r>
        <w:drawing>
          <wp:inline>
            <wp:extent cx="5334000" cy="3290815"/>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5334000" cy="3290815"/>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recuded dissolved oxygen levels in citizen science measures. The results of comparative dissolved oxygen analysis can be viewed in Figure 19. Comparative analysis of ammonia observations shows a distinctly higher level in measured in FKNMS data when compared to citizen science data. The interquartile range of citizen science measures for all sites rest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5334000" cy="3290815"/>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5334000" cy="3290815"/>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largely that clustering at the lowest levels of the dendrogram (most similar) and the highest levels of the dendrogram (least similar) were often consistent with other components of site characteristics such as: geographical location, water depth, and benthic biotic commiunity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seperated sampling locations by site type to visualize patterns of grouping within types. Seagrass/mangrove cluster analysis showed a fairly diverse grouping with locations splitting into 5 clusters. Many of most closest related pairs were geographically close locations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 as the second cluster (red in Figure 24) contained all mid-southern sites. Similarly to seagrass/mangrove clustering the most closely related pairs (Horseshoe &amp; Grecian Dry Rocks, North North Dry Rocks &amp; Key Largo Dry Rocks) were geographically close.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Representitive site seasonal cluster analysis compared the seasonal grouping of observations from each of the three representitive sites (most frequently visited) in the study: Tarpon Basin as seagrass/mangrove, Rodriguez Key as patch reef/hardbottom, and Grecian Dry Rocks as a coral reef. The results of Tarpon Basin seasonal analysis produced a dendrogram with 2 clusters. All months were containd within a single cluster with the exception of October which was the only fall month included in this analysis. Additionally, the pattern of closely-related pairs was consistent with seasonal groupings of the months of th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also produced a dendrogram with 4 clusters. All months were ret</w:t>
      </w:r>
      <w:r>
        <w:t xml:space="preserve"> </w:t>
      </w:r>
      <w:r>
        <w:t xml:space="preserve">ained within a single group with the exception of July and December. No discernable pattern of grouping was observed 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Heading2"/>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rPr>
          <w:i/>
        </w:rPr>
        <w:t xml:space="preserve">Summarize what you did, what you found and what it means.</w:t>
      </w:r>
    </w:p>
    <w:p>
      <w:pPr>
        <w:pStyle w:val="Heading2"/>
      </w:pPr>
      <w:bookmarkStart w:id="71" w:name="strengths-and-limitations"/>
      <w:r>
        <w:t xml:space="preserve">Strengths and Limitations</w:t>
      </w:r>
      <w:bookmarkEnd w:id="71"/>
    </w:p>
    <w:p>
      <w:pPr>
        <w:pStyle w:val="FirstParagraph"/>
      </w:pPr>
      <w:r>
        <w:rPr>
          <w:i/>
        </w:rPr>
        <w:t xml:space="preserve">Discuss what you perceive as strengths and limitations of your analysis.</w:t>
      </w:r>
    </w:p>
    <w:p>
      <w:pPr>
        <w:pStyle w:val="Heading2"/>
      </w:pPr>
      <w:bookmarkStart w:id="72" w:name="conclusions"/>
      <w:r>
        <w:t xml:space="preserve">Conclusions</w:t>
      </w:r>
      <w:bookmarkEnd w:id="72"/>
    </w:p>
    <w:p>
      <w:pPr>
        <w:pStyle w:val="FirstParagraph"/>
      </w:pPr>
      <w:r>
        <w:rPr>
          <w:i/>
        </w:rPr>
        <w:t xml:space="preserve">What are the main take-home messages?</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located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Heading1"/>
      </w:pPr>
      <w:bookmarkStart w:id="76" w:name="references"/>
      <w:r>
        <w:t xml:space="preserve">References</w:t>
      </w:r>
      <w:bookmarkEnd w:id="76"/>
    </w:p>
    <w:bookmarkStart w:id="81" w:name="refs"/>
    <w:bookmarkStart w:id="77"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7"/>
    <w:bookmarkStart w:id="78"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78"/>
    <w:bookmarkStart w:id="79"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79"/>
    <w:bookmarkStart w:id="80"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2019-11-27T05:51:57Z</dcterms:created>
  <dcterms:modified xsi:type="dcterms:W3CDTF">2019-11-27T05:51:57Z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2019-11-27</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