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WenQuanYi Micro Hei" w:hAnsi="WenQuanYi Micro Hei" w:eastAsia="WenQuanYi Micro Hei"/>
          <w:b/>
          <w:color w:val="B8860B"/>
          <w:sz w:val="24"/>
        </w:rPr>
        <w:t>会计核算技术备忘录</w:t>
      </w:r>
    </w:p>
    <w:p>
      <w:pPr>
        <w:jc w:val="center"/>
      </w:pPr>
      <w:r>
        <w:rPr>
          <w:rFonts w:ascii="WenQuanYi Micro Hei" w:hAnsi="WenQuanYi Micro Hei" w:eastAsia="WenQuanYi Micro Hei"/>
          <w:b/>
          <w:color w:val="1A365D"/>
          <w:sz w:val="44"/>
        </w:rPr>
        <w:t>销售至联营公司顺流交易抵消</w:t>
      </w:r>
    </w:p>
    <w:p>
      <w:pPr>
        <w:jc w:val="center"/>
      </w:pPr>
      <w:r>
        <w:rPr>
          <w:rFonts w:ascii="WenQuanYi Micro Hei" w:hAnsi="WenQuanYi Micro Hei" w:eastAsia="WenQuanYi Micro Hei"/>
          <w:b w:val="0"/>
          <w:color w:val="556474"/>
          <w:sz w:val="22"/>
        </w:rPr>
        <w:t>个别财务报表权益法调整 · 合并财务报表重分类 · 连续编制</w:t>
      </w:r>
    </w:p>
    <w:p>
      <w:pPr>
        <w:jc w:val="center"/>
      </w:pPr>
      <w:r>
        <w:rPr>
          <w:rFonts w:ascii="WenQuanYi Micro Hei" w:hAnsi="WenQuanYi Micro Hei" w:eastAsia="WenQuanYi Micro Hei"/>
          <w:b w:val="0"/>
          <w:color w:val="718096"/>
          <w:sz w:val="18"/>
        </w:rPr>
        <w:t>依据 CAS 2 / CAS 33 / 会计准则委员会 2023-01-05 问答 / IAS 28    日期：2026年9月21日</w:t>
      </w:r>
    </w:p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一、事项概述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投资方向联营企业或合营企业出售资产，称为顺流交易。联营、合营企业不纳入合并范围，不能像母子公司那样全额抵销内部收入、成本和存货。会计核算的核心是：投资方个别报表已按售价确认全部利润，但从“投资方与其联营构成的经济主体”看，只有归属于联营其他股东的部分真正实现；归属于投资方持股比例的未实现内部交易损益必须递延，待联营企业对外部独立第三方出售、耗用或计提折旧后再确认。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本备忘录给出可直接入账的分录、合并工作底稿调整、连续年度处理，以及存货、固定资产、所得税、减值与“构成业务”等例外。</w:t>
      </w:r>
    </w:p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二、准则依据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《企业会计准则第2号——长期股权投资》（财会〔2014〕14号）：投资方与联营、合营企业之间未实现内部交易损益，按应享有比例抵销后确认投资损益。属于资产减值损失的内部交易损失，应当全额确认。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《企业会计准则第33号——合并财务报表》（财会〔2014〕10号）：编制合并财务报表时，应在个别报表抵销的基础上，对顺流未实现收入、成本或资产处置损益中归属于投资方的部分再作列报调整。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财政部会计准则委员会 2023年1月5日问答：顺流交易在合并报表中抵销有关未实现的收入和成本（或资产处置损益）中归属于投资方的部分，并相应调整投资收益；逆流交易则抵销资产账面价值中包含的未实现损益，并调整长期股权投资。属于减值的内部损失，合并报表亦不得抵销。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IAS 28 第28段：投资者与联营或合营企业之间的顺流、逆流交易产生的损益，仅确认归属于其他投资者的部分。未实现损失若表明资产减值，则不应抵销。构成业务的资产转让，处置损益原则上全额确认。</w:t>
      </w:r>
    </w:p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三、核心原则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6803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381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只抵“自己的那一份”</w:t>
            </w:r>
          </w:p>
        </w:tc>
        <w:tc>
          <w:tcPr>
            <w:tcW w:type="dxa" w:w="680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应抵销金额 = 未实现内部毛利 × 持股比例，不是 100%。</w:t>
            </w:r>
          </w:p>
        </w:tc>
      </w:tr>
      <w:tr>
        <w:tc>
          <w:tcPr>
            <w:tcW w:type="dxa" w:w="2381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其他股东份额立即实现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售给联营，相当于部分售给外部股东，该部分毛利可确认。</w:t>
            </w:r>
          </w:p>
        </w:tc>
      </w:tr>
      <w:tr>
        <w:tc>
          <w:tcPr>
            <w:tcW w:type="dxa" w:w="2381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未实现看联营是否出手</w:t>
            </w:r>
          </w:p>
        </w:tc>
        <w:tc>
          <w:tcPr>
            <w:tcW w:type="dxa" w:w="680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存货对外出售、固定资产折旧/摊销，内部损益才逐步实现。</w:t>
            </w:r>
          </w:p>
        </w:tc>
      </w:tr>
      <w:tr>
        <w:tc>
          <w:tcPr>
            <w:tcW w:type="dxa" w:w="2381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个表改投资收益，合表改列报</w:t>
            </w:r>
          </w:p>
        </w:tc>
        <w:tc>
          <w:tcPr>
            <w:tcW w:type="dxa" w:w="680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个别报表借投资收益、贷长期股权投资；合并报表销售当年重分类收入成本。</w:t>
            </w:r>
          </w:p>
        </w:tc>
      </w:tr>
      <w:tr>
        <w:tc>
          <w:tcPr>
            <w:tcW w:type="dxa" w:w="2381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减值与构成业务例外</w:t>
            </w:r>
          </w:p>
        </w:tc>
        <w:tc>
          <w:tcPr>
            <w:tcW w:type="dxa" w:w="680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减值损失不抵销；转让构成业务的，损益原则上全额确认。</w:t>
            </w:r>
          </w:p>
        </w:tc>
      </w:tr>
    </w:tbl>
    <w:p/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四、核算路径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第一步，投资方个别报表按销售准则确认对联营的全部收入、成本和毛利（这是对外销售，法律主体层面成立）。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第二步，按权益法确认应享联营企业账面净利润份额：借“长期股权投资——损益调整”，贷“投资收益”。联营企业按购入成本入账，其账面净利润通常不含投资方的顺流毛利。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第三步，计算期末未实现内部毛利，乘持股比例，递延归属于投资方的部分：借“投资收益”，贷“长期股权投资——损益调整”。以后年度随实现转回。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第四步，若投资方另有子公司需编合并报表，销售当年在工作底稿将第三步记入投资收益的影响，重分类为冲减营业收入、营业成本（或资产处置收益）。该步不改变合并净利润。</w:t>
      </w:r>
    </w:p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五、个别财务报表核算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2"/>
        </w:rPr>
        <w:t>关键公式：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/>
          <w:sz w:val="20"/>
        </w:rPr>
        <w:t>未实现内部毛利（存货）＝（售价 − 成本）× 期末未对外部出售比例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/>
          <w:sz w:val="20"/>
        </w:rPr>
        <w:t>本期应递延（或转回）＝（期末未实现内部毛利 − 期初未实现内部毛利）× 持股比例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/>
          <w:sz w:val="20"/>
        </w:rPr>
        <w:t>本期投资收益＝联营账面净利润 × 持股比例 − 本期应递延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固定资产则把“未对外出售比例”换成折旧实现：每年因内部加价多提的折旧＝内部毛利 / 预计使用寿命（不考虑残值时），未实现余额＝内部毛利 − 累计多提折旧。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2"/>
        </w:rPr>
        <w:t>标准分录（可合并为一笔）：</w:t>
      </w:r>
    </w:p>
    <w:p>
      <w:pPr>
        <w:spacing w:before="120" w:after="160"/>
        <w:ind w:firstLine="0"/>
      </w:pPr>
      <w:r>
        <w:rPr>
          <w:rFonts w:ascii="WenQuanYi Micro Hei" w:hAnsi="WenQuanYi Micro Hei" w:eastAsia="WenQuanYi Micro Hei"/>
          <w:b w:val="0"/>
          <w:color w:val="334155"/>
          <w:sz w:val="20"/>
        </w:rPr>
        <w:t>【个别财务报表】按联营企业账面净利润确认权益法投资收益</w:t>
        <w:br/>
        <w:t xml:space="preserve">  借：长期股权投资——损益调整  400.00</w:t>
        <w:br/>
        <w:t xml:space="preserve">    贷：投资收益  400.00</w:t>
        <w:br/>
        <w:t xml:space="preserve">  说明：联营企业账面净利润 2,000.00 × 20.00%</w:t>
      </w:r>
    </w:p>
    <w:p>
      <w:pPr>
        <w:spacing w:before="120" w:after="160"/>
        <w:ind w:firstLine="0"/>
      </w:pPr>
      <w:r>
        <w:rPr>
          <w:rFonts w:ascii="WenQuanYi Micro Hei" w:hAnsi="WenQuanYi Micro Hei" w:eastAsia="WenQuanYi Micro Hei"/>
          <w:b w:val="0"/>
          <w:color w:val="334155"/>
          <w:sz w:val="20"/>
        </w:rPr>
        <w:t>【个别财务报表】抵销顺流交易未实现损益中归属于投资方的部分</w:t>
        <w:br/>
        <w:t xml:space="preserve">  借：投资收益  80.00</w:t>
        <w:br/>
        <w:t xml:space="preserve">    贷：长期股权投资——损益调整  80.00</w:t>
        <w:br/>
        <w:t xml:space="preserve">  说明：只抵持股比例对应部分，不是全额抵销。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2"/>
        </w:rPr>
        <w:t>合并为一笔：</w:t>
      </w:r>
    </w:p>
    <w:p>
      <w:pPr>
        <w:spacing w:before="120" w:after="160"/>
        <w:ind w:firstLine="0"/>
      </w:pPr>
      <w:r>
        <w:rPr>
          <w:rFonts w:ascii="WenQuanYi Micro Hei" w:hAnsi="WenQuanYi Micro Hei" w:eastAsia="WenQuanYi Micro Hei"/>
          <w:b w:val="0"/>
          <w:color w:val="334155"/>
          <w:sz w:val="20"/>
        </w:rPr>
        <w:t>【个别财务报表】权益法确认投资收益（已扣未实现顺流损益）</w:t>
        <w:br/>
        <w:t xml:space="preserve">  借：长期股权投资——损益调整  320.00</w:t>
        <w:br/>
        <w:t xml:space="preserve">    贷：投资收益  320.00</w:t>
        <w:br/>
        <w:t xml:space="preserve">  说明：联营账面净利润份额 400.00 − 本期未实现变动×持股比例 80.00</w:t>
      </w:r>
    </w:p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六、合并财务报表调整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联营企业不进合并报表，其存货无法直接冲减。销售当年，准则要求在个别报表已递延的基础上，把投资方多确认的收入、成本按持股比例抵销，并把个别报表已冲减的投资收益加回。无论联营当年对外出售多少，销售当年合并调整分录形式相同：</w:t>
      </w:r>
    </w:p>
    <w:p>
      <w:pPr>
        <w:spacing w:before="120" w:after="160"/>
        <w:ind w:firstLine="0"/>
      </w:pPr>
      <w:r>
        <w:rPr>
          <w:rFonts w:ascii="WenQuanYi Micro Hei" w:hAnsi="WenQuanYi Micro Hei" w:eastAsia="WenQuanYi Micro Hei"/>
          <w:b w:val="0"/>
          <w:color w:val="334155"/>
          <w:sz w:val="20"/>
        </w:rPr>
        <w:t>【合并财务报表工作底稿】合并报表：按持股比例重分类顺流收入与成本</w:t>
        <w:br/>
        <w:t xml:space="preserve">  借：营业收入  200.00</w:t>
        <w:br/>
        <w:t xml:space="preserve">    贷：营业成本  120.00</w:t>
        <w:br/>
        <w:t xml:space="preserve">    贷：投资收益  80.00</w:t>
        <w:br/>
        <w:t xml:space="preserve">  说明：无论联营企业当年对外出售多少，销售当年合并报表均按持股比例全额重分类收入成本；该分录不改变合并净利润，只改变列报项目。个别报表已通过投资收益递延未实现部分。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该分录借贷平衡，对合并净利润的影响为零，只改变列报：营业收入、营业成本减少，投资收益增加。以后年度商品已在上期销售，合并报表一般不再重做收入成本抵销；未实现余额继续体现在长期股权投资账面价值中，待实现年度通过个别报表投资收益转回。</w:t>
      </w:r>
    </w:p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七、完整例题（存货）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甲公司持有联营乙公司 20% 股权，能够施加重大影响。20×7 年甲公司将账面价值 600 万元的商品以 1,000 万元出售给乙公司。乙公司 20×7 年账面净利润 2,000 万元。不考虑所得税。单位：万元。</w:t>
      </w:r>
    </w:p>
    <w:p>
      <w:pPr>
        <w:spacing w:before="24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26"/>
        </w:rPr>
        <w:t>（一）年末商品全部未对外部出售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18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685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计算</w:t>
            </w:r>
          </w:p>
        </w:tc>
        <w:tc>
          <w:tcPr>
            <w:tcW w:type="dxa" w:w="2381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金额</w:t>
            </w:r>
          </w:p>
        </w:tc>
      </w:tr>
      <w:tr>
        <w:tc>
          <w:tcPr>
            <w:tcW w:type="dxa" w:w="3118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顺流毛利</w:t>
            </w:r>
          </w:p>
        </w:tc>
        <w:tc>
          <w:tcPr>
            <w:tcW w:type="dxa" w:w="3685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1,000 − 600</w:t>
            </w:r>
          </w:p>
        </w:tc>
        <w:tc>
          <w:tcPr>
            <w:tcW w:type="dxa" w:w="2381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400</w:t>
            </w:r>
          </w:p>
        </w:tc>
      </w:tr>
      <w:tr>
        <w:tc>
          <w:tcPr>
            <w:tcW w:type="dxa" w:w="3118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应递延（投资方份额）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400 × 20%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80</w:t>
            </w:r>
          </w:p>
        </w:tc>
      </w:tr>
      <w:tr>
        <w:tc>
          <w:tcPr>
            <w:tcW w:type="dxa" w:w="3118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可立即确认（其他股东）</w:t>
            </w:r>
          </w:p>
        </w:tc>
        <w:tc>
          <w:tcPr>
            <w:tcW w:type="dxa" w:w="3685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400 × 80%</w:t>
            </w:r>
          </w:p>
        </w:tc>
        <w:tc>
          <w:tcPr>
            <w:tcW w:type="dxa" w:w="2381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320</w:t>
            </w:r>
          </w:p>
        </w:tc>
      </w:tr>
      <w:tr>
        <w:tc>
          <w:tcPr>
            <w:tcW w:type="dxa" w:w="3118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联营净利润份额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2,000 × 20%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400</w:t>
            </w:r>
          </w:p>
        </w:tc>
      </w:tr>
      <w:tr>
        <w:tc>
          <w:tcPr>
            <w:tcW w:type="dxa" w:w="3118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个别报表投资收益</w:t>
            </w:r>
          </w:p>
        </w:tc>
        <w:tc>
          <w:tcPr>
            <w:tcW w:type="dxa" w:w="3685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400 − 80</w:t>
            </w:r>
          </w:p>
        </w:tc>
        <w:tc>
          <w:tcPr>
            <w:tcW w:type="dxa" w:w="2381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320</w:t>
            </w:r>
          </w:p>
        </w:tc>
      </w:tr>
      <w:tr>
        <w:tc>
          <w:tcPr>
            <w:tcW w:type="dxa" w:w="3118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合并重分类：营业收入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1,000 × 20%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200</w:t>
            </w:r>
          </w:p>
        </w:tc>
      </w:tr>
      <w:tr>
        <w:tc>
          <w:tcPr>
            <w:tcW w:type="dxa" w:w="3118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合并重分类：营业成本</w:t>
            </w:r>
          </w:p>
        </w:tc>
        <w:tc>
          <w:tcPr>
            <w:tcW w:type="dxa" w:w="3685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600 × 20%</w:t>
            </w:r>
          </w:p>
        </w:tc>
        <w:tc>
          <w:tcPr>
            <w:tcW w:type="dxa" w:w="2381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120</w:t>
            </w:r>
          </w:p>
        </w:tc>
      </w:tr>
      <w:tr>
        <w:tc>
          <w:tcPr>
            <w:tcW w:type="dxa" w:w="3118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合并重分类：投资收益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400 × 20%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80</w:t>
            </w:r>
          </w:p>
        </w:tc>
      </w:tr>
    </w:tbl>
    <w:p/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个别报表投资收益 320；合并报表投资收益列报 = 320 + 80 = 400，同时营业收入、营业成本各减 200、120。合并净利润仍为个别报表净利润。</w:t>
      </w:r>
    </w:p>
    <w:p>
      <w:pPr>
        <w:spacing w:before="24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26"/>
        </w:rPr>
        <w:t>（二）年末已对外出售 70%，30% 形成存货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未实现毛利 = 400 × 30% = 120，应递延 = 24。个别报表投资收益 = 376.00。销售当年合并分录仍为：借营业收入 200，贷营业成本 120、投资收益 80。</w:t>
      </w:r>
    </w:p>
    <w:p>
      <w:pPr>
        <w:spacing w:before="120" w:after="160"/>
        <w:ind w:firstLine="0"/>
      </w:pPr>
      <w:r>
        <w:rPr>
          <w:rFonts w:ascii="WenQuanYi Micro Hei" w:hAnsi="WenQuanYi Micro Hei" w:eastAsia="WenQuanYi Micro Hei"/>
          <w:b w:val="0"/>
          <w:color w:val="334155"/>
          <w:sz w:val="20"/>
        </w:rPr>
        <w:t>【个别财务报表】权益法确认投资收益（已扣未实现顺流损益）</w:t>
        <w:br/>
        <w:t xml:space="preserve">  借：长期股权投资——损益调整  376.00</w:t>
        <w:br/>
        <w:t xml:space="preserve">    贷：投资收益  376.00</w:t>
        <w:br/>
        <w:t xml:space="preserve">  说明：联营账面净利润份额 400.00 − 本期未实现变动×持股比例 24.00</w:t>
      </w:r>
    </w:p>
    <w:p>
      <w:pPr>
        <w:spacing w:before="120" w:after="160"/>
        <w:ind w:firstLine="0"/>
      </w:pPr>
      <w:r>
        <w:rPr>
          <w:rFonts w:ascii="WenQuanYi Micro Hei" w:hAnsi="WenQuanYi Micro Hei" w:eastAsia="WenQuanYi Micro Hei"/>
          <w:b w:val="0"/>
          <w:color w:val="334155"/>
          <w:sz w:val="20"/>
        </w:rPr>
        <w:t>【合并财务报表工作底稿】合并报表：按持股比例重分类顺流收入与成本</w:t>
        <w:br/>
        <w:t xml:space="preserve">  借：营业收入  200.00</w:t>
        <w:br/>
        <w:t xml:space="preserve">    贷：营业成本  120.00</w:t>
        <w:br/>
        <w:t xml:space="preserve">    贷：投资收益  80.00</w:t>
        <w:br/>
        <w:t xml:space="preserve">  说明：无论联营企业当年对外出售多少，销售当年合并报表均按持股比例全额重分类收入成本；该分录不改变合并净利润，只改变列报项目。个别报表已通过投资收益递延未实现部分。</w:t>
      </w:r>
    </w:p>
    <w:p>
      <w:pPr>
        <w:spacing w:before="24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26"/>
        </w:rPr>
        <w:t>（三）当年全部对外部出售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未实现为零，个别报表投资收益 = 400.00（即 2,000 × 20%）。合并报表仍按持股比例重分类收入成本，贷记投资收益 80，使集团口径下对乙公司投资收益反映“乙公司若按甲公司成本结转”的份额。</w:t>
      </w:r>
    </w:p>
    <w:p>
      <w:pPr>
        <w:spacing w:before="24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26"/>
        </w:rPr>
        <w:t>（四）次年全部对外出售（连续编制）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设 20×8 年乙公司账面净利润 3,600 万元，并将上年内部商品全部售出。个别报表应把上年递延的 80 转回：投资收益 = 3,600 × 20% + 80 = 800。合并报表无收入成本调整分录。</w:t>
      </w:r>
    </w:p>
    <w:p>
      <w:pPr>
        <w:spacing w:before="120" w:after="160"/>
        <w:ind w:firstLine="0"/>
      </w:pPr>
      <w:r>
        <w:rPr>
          <w:rFonts w:ascii="WenQuanYi Micro Hei" w:hAnsi="WenQuanYi Micro Hei" w:eastAsia="WenQuanYi Micro Hei"/>
          <w:b w:val="0"/>
          <w:color w:val="334155"/>
          <w:sz w:val="20"/>
        </w:rPr>
        <w:t>【个别财务报表】权益法确认投资收益（已扣未实现顺流损益）</w:t>
        <w:br/>
        <w:t xml:space="preserve">  借：长期股权投资——损益调整  800.00</w:t>
        <w:br/>
        <w:t xml:space="preserve">    贷：投资收益  800.00</w:t>
        <w:br/>
        <w:t xml:space="preserve">  说明：联营账面净利润份额 720.00 − 本期未实现变动×持股比例 -80.00</w:t>
      </w:r>
    </w:p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八、固定资产顺流交易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甲公司 20×7 年 11 月将成本 600 万元的商品以 900 万元售给乙公司，乙公司作为管理用固定资产，寿命 10 年、净残值 0、年限平均法。乙公司当年净利润 1,000 万元。内部毛利 300 万元，当年多提折旧 300 / 10 / 12 = 2.5 万元。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期末未实现 = 300 − 2.5 = 297.5；应递延 = 59.5；个别报表投资收益 = 140.50。</w:t>
      </w:r>
    </w:p>
    <w:p>
      <w:pPr>
        <w:spacing w:before="120" w:after="160"/>
        <w:ind w:firstLine="0"/>
      </w:pPr>
      <w:r>
        <w:rPr>
          <w:rFonts w:ascii="WenQuanYi Micro Hei" w:hAnsi="WenQuanYi Micro Hei" w:eastAsia="WenQuanYi Micro Hei"/>
          <w:b w:val="0"/>
          <w:color w:val="334155"/>
          <w:sz w:val="20"/>
        </w:rPr>
        <w:t>【个别财务报表】权益法确认投资收益（已扣未实现顺流损益）</w:t>
        <w:br/>
        <w:t xml:space="preserve">  借：长期股权投资——损益调整  140.50</w:t>
        <w:br/>
        <w:t xml:space="preserve">    贷：投资收益  140.50</w:t>
        <w:br/>
        <w:t xml:space="preserve">  说明：联营账面净利润份额 200.00 − 本期未实现变动×持股比例 59.50</w:t>
      </w:r>
    </w:p>
    <w:p>
      <w:pPr>
        <w:spacing w:before="120" w:after="160"/>
        <w:ind w:firstLine="0"/>
      </w:pPr>
      <w:r>
        <w:rPr>
          <w:rFonts w:ascii="WenQuanYi Micro Hei" w:hAnsi="WenQuanYi Micro Hei" w:eastAsia="WenQuanYi Micro Hei"/>
          <w:b w:val="0"/>
          <w:color w:val="334155"/>
          <w:sz w:val="20"/>
        </w:rPr>
        <w:t>【合并财务报表工作底稿】合并报表：按持股比例重分类顺流处置损益</w:t>
        <w:br/>
        <w:t xml:space="preserve">  借：营业收入  180.00</w:t>
        <w:br/>
        <w:t xml:space="preserve">    贷：营业成本  120.00</w:t>
        <w:br/>
        <w:t xml:space="preserve">    贷：投资收益  60.00</w:t>
        <w:br/>
        <w:t xml:space="preserve">  说明：若投资方原作为固定资产处置，可将借方改为“资产处置收益”（60.00），不再拆收入成本。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若投资方原列报为固定资产处置，合并报表借方改为“资产处置收益”60，不再拆收入成本。次年按全年多提折旧 30 转回实现：本期转回投资方份额 6，个别报表投资收益 = 1,000 × 20% + 6 = 206；合并报表以后年度不再重分类收入成本。</w:t>
      </w:r>
    </w:p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九、顺流、逆流、子公司内部交易对照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79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顺流（售给联营）</w:t>
            </w:r>
          </w:p>
        </w:tc>
        <w:tc>
          <w:tcPr>
            <w:tcW w:type="dxa" w:w="2379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逆流（联营售给投资方）</w:t>
            </w:r>
          </w:p>
        </w:tc>
        <w:tc>
          <w:tcPr>
            <w:tcW w:type="dxa" w:w="2379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售给子公司</w:t>
            </w:r>
          </w:p>
        </w:tc>
      </w:tr>
      <w:tr>
        <w:tc>
          <w:tcPr>
            <w:tcW w:type="dxa" w:w="2379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未实现利润存在于</w:t>
            </w:r>
          </w:p>
        </w:tc>
        <w:tc>
          <w:tcPr>
            <w:tcW w:type="dxa" w:w="2379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联营企业存货/固定资产（不进合表）</w:t>
            </w:r>
          </w:p>
        </w:tc>
        <w:tc>
          <w:tcPr>
            <w:tcW w:type="dxa" w:w="2379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投资方存货/固定资产（进合表）</w:t>
            </w:r>
          </w:p>
        </w:tc>
        <w:tc>
          <w:tcPr>
            <w:tcW w:type="dxa" w:w="2379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购货方存货/固定资产</w:t>
            </w:r>
          </w:p>
        </w:tc>
      </w:tr>
      <w:tr>
        <w:tc>
          <w:tcPr>
            <w:tcW w:type="dxa" w:w="2379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抵销比例</w:t>
            </w:r>
          </w:p>
        </w:tc>
        <w:tc>
          <w:tcPr>
            <w:tcW w:type="dxa" w:w="2379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持股比例</w:t>
            </w:r>
          </w:p>
        </w:tc>
        <w:tc>
          <w:tcPr>
            <w:tcW w:type="dxa" w:w="2379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持股比例</w:t>
            </w:r>
          </w:p>
        </w:tc>
        <w:tc>
          <w:tcPr>
            <w:tcW w:type="dxa" w:w="2379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全额 100%</w:t>
            </w:r>
          </w:p>
        </w:tc>
      </w:tr>
      <w:tr>
        <w:tc>
          <w:tcPr>
            <w:tcW w:type="dxa" w:w="2379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个别报表</w:t>
            </w:r>
          </w:p>
        </w:tc>
        <w:tc>
          <w:tcPr>
            <w:tcW w:type="dxa" w:w="2379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借投资收益 / 贷长期股权投资</w:t>
            </w:r>
          </w:p>
        </w:tc>
        <w:tc>
          <w:tcPr>
            <w:tcW w:type="dxa" w:w="2379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同左</w:t>
            </w:r>
          </w:p>
        </w:tc>
        <w:tc>
          <w:tcPr>
            <w:tcW w:type="dxa" w:w="2379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一般不作此笔（成本法或内部未抵）</w:t>
            </w:r>
          </w:p>
        </w:tc>
      </w:tr>
      <w:tr>
        <w:tc>
          <w:tcPr>
            <w:tcW w:type="dxa" w:w="2379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合并报表</w:t>
            </w:r>
          </w:p>
        </w:tc>
        <w:tc>
          <w:tcPr>
            <w:tcW w:type="dxa" w:w="2379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借营业收入 / 贷营业成本、投资收益</w:t>
            </w:r>
          </w:p>
        </w:tc>
        <w:tc>
          <w:tcPr>
            <w:tcW w:type="dxa" w:w="2379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借长期股权投资 / 贷存货等</w:t>
            </w:r>
          </w:p>
        </w:tc>
        <w:tc>
          <w:tcPr>
            <w:tcW w:type="dxa" w:w="2379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借营业收入 / 贷营业成本、存货</w:t>
            </w:r>
          </w:p>
        </w:tc>
      </w:tr>
      <w:tr>
        <w:tc>
          <w:tcPr>
            <w:tcW w:type="dxa" w:w="2379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少数股东</w:t>
            </w:r>
          </w:p>
        </w:tc>
        <w:tc>
          <w:tcPr>
            <w:tcW w:type="dxa" w:w="2379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不涉及 NCI（联营不合并）</w:t>
            </w:r>
          </w:p>
        </w:tc>
        <w:tc>
          <w:tcPr>
            <w:tcW w:type="dxa" w:w="2379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不涉及 NCI</w:t>
            </w:r>
          </w:p>
        </w:tc>
        <w:tc>
          <w:tcPr>
            <w:tcW w:type="dxa" w:w="2379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未实现损益在母与 NCI 之间分摊</w:t>
            </w:r>
          </w:p>
        </w:tc>
      </w:tr>
    </w:tbl>
    <w:p/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十、例外与特殊事项</w:t>
      </w:r>
    </w:p>
    <w:p>
      <w:pPr>
        <w:spacing w:before="24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26"/>
        </w:rPr>
        <w:t>（一）减值损失不抵销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顺流售价低于成本且表明资产发生减值的，内部损失全额确认，不得按持股比例递延。理由：损失已经实现，递延会高估资产和利润。</w:t>
      </w:r>
    </w:p>
    <w:p>
      <w:pPr>
        <w:spacing w:before="24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26"/>
        </w:rPr>
        <w:t>（二）构成业务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投出或出售的资产构成业务的，相关损益原则上全额确认，不适用未实现损益递延。判断应结合《企业会计准则第20号——企业合并》中“业务”的定义，并关注分步交易是否应作为一揽子交易。</w:t>
      </w:r>
    </w:p>
    <w:p>
      <w:pPr>
        <w:spacing w:before="24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26"/>
        </w:rPr>
        <w:t>（三）抵销额超过长期股权投资账面价值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IAS 28 相关项目曾讨论：顺流未实现收益的抵销额若大于长期股权投资账面价值，超额部分应列报为递延收益（负债），而不是把投资冲成负数后停止抵销。中国实务宜谨慎：先将长期股权投资冲至零，超额部分确认为递延收益，待联营产生利润或资产对外部实现时再释放。</w:t>
      </w:r>
    </w:p>
    <w:p>
      <w:pPr>
        <w:spacing w:before="24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26"/>
        </w:rPr>
        <w:t>（四）所得税</w:t>
      </w:r>
    </w:p>
    <w:p>
      <w:pPr>
        <w:spacing w:after="160" w:before="0" w:line="324" w:lineRule="auto"/>
        <w:ind w:firstLine="420"/>
      </w:pPr>
      <w:r>
        <w:rPr>
          <w:rFonts w:ascii="WenQuanYi Micro Hei" w:hAnsi="WenQuanYi Micro Hei" w:eastAsia="WenQuanYi Micro Hei"/>
          <w:b w:val="0"/>
          <w:sz w:val="22"/>
        </w:rPr>
        <w:t>投资方计税时通常已就全部销售利润纳税，会计上却递延了持股比例部分，形成可抵扣暂时性差异。常见分录：借“递延所得税资产”（应递延金额 × 税率），贷“所得税费用”。实现年度转回。确认前需评估暂时性差异转回的可能性，以及 CAS 18 / IAS 12 对联营投资相关暂时性差异的限制条件。</w:t>
      </w:r>
    </w:p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十一、工作底稿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工作底稿栏</w:t>
            </w:r>
          </w:p>
        </w:tc>
        <w:tc>
          <w:tcPr>
            <w:tcW w:type="dxa" w:w="3173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取数</w:t>
            </w:r>
          </w:p>
        </w:tc>
        <w:tc>
          <w:tcPr>
            <w:tcW w:type="dxa" w:w="3173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注意</w:t>
            </w:r>
          </w:p>
        </w:tc>
      </w:tr>
      <w:tr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内部销售收入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投资方对联营营业收入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按客户明细或关联方披露核对</w:t>
            </w:r>
          </w:p>
        </w:tc>
      </w:tr>
      <w:tr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内部销售成本</w:t>
            </w:r>
          </w:p>
        </w:tc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对应结转营业成本</w:t>
            </w:r>
          </w:p>
        </w:tc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含运费资本化等调整</w:t>
            </w:r>
          </w:p>
        </w:tc>
      </w:tr>
      <w:tr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期末联营持有比例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联营存货进销存 / 固定资产台账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须区分已对第三方出售</w:t>
            </w:r>
          </w:p>
        </w:tc>
      </w:tr>
      <w:tr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持股比例</w:t>
            </w:r>
          </w:p>
        </w:tc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考虑稀释、潜在表决权后的权益法比例</w:t>
            </w:r>
          </w:p>
        </w:tc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与损益分配比例一致</w:t>
            </w:r>
          </w:p>
        </w:tc>
      </w:tr>
      <w:tr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联营账面净利润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联营当期净利润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先按投资时点公允价值调整</w:t>
            </w:r>
          </w:p>
        </w:tc>
      </w:tr>
      <w:tr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期初未实现余额</w:t>
            </w:r>
          </w:p>
        </w:tc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上年工作底稿期末数</w:t>
            </w:r>
          </w:p>
        </w:tc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连续编制的起点</w:t>
            </w:r>
          </w:p>
        </w:tc>
      </w:tr>
      <w:tr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税率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投资方适用税率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亏损或税收优惠时可能不确认 DTA</w:t>
            </w:r>
          </w:p>
        </w:tc>
      </w:tr>
    </w:tbl>
    <w:p/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十二、检查清单与常见错误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0"/>
        </w:rPr>
        <w:t>□ 确认对被投资方是重大影响或共同控制（联营/合营），而非控制（子公司）。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0"/>
        </w:rPr>
        <w:t>□ 确认交易方向为投资方 → 联营/合营企业（顺流），且交易不构成业务。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0"/>
        </w:rPr>
        <w:t>□ 只按持股比例抵销未实现损益，不按 100% 抵销收入成本。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0"/>
        </w:rPr>
        <w:t>□ 未实现的判断时点：联营企业是否已对外部独立第三方出售或耗用（含折旧）。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0"/>
        </w:rPr>
        <w:t>□ 减值迹象导致的内部交易损失不得抵销。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0"/>
        </w:rPr>
        <w:t>□ 个别报表：借投资收益 / 贷长期股权投资——损益调整。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0"/>
        </w:rPr>
        <w:t>□ 合并报表（销售当年）：借营业收入 / 贷营业成本、投资收益（重分类，不改变净利润）。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0"/>
        </w:rPr>
        <w:t>□ 逆流交易不要套用本套分录：逆流在合并报表应贷存货等资产，同时借长期股权投资。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/>
          <w:sz w:val="22"/>
        </w:rPr>
        <w:t>常见错误：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2"/>
        </w:rPr>
        <w:t>1. 按 100% 抵销对联营的收入成本，误把联营当子公司。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2"/>
        </w:rPr>
        <w:t>2. 顺流、逆流分录用反：顺流合表不冲存货，逆流合表不冲投资方收入。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2"/>
        </w:rPr>
        <w:t>3. 个别报表已递延后，合并报表又贷记长期股权投资，造成重复抵销。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2"/>
        </w:rPr>
        <w:t>4. 忽略以后年度转回，未实现损益被永久挂在长期股权投资。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2"/>
        </w:rPr>
        <w:t>5. 固定资产只抵初始毛利、不调折旧实现。</w:t>
      </w:r>
    </w:p>
    <w:p>
      <w:pPr>
        <w:spacing w:after="160" w:before="0" w:line="324" w:lineRule="auto"/>
      </w:pPr>
      <w:r>
        <w:rPr>
          <w:rFonts w:ascii="WenQuanYi Micro Hei" w:hAnsi="WenQuanYi Micro Hei" w:eastAsia="WenQuanYi Micro Hei"/>
          <w:b w:val="0"/>
          <w:sz w:val="22"/>
        </w:rPr>
        <w:t>6. 把减值损失当成普通未实现损失予以递延。</w:t>
      </w:r>
    </w:p>
    <w:p>
      <w:pPr>
        <w:spacing w:before="320" w:after="160"/>
        <w:ind w:firstLine="0"/>
      </w:pPr>
      <w:r>
        <w:rPr>
          <w:rFonts w:ascii="WenQuanYi Micro Hei" w:hAnsi="WenQuanYi Micro Hei" w:eastAsia="WenQuanYi Micro Hei"/>
          <w:b/>
          <w:color w:val="1A365D"/>
          <w:sz w:val="32"/>
        </w:rPr>
        <w:t>十三、分录速查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时点</w:t>
            </w:r>
          </w:p>
        </w:tc>
        <w:tc>
          <w:tcPr>
            <w:tcW w:type="dxa" w:w="3173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个别报表</w:t>
            </w:r>
          </w:p>
        </w:tc>
        <w:tc>
          <w:tcPr>
            <w:tcW w:type="dxa" w:w="3173"/>
            <w:shd w:fill="1A365D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18"/>
              </w:rPr>
              <w:t>合并工作底稿</w:t>
            </w:r>
          </w:p>
        </w:tc>
      </w:tr>
      <w:tr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销售当年，存货未售完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借：投资收益；贷：长期股权投资（未实现×持股）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借：营业收入（售价×持股）；贷：营业成本、投资收益</w:t>
            </w:r>
          </w:p>
        </w:tc>
      </w:tr>
      <w:tr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销售当年，存货已售完</w:t>
            </w:r>
          </w:p>
        </w:tc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只确认联营净利润份额，不再递延</w:t>
            </w:r>
          </w:p>
        </w:tc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仍按售价/成本×持股重分类收入成本</w:t>
            </w:r>
          </w:p>
        </w:tc>
      </w:tr>
      <w:tr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以后年度存货售出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借：长期股权投资；贷：投资收益（转回）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一般无分录</w:t>
            </w:r>
          </w:p>
        </w:tc>
      </w:tr>
      <w:tr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固定资产销售当年</w:t>
            </w:r>
          </w:p>
        </w:tc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递延（毛利−当年多提折旧）×持股</w:t>
            </w:r>
          </w:p>
        </w:tc>
        <w:tc>
          <w:tcPr>
            <w:tcW w:type="dxa" w:w="3173"/>
            <w:shd w:fill="FFFFFF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借收入/处置收益，贷成本与投资收益（毛利×持股）</w:t>
            </w:r>
          </w:p>
        </w:tc>
      </w:tr>
      <w:tr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固定资产以后年度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按当年多提折旧×持股转回</w:t>
            </w:r>
          </w:p>
        </w:tc>
        <w:tc>
          <w:tcPr>
            <w:tcW w:type="dxa" w:w="3173"/>
            <w:shd w:fill="F7F3EA" w:val="clear"/>
          </w:tcPr>
          <w:p>
            <w:r/>
            <w:r>
              <w:rPr>
                <w:rFonts w:ascii="WenQuanYi Micro Hei" w:hAnsi="WenQuanYi Micro Hei" w:eastAsia="WenQuanYi Micro Hei"/>
                <w:b w:val="0"/>
                <w:sz w:val="18"/>
              </w:rPr>
              <w:t>一般无分录</w:t>
            </w:r>
          </w:p>
        </w:tc>
      </w:tr>
    </w:tbl>
    <w:p/>
    <w:p>
      <w:pPr>
        <w:ind w:firstLine="0"/>
      </w:pPr>
      <w:r>
        <w:rPr>
          <w:rFonts w:ascii="WenQuanYi Micro Hei" w:hAnsi="WenQuanYi Micro Hei" w:eastAsia="WenQuanYi Micro Hei"/>
          <w:b w:val="0"/>
          <w:color w:val="718096"/>
          <w:sz w:val="18"/>
        </w:rPr>
        <w:t>本备忘录供会计核算与合并报表编制使用，不构成审计意见。金额单位除特别注明外为万元。配套计算：python3 scripts/downstream_elimination.py --ownership 0.2 --price 1000 --cost 600 --remain 1 --ni 2000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