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Приложение N 1</w:t>
      </w:r>
    </w:p>
    <w:p w:rsidR="00000000" w:rsidDel="00000000" w:rsidP="00000000" w:rsidRDefault="00000000" w:rsidRPr="00000000" w14:paraId="00000002">
      <w:pPr>
        <w:spacing w:before="24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 Порядку</w:t>
      </w:r>
    </w:p>
    <w:p w:rsidR="00000000" w:rsidDel="00000000" w:rsidP="00000000" w:rsidRDefault="00000000" w:rsidRPr="00000000" w14:paraId="00000003">
      <w:pPr>
        <w:spacing w:before="24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определения перечня</w:t>
      </w:r>
    </w:p>
    <w:p w:rsidR="00000000" w:rsidDel="00000000" w:rsidP="00000000" w:rsidRDefault="00000000" w:rsidRPr="00000000" w14:paraId="00000004">
      <w:pPr>
        <w:spacing w:before="24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 кодов целевых статей</w:t>
      </w:r>
    </w:p>
    <w:p w:rsidR="00000000" w:rsidDel="00000000" w:rsidP="00000000" w:rsidRDefault="00000000" w:rsidRPr="00000000" w14:paraId="00000005">
      <w:pPr>
        <w:spacing w:before="24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расходов местных бюджетов,</w:t>
      </w:r>
    </w:p>
    <w:p w:rsidR="00000000" w:rsidDel="00000000" w:rsidP="00000000" w:rsidRDefault="00000000" w:rsidRPr="00000000" w14:paraId="00000006">
      <w:pPr>
        <w:spacing w:before="24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финансовое обеспечение</w:t>
      </w:r>
    </w:p>
    <w:p w:rsidR="00000000" w:rsidDel="00000000" w:rsidP="00000000" w:rsidRDefault="00000000" w:rsidRPr="00000000" w14:paraId="00000007">
      <w:pPr>
        <w:spacing w:before="24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которых осуществляется</w:t>
      </w:r>
    </w:p>
    <w:p w:rsidR="00000000" w:rsidDel="00000000" w:rsidP="00000000" w:rsidRDefault="00000000" w:rsidRPr="00000000" w14:paraId="00000008">
      <w:pPr>
        <w:spacing w:before="24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счет субсидий,</w:t>
      </w:r>
    </w:p>
    <w:p w:rsidR="00000000" w:rsidDel="00000000" w:rsidP="00000000" w:rsidRDefault="00000000" w:rsidRPr="00000000" w14:paraId="00000009">
      <w:pPr>
        <w:spacing w:before="24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субвенций и иных межбюджетных</w:t>
      </w:r>
    </w:p>
    <w:p w:rsidR="00000000" w:rsidDel="00000000" w:rsidP="00000000" w:rsidRDefault="00000000" w:rsidRPr="00000000" w14:paraId="0000000A">
      <w:pPr>
        <w:spacing w:before="24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трансфертов, имеющих целевое</w:t>
      </w:r>
    </w:p>
    <w:p w:rsidR="00000000" w:rsidDel="00000000" w:rsidP="00000000" w:rsidRDefault="00000000" w:rsidRPr="00000000" w14:paraId="0000000B">
      <w:pPr>
        <w:spacing w:before="24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назначение, из краевого бюджета</w:t>
      </w:r>
    </w:p>
    <w:p w:rsidR="00000000" w:rsidDel="00000000" w:rsidP="00000000" w:rsidRDefault="00000000" w:rsidRPr="00000000" w14:paraId="0000000C">
      <w:pPr>
        <w:spacing w:before="240" w:line="240" w:lineRule="auto"/>
        <w:jc w:val="both"/>
        <w:rPr/>
      </w:pPr>
      <w:r w:rsidDel="00000000" w:rsidR="00000000" w:rsidRPr="00000000">
        <w:rPr>
          <w:rtl w:val="0"/>
        </w:rPr>
      </w:r>
    </w:p>
    <w:p w:rsidR="00000000" w:rsidDel="00000000" w:rsidP="00000000" w:rsidRDefault="00000000" w:rsidRPr="00000000" w14:paraId="0000000D">
      <w:pPr>
        <w:spacing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ПЕРЕЧЕНЬ</w:t>
      </w:r>
    </w:p>
    <w:p w:rsidR="00000000" w:rsidDel="00000000" w:rsidP="00000000" w:rsidRDefault="00000000" w:rsidRPr="00000000" w14:paraId="0000000E">
      <w:pPr>
        <w:spacing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КОДЫ ЦЕЛЕВЫХ СТАТЕЙ РАСХОДОВ КРАЕВОГО БЮДЖЕТА</w:t>
      </w:r>
    </w:p>
    <w:p w:rsidR="00000000" w:rsidDel="00000000" w:rsidP="00000000" w:rsidRDefault="00000000" w:rsidRPr="00000000" w14:paraId="0000000F">
      <w:pPr>
        <w:spacing w:before="240" w:line="240" w:lineRule="auto"/>
        <w:jc w:val="both"/>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9628401712945"/>
        <w:gridCol w:w="571.7916839342452"/>
        <w:gridCol w:w="571.7916839342452"/>
        <w:gridCol w:w="584.9868766404201"/>
        <w:gridCol w:w="1046.8186213565411"/>
        <w:gridCol w:w="5599.160104986878"/>
        <w:tblGridChange w:id="0">
          <w:tblGrid>
            <w:gridCol w:w="650.9628401712945"/>
            <w:gridCol w:w="571.7916839342452"/>
            <w:gridCol w:w="571.7916839342452"/>
            <w:gridCol w:w="584.9868766404201"/>
            <w:gridCol w:w="1046.8186213565411"/>
            <w:gridCol w:w="5599.160104986878"/>
          </w:tblGrid>
        </w:tblGridChange>
      </w:tblGrid>
      <w:tr>
        <w:trPr>
          <w:trHeight w:val="9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п/п</w:t>
            </w:r>
          </w:p>
        </w:tc>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Целевая статья</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Наименование межбюджетного трансферта</w:t>
            </w:r>
          </w:p>
        </w:tc>
      </w:tr>
      <w:tr>
        <w:trPr>
          <w:trHeight w:val="213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1 00 S5550</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Субсидии бюджетам муниципальных образований на организацию и проведение акарицидных обработок мест массового отдыха населения в рамках подпрограммы "Профилактика заболеваний и формирование здорового  образа жизни.</w:t>
            </w:r>
          </w:p>
        </w:tc>
      </w:tr>
      <w:tr>
        <w:trPr>
          <w:trHeight w:val="4521"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1F">
            <w:pPr>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02 2 00 05310</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Субвенция бюджету муниципального района на обеспечение молоком и продуктами, обогащенными йодом, учащихся муниципальных общеобразовательных организаций с 1-го по 4-й классы включительно (за исключением находящихся на полном государственном обеспечении), обеспечение бесплатным питанием (горячий завтрак и обед или горячий завтрак) или осуществление выплаты ежемесячных денежных компенсаций взамен бесплатного питания учащимся муниципальных общеобразовательных организаций из семей со среднедушевым доходом ниже величины прожиточного минимума, установленного для соответствующей группы территорий края на душу населения.</w:t>
            </w:r>
          </w:p>
        </w:tc>
      </w:tr>
      <w:tr>
        <w:trPr>
          <w:trHeight w:val="33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02 2 00 05320</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Субвенция бюджету муниципального района на выплаты дополнительного ежемесячного денежного вознаграждения за выполнение функции классного руководителя педагогам муниципальных общеобразовательных организаций (в соответствии с </w:t>
            </w:r>
            <w:r w:rsidDel="00000000" w:rsidR="00000000" w:rsidRPr="00000000">
              <w:rPr>
                <w:rFonts w:ascii="Times New Roman" w:cs="Times New Roman" w:eastAsia="Times New Roman" w:hAnsi="Times New Roman"/>
                <w:rtl w:val="0"/>
              </w:rPr>
              <w:t xml:space="preserve">Законом</w:t>
            </w:r>
            <w:r w:rsidDel="00000000" w:rsidR="00000000" w:rsidRPr="00000000">
              <w:rPr>
                <w:rFonts w:ascii="Times New Roman" w:cs="Times New Roman" w:eastAsia="Times New Roman" w:hAnsi="Times New Roman"/>
                <w:rtl w:val="0"/>
              </w:rPr>
              <w:t xml:space="preserve"> края от 18 декабря 2008 года N 7-2670) в рамках подпрограммы "Развитие дошкольного, общего и дополнительного образования" государственной программы Красноярского края "Развитие образования".</w:t>
            </w:r>
          </w:p>
        </w:tc>
      </w:tr>
      <w:tr>
        <w:trPr>
          <w:trHeight w:val="4521"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2F">
            <w:pPr>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02 2 00 06210</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Субвенция бюджету муниципального района на обеспечение обучающихся в муниципальных общеобразовательных организациях бесплатным завтраком, обучающихся с ограниченными возможностями здоровья в муниципальных и частных общеобразовательных организациях по имеющим государственную аккредитацию основным общеобразовательным программам, не проживающих в интернатах указанных общеобразовательных организаций, и обучающихся, находящихся в группах продленного дня муниципальных общеобразовательных организаций, бесплатными завтраком и обедом в рамках подпрограммы "Развитие дошкольного, общего и дополнительного образования" государственной программы Красноярского края "Развитие образования".</w:t>
            </w:r>
          </w:p>
        </w:tc>
      </w:tr>
      <w:tr>
        <w:trPr>
          <w:trHeight w:val="4521"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37">
            <w:pPr>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02 2 00 74080</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Субвенции бюджетам муниципальных районов и городских округов на обеспечение государственных </w:t>
              <w:tab/>
              <w:t xml:space="preserve">гарантий реализации прав на получение общедоступного и бесплатного дошкольного образования в муниципальных дошкольных образовательных организациях, находящихся на территории края, общедоступного и бесплатного дошкольного образования в муниципальных общеобразовательных организациях, находящихся на территории края, в части обеспечения деятельности административно-хозяйственного, учебно-вспомогательного персонала и иных категорий работников образовательных организаций, участвующих в реализации общеобразовательных программ в соответствии с федеральными государственными образовательными стандартами, в рамках подпрограммы "Развитие дошкольного, общего и дополнительного образования" государственной программы Красноярского края "Развитие образования".</w:t>
            </w:r>
          </w:p>
        </w:tc>
      </w:tr>
    </w:tbl>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