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8B" w:rsidRPr="00FB418B" w:rsidRDefault="00FB418B" w:rsidP="00FB418B">
      <w:pPr>
        <w:jc w:val="center"/>
        <w:rPr>
          <w:sz w:val="36"/>
        </w:rPr>
      </w:pPr>
      <w:r>
        <w:rPr>
          <w:sz w:val="36"/>
        </w:rPr>
        <w:t>Get+Set Progress Update</w:t>
      </w:r>
    </w:p>
    <w:p w:rsidR="0089018C" w:rsidRDefault="0089018C" w:rsidP="0089018C">
      <w:pPr>
        <w:rPr>
          <w:sz w:val="24"/>
        </w:rPr>
      </w:pPr>
      <w:r w:rsidRPr="0089018C">
        <w:rPr>
          <w:sz w:val="24"/>
        </w:rPr>
        <w:t xml:space="preserve">Since the use of getter and setter </w:t>
      </w:r>
      <w:r w:rsidR="00FB418B">
        <w:rPr>
          <w:sz w:val="24"/>
        </w:rPr>
        <w:t>methods</w:t>
      </w:r>
      <w:r w:rsidRPr="0089018C">
        <w:rPr>
          <w:sz w:val="24"/>
        </w:rPr>
        <w:t xml:space="preserve"> </w:t>
      </w:r>
      <w:r>
        <w:rPr>
          <w:sz w:val="24"/>
        </w:rPr>
        <w:t xml:space="preserve">is simple functionality combined with only one input, I decided to establish equivalence classes to assist in the proper testing of the </w:t>
      </w:r>
      <w:r w:rsidR="00FB418B">
        <w:rPr>
          <w:sz w:val="24"/>
        </w:rPr>
        <w:t>methods</w:t>
      </w:r>
      <w:r>
        <w:rPr>
          <w:sz w:val="24"/>
        </w:rPr>
        <w:t>. A few notes about the derived classes below:</w:t>
      </w:r>
    </w:p>
    <w:p w:rsidR="0089018C" w:rsidRDefault="0089018C" w:rsidP="00FB418B">
      <w:pPr>
        <w:ind w:left="720"/>
        <w:rPr>
          <w:sz w:val="24"/>
        </w:rPr>
      </w:pPr>
      <w:r>
        <w:rPr>
          <w:sz w:val="24"/>
        </w:rPr>
        <w:t xml:space="preserve">- Every </w:t>
      </w:r>
      <w:r w:rsidR="00FB418B">
        <w:rPr>
          <w:sz w:val="24"/>
        </w:rPr>
        <w:t>method</w:t>
      </w:r>
      <w:r>
        <w:rPr>
          <w:sz w:val="24"/>
        </w:rPr>
        <w:t xml:space="preserve"> with the exception of year() has the ability to “bubble up”</w:t>
      </w:r>
      <w:r w:rsidR="00FB418B">
        <w:rPr>
          <w:sz w:val="24"/>
        </w:rPr>
        <w:t xml:space="preserve"> to the next time unit</w:t>
      </w:r>
      <w:r>
        <w:rPr>
          <w:sz w:val="24"/>
        </w:rPr>
        <w:t xml:space="preserve"> if the standard range is exceeded</w:t>
      </w:r>
      <w:r w:rsidR="00FB418B">
        <w:rPr>
          <w:sz w:val="24"/>
        </w:rPr>
        <w:t xml:space="preserve"> (ex. greater than 59 seconds will increase minutes and less than 0 seconds will decrease minutes)</w:t>
      </w:r>
    </w:p>
    <w:p w:rsidR="00FB418B" w:rsidRDefault="00FB418B" w:rsidP="00FB418B">
      <w:pPr>
        <w:ind w:left="720"/>
        <w:rPr>
          <w:sz w:val="24"/>
        </w:rPr>
      </w:pPr>
      <w:r>
        <w:rPr>
          <w:sz w:val="24"/>
        </w:rPr>
        <w:t>- The same method is used for both getting and setting. If no input is given it is used as a getter, otherwise it is used as a setter.</w:t>
      </w:r>
    </w:p>
    <w:p w:rsidR="00FB418B" w:rsidRDefault="00FB418B" w:rsidP="00FB418B">
      <w:pPr>
        <w:ind w:left="720"/>
        <w:rPr>
          <w:sz w:val="24"/>
        </w:rPr>
      </w:pPr>
      <w:r>
        <w:rPr>
          <w:sz w:val="24"/>
        </w:rPr>
        <w:t>- Decimal values are valid inputs to the function, but they do not comprise their own equivalence classes because the methods simply truncates them and treats them as integers.</w:t>
      </w:r>
    </w:p>
    <w:p w:rsidR="005D1620" w:rsidRPr="0089018C" w:rsidRDefault="005D1620" w:rsidP="00FB418B">
      <w:pPr>
        <w:ind w:left="720"/>
        <w:rPr>
          <w:sz w:val="24"/>
        </w:rPr>
      </w:pPr>
      <w:r>
        <w:rPr>
          <w:sz w:val="24"/>
        </w:rPr>
        <w:t>- At this point in the project, only valid equivalence classes have had test cases designed for them.</w:t>
      </w:r>
      <w:bookmarkStart w:id="0" w:name="_GoBack"/>
      <w:bookmarkEnd w:id="0"/>
    </w:p>
    <w:p w:rsidR="004F5B54" w:rsidRDefault="00BE4BA4" w:rsidP="0089018C">
      <w:pPr>
        <w:jc w:val="center"/>
        <w:rPr>
          <w:sz w:val="28"/>
        </w:rPr>
      </w:pPr>
      <w:r>
        <w:rPr>
          <w:sz w:val="28"/>
        </w:rPr>
        <w:t>m</w:t>
      </w:r>
      <w:r w:rsidR="004F5B54">
        <w:rPr>
          <w:sz w:val="28"/>
        </w:rPr>
        <w:t>illiseconds</w:t>
      </w:r>
      <w:r w:rsidR="00C73177">
        <w:rPr>
          <w:sz w:val="28"/>
        </w:rPr>
        <w:t>()</w:t>
      </w:r>
    </w:p>
    <w:p w:rsidR="00BC2CE7" w:rsidRPr="004F5B54" w:rsidRDefault="00BC2CE7" w:rsidP="00FB6500">
      <w:pPr>
        <w:jc w:val="center"/>
        <w:rPr>
          <w:sz w:val="28"/>
        </w:rPr>
      </w:pPr>
      <w:r>
        <w:rPr>
          <w:sz w:val="28"/>
        </w:rPr>
        <w:t>Gets or sets the milliseconds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271" w:rsidTr="00243271">
        <w:tc>
          <w:tcPr>
            <w:tcW w:w="4675" w:type="dxa"/>
          </w:tcPr>
          <w:p w:rsidR="00243271" w:rsidRPr="00BC2CE7" w:rsidRDefault="00243271" w:rsidP="00FB6500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4675" w:type="dxa"/>
          </w:tcPr>
          <w:p w:rsidR="00243271" w:rsidRPr="00BC2CE7" w:rsidRDefault="00243271" w:rsidP="00FB6500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</w:t>
            </w:r>
            <w:r w:rsidR="00C73177" w:rsidRPr="00BC2CE7">
              <w:rPr>
                <w:b/>
                <w:sz w:val="24"/>
                <w:szCs w:val="24"/>
              </w:rPr>
              <w:t xml:space="preserve"> Equivalence Classes</w:t>
            </w:r>
          </w:p>
        </w:tc>
      </w:tr>
      <w:tr w:rsidR="00243271" w:rsidTr="00243271">
        <w:tc>
          <w:tcPr>
            <w:tcW w:w="4675" w:type="dxa"/>
          </w:tcPr>
          <w:p w:rsidR="00243271" w:rsidRPr="00243271" w:rsidRDefault="00C73177" w:rsidP="00C73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243271" w:rsidRPr="00243271" w:rsidRDefault="00C73177" w:rsidP="00C73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r w:rsidR="002A77F2">
              <w:rPr>
                <w:sz w:val="24"/>
                <w:szCs w:val="24"/>
              </w:rPr>
              <w:t>Integer or Float Input</w:t>
            </w:r>
          </w:p>
        </w:tc>
      </w:tr>
      <w:tr w:rsidR="00243271" w:rsidTr="00243271">
        <w:tc>
          <w:tcPr>
            <w:tcW w:w="4675" w:type="dxa"/>
          </w:tcPr>
          <w:p w:rsidR="00243271" w:rsidRPr="00243271" w:rsidRDefault="00C73177" w:rsidP="00FB6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0 and 999</w:t>
            </w:r>
          </w:p>
        </w:tc>
        <w:tc>
          <w:tcPr>
            <w:tcW w:w="4675" w:type="dxa"/>
          </w:tcPr>
          <w:p w:rsidR="00243271" w:rsidRPr="00243271" w:rsidRDefault="00243271" w:rsidP="00420491">
            <w:pPr>
              <w:jc w:val="center"/>
              <w:rPr>
                <w:sz w:val="24"/>
                <w:szCs w:val="24"/>
              </w:rPr>
            </w:pPr>
          </w:p>
        </w:tc>
      </w:tr>
      <w:tr w:rsidR="00243271" w:rsidTr="00243271">
        <w:tc>
          <w:tcPr>
            <w:tcW w:w="4675" w:type="dxa"/>
          </w:tcPr>
          <w:p w:rsidR="00243271" w:rsidRPr="00243271" w:rsidRDefault="00C73177" w:rsidP="00FB6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0</w:t>
            </w:r>
          </w:p>
        </w:tc>
        <w:tc>
          <w:tcPr>
            <w:tcW w:w="4675" w:type="dxa"/>
          </w:tcPr>
          <w:p w:rsidR="00243271" w:rsidRPr="00243271" w:rsidRDefault="00243271" w:rsidP="00FB6500">
            <w:pPr>
              <w:jc w:val="center"/>
              <w:rPr>
                <w:sz w:val="24"/>
                <w:szCs w:val="24"/>
              </w:rPr>
            </w:pPr>
          </w:p>
        </w:tc>
      </w:tr>
      <w:tr w:rsidR="00243271" w:rsidTr="00243271">
        <w:tc>
          <w:tcPr>
            <w:tcW w:w="4675" w:type="dxa"/>
          </w:tcPr>
          <w:p w:rsidR="00243271" w:rsidRPr="00243271" w:rsidRDefault="00C73177" w:rsidP="00FB6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999</w:t>
            </w:r>
          </w:p>
        </w:tc>
        <w:tc>
          <w:tcPr>
            <w:tcW w:w="4675" w:type="dxa"/>
          </w:tcPr>
          <w:p w:rsidR="00243271" w:rsidRPr="00243271" w:rsidRDefault="00243271" w:rsidP="00FB650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B6500" w:rsidRDefault="00FB6500" w:rsidP="00FB6500">
      <w:pPr>
        <w:jc w:val="center"/>
        <w:rPr>
          <w:sz w:val="28"/>
        </w:rPr>
      </w:pPr>
    </w:p>
    <w:p w:rsidR="00BC2CE7" w:rsidRDefault="00BE4BA4" w:rsidP="00BC2CE7">
      <w:pPr>
        <w:jc w:val="center"/>
        <w:rPr>
          <w:sz w:val="28"/>
        </w:rPr>
      </w:pPr>
      <w:r>
        <w:rPr>
          <w:sz w:val="28"/>
        </w:rPr>
        <w:t>s</w:t>
      </w:r>
      <w:r w:rsidR="00BC2CE7">
        <w:rPr>
          <w:sz w:val="28"/>
        </w:rPr>
        <w:t>econds()</w:t>
      </w:r>
    </w:p>
    <w:p w:rsidR="00BC2CE7" w:rsidRPr="004F5B54" w:rsidRDefault="00BC2CE7" w:rsidP="00BC2CE7">
      <w:pPr>
        <w:jc w:val="center"/>
        <w:rPr>
          <w:sz w:val="28"/>
        </w:rPr>
      </w:pPr>
      <w:r>
        <w:rPr>
          <w:sz w:val="28"/>
        </w:rPr>
        <w:t>Gets or s</w:t>
      </w:r>
      <w:r>
        <w:rPr>
          <w:sz w:val="28"/>
        </w:rPr>
        <w:t>ets the s</w:t>
      </w:r>
      <w:r>
        <w:rPr>
          <w:sz w:val="28"/>
        </w:rPr>
        <w:t>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CE7" w:rsidTr="00131432">
        <w:tc>
          <w:tcPr>
            <w:tcW w:w="4675" w:type="dxa"/>
          </w:tcPr>
          <w:p w:rsidR="00BC2CE7" w:rsidRPr="00BC2CE7" w:rsidRDefault="00BC2CE7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4675" w:type="dxa"/>
          </w:tcPr>
          <w:p w:rsidR="00BC2CE7" w:rsidRPr="00BC2CE7" w:rsidRDefault="00BC2CE7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Between 0 and 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0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Greater than 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BC2CE7" w:rsidRDefault="00BC2CE7" w:rsidP="00FB6500">
      <w:pPr>
        <w:jc w:val="center"/>
        <w:rPr>
          <w:sz w:val="28"/>
        </w:rPr>
      </w:pPr>
    </w:p>
    <w:p w:rsidR="00BC2CE7" w:rsidRDefault="00BE4BA4" w:rsidP="00BC2CE7">
      <w:pPr>
        <w:jc w:val="center"/>
        <w:rPr>
          <w:sz w:val="28"/>
        </w:rPr>
      </w:pPr>
      <w:r>
        <w:rPr>
          <w:sz w:val="28"/>
        </w:rPr>
        <w:t>m</w:t>
      </w:r>
      <w:r w:rsidR="00BC2CE7">
        <w:rPr>
          <w:sz w:val="28"/>
        </w:rPr>
        <w:t xml:space="preserve">inutes </w:t>
      </w:r>
      <w:r w:rsidR="00BC2CE7">
        <w:rPr>
          <w:sz w:val="28"/>
        </w:rPr>
        <w:t>()</w:t>
      </w:r>
    </w:p>
    <w:p w:rsidR="00BC2CE7" w:rsidRPr="004F5B54" w:rsidRDefault="00BC2CE7" w:rsidP="00BC2CE7">
      <w:pPr>
        <w:jc w:val="center"/>
        <w:rPr>
          <w:sz w:val="28"/>
        </w:rPr>
      </w:pPr>
      <w:r>
        <w:rPr>
          <w:sz w:val="28"/>
        </w:rPr>
        <w:t>Gets or s</w:t>
      </w:r>
      <w:r>
        <w:rPr>
          <w:sz w:val="28"/>
        </w:rPr>
        <w:t>ets the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CE7" w:rsidTr="00131432">
        <w:tc>
          <w:tcPr>
            <w:tcW w:w="4675" w:type="dxa"/>
          </w:tcPr>
          <w:p w:rsidR="00BC2CE7" w:rsidRPr="00BC2CE7" w:rsidRDefault="00BC2CE7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lastRenderedPageBreak/>
              <w:t>Valid Equivalence Classes</w:t>
            </w:r>
          </w:p>
        </w:tc>
        <w:tc>
          <w:tcPr>
            <w:tcW w:w="4675" w:type="dxa"/>
          </w:tcPr>
          <w:p w:rsidR="00BC2CE7" w:rsidRPr="00BC2CE7" w:rsidRDefault="00BC2CE7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Between 0 and 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0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Greater than 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BC2CE7" w:rsidRDefault="00BC2CE7" w:rsidP="00FB6500">
      <w:pPr>
        <w:jc w:val="center"/>
        <w:rPr>
          <w:sz w:val="28"/>
        </w:rPr>
      </w:pPr>
    </w:p>
    <w:p w:rsidR="00BC2CE7" w:rsidRDefault="00BE4BA4" w:rsidP="00622FB9">
      <w:pPr>
        <w:ind w:left="3600" w:firstLine="720"/>
        <w:rPr>
          <w:sz w:val="28"/>
        </w:rPr>
      </w:pPr>
      <w:r>
        <w:rPr>
          <w:sz w:val="28"/>
        </w:rPr>
        <w:t>h</w:t>
      </w:r>
      <w:r w:rsidR="00BC2CE7">
        <w:rPr>
          <w:sz w:val="28"/>
        </w:rPr>
        <w:t>our</w:t>
      </w:r>
      <w:r w:rsidR="00BC2CE7">
        <w:rPr>
          <w:sz w:val="28"/>
        </w:rPr>
        <w:t>()</w:t>
      </w:r>
    </w:p>
    <w:p w:rsidR="00BC2CE7" w:rsidRPr="004F5B54" w:rsidRDefault="00BC2CE7" w:rsidP="00BC2CE7">
      <w:pPr>
        <w:jc w:val="center"/>
        <w:rPr>
          <w:sz w:val="28"/>
        </w:rPr>
      </w:pPr>
      <w:r>
        <w:rPr>
          <w:sz w:val="28"/>
        </w:rPr>
        <w:t xml:space="preserve">Gets or sets the </w:t>
      </w:r>
      <w:r>
        <w:rPr>
          <w:sz w:val="28"/>
        </w:rPr>
        <w:t>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CE7" w:rsidTr="00131432">
        <w:tc>
          <w:tcPr>
            <w:tcW w:w="4675" w:type="dxa"/>
          </w:tcPr>
          <w:p w:rsidR="00BC2CE7" w:rsidRPr="00BC2CE7" w:rsidRDefault="00BC2CE7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4675" w:type="dxa"/>
          </w:tcPr>
          <w:p w:rsidR="00BC2CE7" w:rsidRPr="00BC2CE7" w:rsidRDefault="00BC2CE7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0 and</w:t>
            </w:r>
            <w:r>
              <w:rPr>
                <w:sz w:val="24"/>
                <w:szCs w:val="24"/>
              </w:rPr>
              <w:t xml:space="preserve"> 23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0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23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BC2CE7" w:rsidRDefault="00BC2CE7" w:rsidP="00FB6500">
      <w:pPr>
        <w:jc w:val="center"/>
        <w:rPr>
          <w:sz w:val="28"/>
        </w:rPr>
      </w:pPr>
    </w:p>
    <w:p w:rsidR="00BC2CE7" w:rsidRDefault="00BE4BA4" w:rsidP="00BC2CE7">
      <w:pPr>
        <w:jc w:val="center"/>
        <w:rPr>
          <w:sz w:val="28"/>
        </w:rPr>
      </w:pPr>
      <w:r>
        <w:rPr>
          <w:sz w:val="28"/>
        </w:rPr>
        <w:t>d</w:t>
      </w:r>
      <w:r w:rsidR="00BC2CE7">
        <w:rPr>
          <w:sz w:val="28"/>
        </w:rPr>
        <w:t>ate</w:t>
      </w:r>
      <w:r w:rsidR="008D0D49">
        <w:rPr>
          <w:sz w:val="28"/>
        </w:rPr>
        <w:t>()</w:t>
      </w:r>
    </w:p>
    <w:p w:rsidR="008D0D49" w:rsidRPr="004F5B54" w:rsidRDefault="008D0D49" w:rsidP="008D0D49">
      <w:pPr>
        <w:jc w:val="center"/>
        <w:rPr>
          <w:sz w:val="28"/>
        </w:rPr>
      </w:pPr>
      <w:r>
        <w:rPr>
          <w:sz w:val="28"/>
        </w:rPr>
        <w:t xml:space="preserve">Gets or sets the </w:t>
      </w:r>
      <w:r>
        <w:rPr>
          <w:sz w:val="28"/>
        </w:rPr>
        <w:t>day of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CE7" w:rsidTr="00131432">
        <w:tc>
          <w:tcPr>
            <w:tcW w:w="4675" w:type="dxa"/>
          </w:tcPr>
          <w:p w:rsidR="00BC2CE7" w:rsidRPr="00BC2CE7" w:rsidRDefault="00BC2CE7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4675" w:type="dxa"/>
          </w:tcPr>
          <w:p w:rsidR="00BC2CE7" w:rsidRPr="00BC2CE7" w:rsidRDefault="00BC2CE7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BC2CE7" w:rsidTr="00131432"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BC2CE7" w:rsidTr="00131432">
        <w:tc>
          <w:tcPr>
            <w:tcW w:w="4675" w:type="dxa"/>
          </w:tcPr>
          <w:p w:rsidR="00BC2CE7" w:rsidRPr="00243271" w:rsidRDefault="00BE3E73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1 and (# days in current month)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C2CE7" w:rsidTr="00131432">
        <w:tc>
          <w:tcPr>
            <w:tcW w:w="4675" w:type="dxa"/>
          </w:tcPr>
          <w:p w:rsidR="00BC2CE7" w:rsidRPr="00243271" w:rsidRDefault="00381321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C2CE7" w:rsidTr="00131432">
        <w:tc>
          <w:tcPr>
            <w:tcW w:w="4675" w:type="dxa"/>
          </w:tcPr>
          <w:p w:rsidR="00BC2CE7" w:rsidRPr="00243271" w:rsidRDefault="00BE3E73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(# of days in current month)</w:t>
            </w:r>
          </w:p>
        </w:tc>
        <w:tc>
          <w:tcPr>
            <w:tcW w:w="4675" w:type="dxa"/>
          </w:tcPr>
          <w:p w:rsidR="00BC2CE7" w:rsidRPr="00243271" w:rsidRDefault="00BC2CE7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BC2CE7" w:rsidRDefault="00BC2CE7" w:rsidP="00FB6500">
      <w:pPr>
        <w:jc w:val="center"/>
        <w:rPr>
          <w:sz w:val="28"/>
        </w:rPr>
      </w:pPr>
    </w:p>
    <w:p w:rsidR="00BE4BA4" w:rsidRDefault="00BE4BA4" w:rsidP="00BE4BA4">
      <w:pPr>
        <w:jc w:val="center"/>
        <w:rPr>
          <w:sz w:val="28"/>
        </w:rPr>
      </w:pPr>
      <w:r>
        <w:rPr>
          <w:sz w:val="28"/>
        </w:rPr>
        <w:t>day</w:t>
      </w:r>
      <w:r>
        <w:rPr>
          <w:sz w:val="28"/>
        </w:rPr>
        <w:t>()</w:t>
      </w:r>
    </w:p>
    <w:p w:rsidR="00BE4BA4" w:rsidRPr="004F5B54" w:rsidRDefault="00BE4BA4" w:rsidP="00BE4BA4">
      <w:pPr>
        <w:jc w:val="center"/>
        <w:rPr>
          <w:sz w:val="28"/>
        </w:rPr>
      </w:pPr>
      <w:r>
        <w:rPr>
          <w:sz w:val="28"/>
        </w:rPr>
        <w:t xml:space="preserve">Gets or sets the </w:t>
      </w:r>
      <w:r>
        <w:rPr>
          <w:sz w:val="28"/>
        </w:rPr>
        <w:t>day of the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BA4" w:rsidTr="00131432">
        <w:tc>
          <w:tcPr>
            <w:tcW w:w="4675" w:type="dxa"/>
          </w:tcPr>
          <w:p w:rsidR="00BE4BA4" w:rsidRPr="00BC2CE7" w:rsidRDefault="00BE4BA4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4675" w:type="dxa"/>
          </w:tcPr>
          <w:p w:rsidR="00BE4BA4" w:rsidRPr="00BC2CE7" w:rsidRDefault="00BE4BA4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BE4BA4" w:rsidTr="00131432">
        <w:tc>
          <w:tcPr>
            <w:tcW w:w="4675" w:type="dxa"/>
          </w:tcPr>
          <w:p w:rsidR="00BE4BA4" w:rsidRPr="00243271" w:rsidRDefault="00BE4BA4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BE4BA4" w:rsidRPr="00243271" w:rsidRDefault="00BE4BA4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BE4BA4" w:rsidTr="00131432">
        <w:tc>
          <w:tcPr>
            <w:tcW w:w="4675" w:type="dxa"/>
          </w:tcPr>
          <w:p w:rsidR="00BE4BA4" w:rsidRPr="00243271" w:rsidRDefault="00BE4BA4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Between 0 and </w:t>
            </w:r>
            <w:r w:rsidR="00622FB9">
              <w:rPr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:rsidR="00BE4BA4" w:rsidRPr="00243271" w:rsidRDefault="00BE4BA4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E4BA4" w:rsidTr="00131432">
        <w:tc>
          <w:tcPr>
            <w:tcW w:w="4675" w:type="dxa"/>
          </w:tcPr>
          <w:p w:rsidR="00BE4BA4" w:rsidRPr="00243271" w:rsidRDefault="00BE4BA4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0</w:t>
            </w:r>
          </w:p>
        </w:tc>
        <w:tc>
          <w:tcPr>
            <w:tcW w:w="4675" w:type="dxa"/>
          </w:tcPr>
          <w:p w:rsidR="00BE4BA4" w:rsidRPr="00243271" w:rsidRDefault="00BE4BA4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E4BA4" w:rsidTr="00131432">
        <w:tc>
          <w:tcPr>
            <w:tcW w:w="4675" w:type="dxa"/>
          </w:tcPr>
          <w:p w:rsidR="00BE4BA4" w:rsidRPr="00243271" w:rsidRDefault="00622FB9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6</w:t>
            </w:r>
          </w:p>
        </w:tc>
        <w:tc>
          <w:tcPr>
            <w:tcW w:w="4675" w:type="dxa"/>
          </w:tcPr>
          <w:p w:rsidR="00BE4BA4" w:rsidRPr="00243271" w:rsidRDefault="00BE4BA4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E4BA4" w:rsidTr="00131432">
        <w:tc>
          <w:tcPr>
            <w:tcW w:w="4675" w:type="dxa"/>
          </w:tcPr>
          <w:p w:rsidR="00BE4BA4" w:rsidRPr="00243271" w:rsidRDefault="00622FB9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String (ex. “Tuesday”)</w:t>
            </w:r>
          </w:p>
        </w:tc>
        <w:tc>
          <w:tcPr>
            <w:tcW w:w="4675" w:type="dxa"/>
          </w:tcPr>
          <w:p w:rsidR="00BE4BA4" w:rsidRPr="00243271" w:rsidRDefault="00BE4BA4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622FB9" w:rsidTr="00131432">
        <w:tc>
          <w:tcPr>
            <w:tcW w:w="4675" w:type="dxa"/>
          </w:tcPr>
          <w:p w:rsidR="00622FB9" w:rsidRDefault="00622FB9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</w:t>
            </w:r>
            <w:r w:rsidR="00155E24">
              <w:rPr>
                <w:sz w:val="24"/>
                <w:szCs w:val="24"/>
              </w:rPr>
              <w:t xml:space="preserve"> String (ex. “Tue”)</w:t>
            </w:r>
          </w:p>
        </w:tc>
        <w:tc>
          <w:tcPr>
            <w:tcW w:w="4675" w:type="dxa"/>
          </w:tcPr>
          <w:p w:rsidR="00622FB9" w:rsidRPr="00243271" w:rsidRDefault="00622FB9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BE4BA4" w:rsidRDefault="00BE4BA4" w:rsidP="00FB6500">
      <w:pPr>
        <w:jc w:val="center"/>
        <w:rPr>
          <w:sz w:val="28"/>
        </w:rPr>
      </w:pPr>
    </w:p>
    <w:p w:rsidR="00446570" w:rsidRDefault="00446570" w:rsidP="00446570">
      <w:pPr>
        <w:jc w:val="center"/>
        <w:rPr>
          <w:sz w:val="28"/>
        </w:rPr>
      </w:pPr>
      <w:r>
        <w:rPr>
          <w:sz w:val="28"/>
        </w:rPr>
        <w:t>dayOfYear()</w:t>
      </w:r>
    </w:p>
    <w:p w:rsidR="00446570" w:rsidRPr="004F5B54" w:rsidRDefault="00446570" w:rsidP="00446570">
      <w:pPr>
        <w:jc w:val="center"/>
        <w:rPr>
          <w:sz w:val="28"/>
        </w:rPr>
      </w:pPr>
      <w:r>
        <w:rPr>
          <w:sz w:val="28"/>
        </w:rPr>
        <w:t xml:space="preserve">Gets or sets the </w:t>
      </w:r>
      <w:r>
        <w:rPr>
          <w:sz w:val="28"/>
        </w:rPr>
        <w:t xml:space="preserve">day of </w:t>
      </w:r>
      <w:r w:rsidR="00B62E56">
        <w:rPr>
          <w:sz w:val="28"/>
        </w:rPr>
        <w:t xml:space="preserve">the </w:t>
      </w:r>
      <w:r>
        <w:rPr>
          <w:sz w:val="28"/>
        </w:rPr>
        <w:t>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6570" w:rsidTr="00131432">
        <w:tc>
          <w:tcPr>
            <w:tcW w:w="4675" w:type="dxa"/>
          </w:tcPr>
          <w:p w:rsidR="00446570" w:rsidRPr="00BC2CE7" w:rsidRDefault="00446570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lastRenderedPageBreak/>
              <w:t>Valid Equivalence Classes</w:t>
            </w:r>
          </w:p>
        </w:tc>
        <w:tc>
          <w:tcPr>
            <w:tcW w:w="4675" w:type="dxa"/>
          </w:tcPr>
          <w:p w:rsidR="00446570" w:rsidRPr="00BC2CE7" w:rsidRDefault="00446570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446570" w:rsidTr="00131432">
        <w:tc>
          <w:tcPr>
            <w:tcW w:w="4675" w:type="dxa"/>
          </w:tcPr>
          <w:p w:rsidR="00446570" w:rsidRPr="00243271" w:rsidRDefault="00446570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446570" w:rsidRPr="00243271" w:rsidRDefault="00446570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446570" w:rsidTr="00131432">
        <w:tc>
          <w:tcPr>
            <w:tcW w:w="4675" w:type="dxa"/>
          </w:tcPr>
          <w:p w:rsidR="00446570" w:rsidRPr="00243271" w:rsidRDefault="00446570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1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(# of days in current year)</w:t>
            </w:r>
          </w:p>
        </w:tc>
        <w:tc>
          <w:tcPr>
            <w:tcW w:w="4675" w:type="dxa"/>
          </w:tcPr>
          <w:p w:rsidR="00446570" w:rsidRPr="00243271" w:rsidRDefault="00446570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446570" w:rsidTr="00131432">
        <w:tc>
          <w:tcPr>
            <w:tcW w:w="4675" w:type="dxa"/>
          </w:tcPr>
          <w:p w:rsidR="00446570" w:rsidRPr="00243271" w:rsidRDefault="00446570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0</w:t>
            </w:r>
          </w:p>
        </w:tc>
        <w:tc>
          <w:tcPr>
            <w:tcW w:w="4675" w:type="dxa"/>
          </w:tcPr>
          <w:p w:rsidR="00446570" w:rsidRPr="00243271" w:rsidRDefault="00446570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446570" w:rsidTr="00131432">
        <w:tc>
          <w:tcPr>
            <w:tcW w:w="4675" w:type="dxa"/>
          </w:tcPr>
          <w:p w:rsidR="00446570" w:rsidRPr="00243271" w:rsidRDefault="00446570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Greater than </w:t>
            </w:r>
            <w:r w:rsidR="009514D8">
              <w:rPr>
                <w:sz w:val="24"/>
                <w:szCs w:val="24"/>
              </w:rPr>
              <w:t>(# of days in current year)</w:t>
            </w:r>
          </w:p>
        </w:tc>
        <w:tc>
          <w:tcPr>
            <w:tcW w:w="4675" w:type="dxa"/>
          </w:tcPr>
          <w:p w:rsidR="00446570" w:rsidRPr="00243271" w:rsidRDefault="00446570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446570" w:rsidRDefault="00446570" w:rsidP="00FB6500">
      <w:pPr>
        <w:jc w:val="center"/>
        <w:rPr>
          <w:sz w:val="28"/>
        </w:rPr>
      </w:pPr>
    </w:p>
    <w:p w:rsidR="00B62E56" w:rsidRDefault="00B62E56" w:rsidP="00B62E56">
      <w:pPr>
        <w:jc w:val="center"/>
        <w:rPr>
          <w:sz w:val="28"/>
        </w:rPr>
      </w:pPr>
      <w:r>
        <w:rPr>
          <w:sz w:val="28"/>
        </w:rPr>
        <w:t>week</w:t>
      </w:r>
      <w:r>
        <w:rPr>
          <w:sz w:val="28"/>
        </w:rPr>
        <w:t>()</w:t>
      </w:r>
    </w:p>
    <w:p w:rsidR="00B62E56" w:rsidRPr="004F5B54" w:rsidRDefault="00B62E56" w:rsidP="00B62E56">
      <w:pPr>
        <w:jc w:val="center"/>
        <w:rPr>
          <w:sz w:val="28"/>
        </w:rPr>
      </w:pPr>
      <w:r>
        <w:rPr>
          <w:sz w:val="28"/>
        </w:rPr>
        <w:t xml:space="preserve">Gets or sets the </w:t>
      </w:r>
      <w:r>
        <w:rPr>
          <w:sz w:val="28"/>
        </w:rPr>
        <w:t>week</w:t>
      </w:r>
      <w:r>
        <w:rPr>
          <w:sz w:val="28"/>
        </w:rPr>
        <w:t xml:space="preserve"> of</w:t>
      </w:r>
      <w:r>
        <w:rPr>
          <w:sz w:val="28"/>
        </w:rPr>
        <w:t xml:space="preserve"> the</w:t>
      </w:r>
      <w:r>
        <w:rPr>
          <w:sz w:val="28"/>
        </w:rPr>
        <w:t xml:space="preserve">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E56" w:rsidTr="00131432">
        <w:tc>
          <w:tcPr>
            <w:tcW w:w="4675" w:type="dxa"/>
          </w:tcPr>
          <w:p w:rsidR="00B62E56" w:rsidRPr="00BC2CE7" w:rsidRDefault="00B62E56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4675" w:type="dxa"/>
          </w:tcPr>
          <w:p w:rsidR="00B62E56" w:rsidRPr="00BC2CE7" w:rsidRDefault="00B62E56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B62E56" w:rsidTr="00131432">
        <w:tc>
          <w:tcPr>
            <w:tcW w:w="4675" w:type="dxa"/>
          </w:tcPr>
          <w:p w:rsidR="00B62E56" w:rsidRPr="00243271" w:rsidRDefault="00B62E56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B62E56" w:rsidRPr="00243271" w:rsidRDefault="00B62E56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B62E56" w:rsidTr="00131432">
        <w:tc>
          <w:tcPr>
            <w:tcW w:w="4675" w:type="dxa"/>
          </w:tcPr>
          <w:p w:rsidR="00B62E56" w:rsidRPr="00243271" w:rsidRDefault="00B62E56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0 and 51</w:t>
            </w:r>
          </w:p>
        </w:tc>
        <w:tc>
          <w:tcPr>
            <w:tcW w:w="4675" w:type="dxa"/>
          </w:tcPr>
          <w:p w:rsidR="00B62E56" w:rsidRPr="00243271" w:rsidRDefault="00B62E56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62E56" w:rsidTr="00131432">
        <w:tc>
          <w:tcPr>
            <w:tcW w:w="4675" w:type="dxa"/>
          </w:tcPr>
          <w:p w:rsidR="00B62E56" w:rsidRPr="00243271" w:rsidRDefault="00B62E56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0</w:t>
            </w:r>
          </w:p>
        </w:tc>
        <w:tc>
          <w:tcPr>
            <w:tcW w:w="4675" w:type="dxa"/>
          </w:tcPr>
          <w:p w:rsidR="00B62E56" w:rsidRPr="00243271" w:rsidRDefault="00B62E56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B62E56" w:rsidTr="00131432">
        <w:tc>
          <w:tcPr>
            <w:tcW w:w="4675" w:type="dxa"/>
          </w:tcPr>
          <w:p w:rsidR="00B62E56" w:rsidRPr="00243271" w:rsidRDefault="00B62E56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Greater than </w:t>
            </w:r>
            <w:r>
              <w:rPr>
                <w:sz w:val="24"/>
                <w:szCs w:val="24"/>
              </w:rPr>
              <w:t>51</w:t>
            </w:r>
          </w:p>
        </w:tc>
        <w:tc>
          <w:tcPr>
            <w:tcW w:w="4675" w:type="dxa"/>
          </w:tcPr>
          <w:p w:rsidR="00B62E56" w:rsidRPr="00243271" w:rsidRDefault="00B62E56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B62E56" w:rsidRDefault="00B62E56" w:rsidP="00FB6500">
      <w:pPr>
        <w:jc w:val="center"/>
        <w:rPr>
          <w:sz w:val="28"/>
        </w:rPr>
      </w:pPr>
    </w:p>
    <w:p w:rsidR="00521FB5" w:rsidRDefault="00521FB5" w:rsidP="00521FB5">
      <w:pPr>
        <w:jc w:val="center"/>
        <w:rPr>
          <w:sz w:val="28"/>
        </w:rPr>
      </w:pPr>
      <w:r>
        <w:rPr>
          <w:sz w:val="28"/>
        </w:rPr>
        <w:t>month</w:t>
      </w:r>
      <w:r>
        <w:rPr>
          <w:sz w:val="28"/>
        </w:rPr>
        <w:t>()</w:t>
      </w:r>
    </w:p>
    <w:p w:rsidR="00521FB5" w:rsidRPr="004F5B54" w:rsidRDefault="00521FB5" w:rsidP="00521FB5">
      <w:pPr>
        <w:jc w:val="center"/>
        <w:rPr>
          <w:sz w:val="28"/>
        </w:rPr>
      </w:pPr>
      <w:r>
        <w:rPr>
          <w:sz w:val="28"/>
        </w:rPr>
        <w:t xml:space="preserve">Gets or sets the </w:t>
      </w:r>
      <w:r>
        <w:rPr>
          <w:sz w:val="28"/>
        </w:rPr>
        <w:t>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FB5" w:rsidTr="00131432">
        <w:tc>
          <w:tcPr>
            <w:tcW w:w="4675" w:type="dxa"/>
          </w:tcPr>
          <w:p w:rsidR="00521FB5" w:rsidRPr="00BC2CE7" w:rsidRDefault="00521FB5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4675" w:type="dxa"/>
          </w:tcPr>
          <w:p w:rsidR="00521FB5" w:rsidRPr="00BC2CE7" w:rsidRDefault="00521FB5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521FB5" w:rsidTr="00131432"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521FB5" w:rsidTr="00131432"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Between 0 and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521FB5" w:rsidTr="00131432"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0</w:t>
            </w:r>
          </w:p>
        </w:tc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521FB5" w:rsidTr="00131432"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11</w:t>
            </w:r>
          </w:p>
        </w:tc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521FB5" w:rsidTr="00131432"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String (ex. “</w:t>
            </w:r>
            <w:r>
              <w:rPr>
                <w:sz w:val="24"/>
                <w:szCs w:val="24"/>
              </w:rPr>
              <w:t>November</w:t>
            </w:r>
            <w:r>
              <w:rPr>
                <w:sz w:val="24"/>
                <w:szCs w:val="24"/>
              </w:rPr>
              <w:t>”)</w:t>
            </w:r>
          </w:p>
        </w:tc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521FB5" w:rsidTr="00131432">
        <w:tc>
          <w:tcPr>
            <w:tcW w:w="4675" w:type="dxa"/>
          </w:tcPr>
          <w:p w:rsidR="00521FB5" w:rsidRDefault="00521FB5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 String (ex. “</w:t>
            </w:r>
            <w:r>
              <w:rPr>
                <w:sz w:val="24"/>
                <w:szCs w:val="24"/>
              </w:rPr>
              <w:t>Nov</w:t>
            </w:r>
            <w:r>
              <w:rPr>
                <w:sz w:val="24"/>
                <w:szCs w:val="24"/>
              </w:rPr>
              <w:t>”)</w:t>
            </w:r>
          </w:p>
        </w:tc>
        <w:tc>
          <w:tcPr>
            <w:tcW w:w="4675" w:type="dxa"/>
          </w:tcPr>
          <w:p w:rsidR="00521FB5" w:rsidRPr="00243271" w:rsidRDefault="00521FB5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521FB5" w:rsidRDefault="00521FB5" w:rsidP="00FB6500">
      <w:pPr>
        <w:jc w:val="center"/>
        <w:rPr>
          <w:sz w:val="28"/>
        </w:rPr>
      </w:pPr>
    </w:p>
    <w:p w:rsidR="000379AD" w:rsidRDefault="000379AD" w:rsidP="000379AD">
      <w:pPr>
        <w:jc w:val="center"/>
        <w:rPr>
          <w:sz w:val="28"/>
        </w:rPr>
      </w:pPr>
      <w:r>
        <w:rPr>
          <w:sz w:val="28"/>
        </w:rPr>
        <w:t>quarter</w:t>
      </w:r>
      <w:r>
        <w:rPr>
          <w:sz w:val="28"/>
        </w:rPr>
        <w:t>()</w:t>
      </w:r>
    </w:p>
    <w:p w:rsidR="000379AD" w:rsidRPr="004F5B54" w:rsidRDefault="000379AD" w:rsidP="000379AD">
      <w:pPr>
        <w:jc w:val="center"/>
        <w:rPr>
          <w:sz w:val="28"/>
        </w:rPr>
      </w:pPr>
      <w:r>
        <w:rPr>
          <w:sz w:val="28"/>
        </w:rPr>
        <w:t>Gets or sets the</w:t>
      </w:r>
      <w:r>
        <w:rPr>
          <w:sz w:val="28"/>
        </w:rPr>
        <w:t xml:space="preserve"> current</w:t>
      </w:r>
      <w:r>
        <w:rPr>
          <w:sz w:val="28"/>
        </w:rPr>
        <w:t xml:space="preserve"> </w:t>
      </w:r>
      <w:r>
        <w:rPr>
          <w:sz w:val="28"/>
        </w:rPr>
        <w:t>quarter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9AD" w:rsidTr="00131432">
        <w:tc>
          <w:tcPr>
            <w:tcW w:w="4675" w:type="dxa"/>
          </w:tcPr>
          <w:p w:rsidR="000379AD" w:rsidRPr="00BC2CE7" w:rsidRDefault="000379AD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4675" w:type="dxa"/>
          </w:tcPr>
          <w:p w:rsidR="000379AD" w:rsidRPr="00BC2CE7" w:rsidRDefault="000379AD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0379AD" w:rsidTr="00131432">
        <w:tc>
          <w:tcPr>
            <w:tcW w:w="4675" w:type="dxa"/>
          </w:tcPr>
          <w:p w:rsidR="000379AD" w:rsidRPr="00243271" w:rsidRDefault="000379AD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0379AD" w:rsidRPr="00243271" w:rsidRDefault="000379AD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0379AD" w:rsidTr="00131432">
        <w:tc>
          <w:tcPr>
            <w:tcW w:w="4675" w:type="dxa"/>
          </w:tcPr>
          <w:p w:rsidR="000379AD" w:rsidRPr="00243271" w:rsidRDefault="00F001A6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1</w:t>
            </w:r>
            <w:r w:rsidR="000379AD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4675" w:type="dxa"/>
          </w:tcPr>
          <w:p w:rsidR="000379AD" w:rsidRPr="00243271" w:rsidRDefault="000379AD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0379AD" w:rsidTr="00131432">
        <w:tc>
          <w:tcPr>
            <w:tcW w:w="4675" w:type="dxa"/>
          </w:tcPr>
          <w:p w:rsidR="000379AD" w:rsidRPr="00243271" w:rsidRDefault="00F001A6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</w:t>
            </w:r>
          </w:p>
        </w:tc>
        <w:tc>
          <w:tcPr>
            <w:tcW w:w="4675" w:type="dxa"/>
          </w:tcPr>
          <w:p w:rsidR="000379AD" w:rsidRPr="00243271" w:rsidRDefault="000379AD" w:rsidP="00131432">
            <w:pPr>
              <w:jc w:val="center"/>
              <w:rPr>
                <w:sz w:val="24"/>
                <w:szCs w:val="24"/>
              </w:rPr>
            </w:pPr>
          </w:p>
        </w:tc>
      </w:tr>
      <w:tr w:rsidR="000379AD" w:rsidTr="00131432">
        <w:tc>
          <w:tcPr>
            <w:tcW w:w="4675" w:type="dxa"/>
          </w:tcPr>
          <w:p w:rsidR="000379AD" w:rsidRPr="00243271" w:rsidRDefault="000379AD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Greater than </w:t>
            </w:r>
            <w:r w:rsidR="00F001A6">
              <w:rPr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0379AD" w:rsidRPr="00243271" w:rsidRDefault="000379AD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4E33" w:rsidRDefault="00EA4E33" w:rsidP="00EA4E33">
      <w:pPr>
        <w:jc w:val="center"/>
        <w:rPr>
          <w:sz w:val="28"/>
        </w:rPr>
      </w:pPr>
    </w:p>
    <w:p w:rsidR="00EA4E33" w:rsidRDefault="00EA4E33" w:rsidP="00EA4E33">
      <w:pPr>
        <w:jc w:val="center"/>
        <w:rPr>
          <w:sz w:val="28"/>
        </w:rPr>
      </w:pPr>
      <w:r>
        <w:rPr>
          <w:sz w:val="28"/>
        </w:rPr>
        <w:t>year</w:t>
      </w:r>
      <w:r>
        <w:rPr>
          <w:sz w:val="28"/>
        </w:rPr>
        <w:t>()</w:t>
      </w:r>
    </w:p>
    <w:p w:rsidR="00EA4E33" w:rsidRPr="004F5B54" w:rsidRDefault="00EA4E33" w:rsidP="00EA4E33">
      <w:pPr>
        <w:jc w:val="center"/>
        <w:rPr>
          <w:sz w:val="28"/>
        </w:rPr>
      </w:pPr>
      <w:r>
        <w:rPr>
          <w:sz w:val="28"/>
        </w:rPr>
        <w:t xml:space="preserve">Gets or sets the current </w:t>
      </w:r>
      <w:r>
        <w:rPr>
          <w:sz w:val="28"/>
        </w:rPr>
        <w:t>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E33" w:rsidTr="00131432">
        <w:tc>
          <w:tcPr>
            <w:tcW w:w="4675" w:type="dxa"/>
          </w:tcPr>
          <w:p w:rsidR="00EA4E33" w:rsidRPr="00BC2CE7" w:rsidRDefault="00EA4E33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lastRenderedPageBreak/>
              <w:t>Valid Equivalence Classes</w:t>
            </w:r>
          </w:p>
        </w:tc>
        <w:tc>
          <w:tcPr>
            <w:tcW w:w="4675" w:type="dxa"/>
          </w:tcPr>
          <w:p w:rsidR="00EA4E33" w:rsidRPr="00BC2CE7" w:rsidRDefault="00EA4E33" w:rsidP="00131432">
            <w:pPr>
              <w:jc w:val="center"/>
              <w:rPr>
                <w:b/>
                <w:sz w:val="24"/>
                <w:szCs w:val="24"/>
              </w:rPr>
            </w:pPr>
            <w:r w:rsidRPr="00BC2CE7">
              <w:rPr>
                <w:b/>
                <w:sz w:val="24"/>
                <w:szCs w:val="24"/>
              </w:rPr>
              <w:t>Invalid Equivalence Classes</w:t>
            </w:r>
          </w:p>
        </w:tc>
      </w:tr>
      <w:tr w:rsidR="00EA4E33" w:rsidTr="00131432">
        <w:tc>
          <w:tcPr>
            <w:tcW w:w="4675" w:type="dxa"/>
          </w:tcPr>
          <w:p w:rsidR="00EA4E33" w:rsidRPr="00243271" w:rsidRDefault="00EA4E33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4675" w:type="dxa"/>
          </w:tcPr>
          <w:p w:rsidR="00EA4E33" w:rsidRPr="00243271" w:rsidRDefault="00EA4E33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Integer or Float Input</w:t>
            </w:r>
          </w:p>
        </w:tc>
      </w:tr>
      <w:tr w:rsidR="00EA4E33" w:rsidTr="00131432">
        <w:tc>
          <w:tcPr>
            <w:tcW w:w="4675" w:type="dxa"/>
          </w:tcPr>
          <w:p w:rsidR="00EA4E33" w:rsidRPr="00243271" w:rsidRDefault="00EA4E33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 -270000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270000</w:t>
            </w:r>
          </w:p>
        </w:tc>
        <w:tc>
          <w:tcPr>
            <w:tcW w:w="4675" w:type="dxa"/>
          </w:tcPr>
          <w:p w:rsidR="00EA4E33" w:rsidRPr="00243271" w:rsidRDefault="00EA4E33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-270000</w:t>
            </w:r>
          </w:p>
        </w:tc>
      </w:tr>
      <w:tr w:rsidR="00EA4E33" w:rsidTr="00131432">
        <w:tc>
          <w:tcPr>
            <w:tcW w:w="4675" w:type="dxa"/>
          </w:tcPr>
          <w:p w:rsidR="00EA4E33" w:rsidRPr="00243271" w:rsidRDefault="00EA4E33" w:rsidP="001314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EA4E33" w:rsidRPr="00243271" w:rsidRDefault="00EA4E33" w:rsidP="00131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270000</w:t>
            </w:r>
          </w:p>
        </w:tc>
      </w:tr>
      <w:tr w:rsidR="00EA4E33" w:rsidTr="00131432">
        <w:tc>
          <w:tcPr>
            <w:tcW w:w="4675" w:type="dxa"/>
          </w:tcPr>
          <w:p w:rsidR="00EA4E33" w:rsidRPr="00243271" w:rsidRDefault="00EA4E33" w:rsidP="001314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EA4E33" w:rsidRPr="00243271" w:rsidRDefault="00EA4E33" w:rsidP="001314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4E33" w:rsidRPr="00FB6500" w:rsidRDefault="00EA4E33" w:rsidP="00FB6500">
      <w:pPr>
        <w:jc w:val="center"/>
        <w:rPr>
          <w:sz w:val="28"/>
        </w:rPr>
      </w:pPr>
    </w:p>
    <w:sectPr w:rsidR="00EA4E33" w:rsidRPr="00FB650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0E0" w:rsidRDefault="006F50E0" w:rsidP="008D0D49">
      <w:pPr>
        <w:spacing w:after="0" w:line="240" w:lineRule="auto"/>
      </w:pPr>
      <w:r>
        <w:separator/>
      </w:r>
    </w:p>
  </w:endnote>
  <w:endnote w:type="continuationSeparator" w:id="0">
    <w:p w:rsidR="006F50E0" w:rsidRDefault="006F50E0" w:rsidP="008D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0E0" w:rsidRDefault="006F50E0" w:rsidP="008D0D49">
      <w:pPr>
        <w:spacing w:after="0" w:line="240" w:lineRule="auto"/>
      </w:pPr>
      <w:r>
        <w:separator/>
      </w:r>
    </w:p>
  </w:footnote>
  <w:footnote w:type="continuationSeparator" w:id="0">
    <w:p w:rsidR="006F50E0" w:rsidRDefault="006F50E0" w:rsidP="008D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D49" w:rsidRDefault="008D0D49">
    <w:pPr>
      <w:pStyle w:val="Header"/>
    </w:pPr>
  </w:p>
  <w:p w:rsidR="008D0D49" w:rsidRDefault="008D0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00"/>
    <w:rsid w:val="00036437"/>
    <w:rsid w:val="000379AD"/>
    <w:rsid w:val="00155E24"/>
    <w:rsid w:val="00243271"/>
    <w:rsid w:val="002A77F2"/>
    <w:rsid w:val="00381321"/>
    <w:rsid w:val="00420491"/>
    <w:rsid w:val="00446570"/>
    <w:rsid w:val="0046338F"/>
    <w:rsid w:val="004F5B54"/>
    <w:rsid w:val="00521FB5"/>
    <w:rsid w:val="005D1620"/>
    <w:rsid w:val="00622FB9"/>
    <w:rsid w:val="00640DF3"/>
    <w:rsid w:val="006F50E0"/>
    <w:rsid w:val="0089018C"/>
    <w:rsid w:val="008D0D49"/>
    <w:rsid w:val="009514D8"/>
    <w:rsid w:val="00B62E56"/>
    <w:rsid w:val="00BC2CE7"/>
    <w:rsid w:val="00BE3E73"/>
    <w:rsid w:val="00BE4BA4"/>
    <w:rsid w:val="00C73177"/>
    <w:rsid w:val="00EA4E33"/>
    <w:rsid w:val="00F001A6"/>
    <w:rsid w:val="00FB418B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841E"/>
  <w15:chartTrackingRefBased/>
  <w15:docId w15:val="{D819E51E-FDA3-40FE-B98D-B9BAE193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D49"/>
  </w:style>
  <w:style w:type="paragraph" w:styleId="Footer">
    <w:name w:val="footer"/>
    <w:basedOn w:val="Normal"/>
    <w:link w:val="FooterChar"/>
    <w:uiPriority w:val="99"/>
    <w:unhideWhenUsed/>
    <w:rsid w:val="008D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20914-4026-4992-8AAC-1265CA0C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15</cp:revision>
  <dcterms:created xsi:type="dcterms:W3CDTF">2017-11-10T00:55:00Z</dcterms:created>
  <dcterms:modified xsi:type="dcterms:W3CDTF">2017-11-10T04:56:00Z</dcterms:modified>
</cp:coreProperties>
</file>