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0"/>
          <w:szCs w:val="40"/>
        </w:rPr>
        <w:t xml:space="preserve">Pronalaženje skrivenog znanja</w:t>
      </w:r>
    </w:p>
    <w:p>
      <w:pPr>
        <w:spacing w:after="60"/>
        <w:jc w:val="center"/>
      </w:pPr>
      <w:r>
        <w:rPr>
          <w:color w:val="4F8C6A"/>
          <w:sz w:val="26"/>
          <w:szCs w:val="26"/>
        </w:rPr>
        <w:t xml:space="preserve">Projektni izveštaj 2025/2026</w:t>
      </w:r>
    </w:p>
    <w:p>
      <w:pPr>
        <w:spacing w:after="300"/>
        <w:jc w:val="center"/>
      </w:pPr>
      <w:r>
        <w:rPr>
          <w:i/>
          <w:iCs/>
          <w:sz w:val="22"/>
          <w:szCs w:val="22"/>
        </w:rPr>
        <w:t xml:space="preserve">Bela tehnika — prikupljanje, analiza, vizuelizacija i mašinsko učenje</w:t>
      </w:r>
    </w:p>
    <w:p>
      <w:pPr>
        <w:pStyle w:val="Heading1"/>
      </w:pPr>
      <w:r>
        <w:t xml:space="preserve">1. Prikupljanje podataka (Zadatak 1)</w:t>
      </w:r>
    </w:p>
    <w:p>
      <w:pPr>
        <w:pStyle w:val="Heading2"/>
      </w:pPr>
      <w:r>
        <w:t xml:space="preserve">Izvori</w:t>
      </w:r>
    </w:p>
    <w:p>
      <w:pPr>
        <w:spacing w:after="120"/>
      </w:pPr>
      <w:r>
        <w:t xml:space="preserve">Podaci su prikupljeni sa tri prodavnice, sa poljem „izvor" koje beleži sajt porekla (isti proizvod se često nudi u više radnji po različitoj ceni):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3360"/>
        <w:gridCol w:w="114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D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Sajt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D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Tehnologija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D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Pristup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D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Zapisa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gigatron.rs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Next.js (SPA)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proizvodi u RSC payload-u (24/zahtev + spec)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~4.400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tehnomanija.rs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Magento (statički HTML)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listing → zahtev po proizvodu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~2.750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market.metalac.com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statički HTML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listing 40/strani → spec strana</w:t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~940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Ukupno (primarna)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  <w:tc>
          <w:tcPr>
            <w:tcW w:type="dxa" w:w="1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8.065</w:t>
            </w:r>
          </w:p>
        </w:tc>
      </w:tr>
    </w:tbl>
    <w:p>
      <w:r>
        <w:t xml:space="preserve"/>
      </w:r>
    </w:p>
    <w:p>
      <w:pPr>
        <w:spacing w:after="120"/>
      </w:pPr>
      <w:r>
        <w:t xml:space="preserve">Po proizvodu se beleži: naziv, brend, kategorija, izvor, cena, cena pre akcije, dostupnost na lageru, energetska klasa, dijagonala, kapacitet, zapremina, snaga i sve sirove karakteristike (JSONB). Nedostupna polja ostaju NULL (u skladu sa postavkom).</w:t>
      </w:r>
    </w:p>
    <w:p>
      <w:pPr>
        <w:pStyle w:val="Heading2"/>
      </w:pPr>
      <w:r>
        <w:t xml:space="preserve">Arhitektura indeksera</w:t>
      </w:r>
    </w:p>
    <w:p>
      <w:pPr>
        <w:spacing w:after="120"/>
      </w:pPr>
      <w:r>
        <w:t xml:space="preserve">Svaki izvor je modul sa jedinstvenim interfejsom run(upsert_fn, log, stop_event). Orchestrator (kod/01_crawler/scrape.py) pokreće sve izvore paralelno (jedan thread po sajtu) — pošto su to različiti serveri, ne povećava se opterećenje ni jednom sajtu, a ukupno vreme ≈ najsporiji izvor. Upis je UPSERT (ON CONFLICT po url), pa ponovno pokretanje ne pravi duplikate.</w:t>
      </w:r>
    </w:p>
    <w:p>
      <w:pPr>
        <w:pStyle w:val="Heading2"/>
      </w:pPr>
      <w:r>
        <w:t xml:space="preserve">Poteškoće i rešenja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Cloudflare (HTTP 403) na tehnomaniji → curl_cffi sa Chrome TLS otiskom + retry sa eksponencijalnim backoff-om.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JS-renderovani sajtovi → podaci se izvlače iz ugrađenog Next.js RSC payload-a (gigatron) umesto headless browsera — brže i stabilnije.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Korektno ponašanje: throttling 0.2–3.5s između zahteva, rotacija User-Agent zaglavlja, ograničen broj radnika (izbegavanje DoS-a).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Zaglavljivanje: watchdog prekida izvor bez napretka 240s + per-strana timeout 180s.</w:t>
      </w:r>
    </w:p>
    <w:p>
      <w:pPr>
        <w:pStyle w:val="Heading1"/>
        <w:pageBreakBefore/>
      </w:pPr>
      <w:r>
        <w:t xml:space="preserve">2. Analiza i preprocesiranje (Zadatak 2)</w:t>
      </w:r>
    </w:p>
    <w:p>
      <w:pPr>
        <w:pStyle w:val="Heading2"/>
      </w:pPr>
      <w:r>
        <w:t xml:space="preserve">Čišćenje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Odbacivanje zapisa bez obaveznih polja (naziv, brend, kategorija, cena) i cena ≤ 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Deduplikacija po URL-u.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Normalizacija brenda (velika slova) — spaja varijante iz različitih izvora (Vox/VOX, Gorenje/GORENJE).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Uklanjanje ekstremnih cena Tukey IQR pravilom.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Kodifikacija energetske klase u broj (G=1 … A+++=10).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Rezultat: 8.065 → 7.356 zapisa (odbačeno 709, 8,8%) — iznad praga od 7.000.</w:t>
      </w:r>
    </w:p>
    <w:p>
      <w:pPr>
        <w:pStyle w:val="Heading2"/>
      </w:pPr>
      <w:r>
        <w:t xml:space="preserve">Rezultati upita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D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Upit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D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Rezultat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Top kategorije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usisivač 975, frižider 814, veš mašina 708, ugradna rerna 685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Top brendovi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GORENJE 857, VOX 800, BOSCH 565, BEKO 557, CANDY 408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Energetska klasa C ili bolja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1.508 proizvoda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Cena ≤ 50.000 RSD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5.758 proizvoda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Raspon cena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min 1.039 / prosek 32.926 / max 120.999 RSD</w:t>
            </w:r>
          </w:p>
        </w:tc>
      </w:tr>
    </w:tbl>
    <w:p>
      <w:r>
        <w:t xml:space="preserve"/>
      </w:r>
    </w:p>
    <w:p>
      <w:pPr>
        <w:spacing w:after="160"/>
        <w:jc w:val="center"/>
      </w:pPr>
      <w:r>
        <w:drawing>
          <wp:inline distT="0" distB="0" distL="0" distR="0">
            <wp:extent cx="4095750" cy="2562225"/>
            <wp:effectExtent t="0" r="0" b="0" l="0"/>
            <wp:docPr id="1" name="kategorije_broj.png" descr="kategorije_broj.png" title="kategorije_bro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distT="0" distB="0" distL="0" distR="0">
            <wp:extent cx="4095750" cy="2562225"/>
            <wp:effectExtent t="0" r="0" b="0" l="0"/>
            <wp:docPr id="1" name="brendovi_broj.png" descr="brendovi_broj.png" title="brendovi_bro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3. Vizuelizacija (Zadatak 3)</w:t>
      </w:r>
    </w:p>
    <w:p>
      <w:pPr>
        <w:spacing w:after="120"/>
      </w:pPr>
      <w:r>
        <w:t xml:space="preserve">Grafici (PNG sa naslovima) generisani iz prečišćene baze:</w:t>
      </w:r>
    </w:p>
    <w:p>
      <w:pPr>
        <w:spacing w:after="160"/>
        <w:jc w:val="center"/>
      </w:pPr>
      <w:r>
        <w:drawing>
          <wp:inline distT="0" distB="0" distL="0" distR="0">
            <wp:extent cx="3429000" cy="3429000"/>
            <wp:effectExtent t="0" r="0" b="0" l="0"/>
            <wp:docPr id="1" name="cenovni_opsezi_procenat.png" descr="cenovni_opsezi_procenat.png" title="cenovni_opsezi_procen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Raspodela po cenovnim opsezima: ≤30k — 3.909, 30–100k — 3.271, 100–300k — 176.</w:t>
      </w:r>
    </w:p>
    <w:p>
      <w:pPr>
        <w:spacing w:after="160"/>
        <w:jc w:val="center"/>
      </w:pPr>
      <w:r>
        <w:drawing>
          <wp:inline distT="0" distB="0" distL="0" distR="0">
            <wp:extent cx="4095750" cy="2562225"/>
            <wp:effectExtent t="0" r="0" b="0" l="0"/>
            <wp:docPr id="1" name="energetska_klasa_broj.png" descr="energetska_klasa_broj.png" title="energetska_klasa_bro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Dodatno: scatter cena–zapremina, cena–dijagonala i box-plot cena po kategoriji (u izvestaj/grafici/).</w:t>
      </w:r>
    </w:p>
    <w:p>
      <w:pPr>
        <w:pStyle w:val="Heading1"/>
        <w:pageBreakBefore/>
      </w:pPr>
      <w:r>
        <w:t xml:space="preserve">4. Regresija (Zadatak 4)</w:t>
      </w:r>
    </w:p>
    <w:p>
      <w:pPr>
        <w:spacing w:after="120"/>
      </w:pPr>
      <w:r>
        <w:t xml:space="preserve">Višestruka linearna regresija, ručna implementacija gradijentnog spusta (funkcija troška, korak GD-a i predikcija samostalno kodirani; sklearn samo za verifikaciju).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D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Stavka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D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Vrednost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Atributi (feature)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256 (kategorija+brend one-hot, energ. klasa, dijagonala, kapacitet, zapremina, snaga)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Podela train/test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5.884 / 1.472 (80/20)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Parametri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stopa učenja 0.05, 2.000 iteracija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Kriva učenja (MSE)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844M → 167M (konvergira)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R² (test)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0.549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RMSE (test)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17.832 RSD</w:t>
            </w:r>
          </w:p>
        </w:tc>
      </w:tr>
    </w:tbl>
    <w:p>
      <w:r>
        <w:t xml:space="preserve"/>
      </w:r>
    </w:p>
    <w:p>
      <w:pPr>
        <w:spacing w:after="120"/>
      </w:pPr>
      <w:r>
        <w:t xml:space="preserve">Eksperimentisanje: negativan R² na sirovim podacima nije greška GD-a (sklearn closed-form daje isti rezultat), već posledica ekstremnih cena — IQR filtriranje je podiglo R² sa ≈ −0,5 na +0,55.</w:t>
      </w:r>
    </w:p>
    <w:p>
      <w:pPr>
        <w:pStyle w:val="Heading1"/>
        <w:pageBreakBefore/>
      </w:pPr>
      <w:r>
        <w:t xml:space="preserve">5. Klasterovanje (Zadatak 5)</w:t>
      </w:r>
    </w:p>
    <w:p>
      <w:pPr>
        <w:spacing w:after="120"/>
      </w:pPr>
      <w:r>
        <w:t xml:space="preserve">K-means, ručna implementacija (k-means++ inicijalizacija, ručni silhouette). Korisnik kroz GUI bira promenljive, težine (zbir 100%) i K.</w:t>
      </w:r>
    </w:p>
    <w:p>
      <w:pPr>
        <w:spacing w:after="120"/>
      </w:pPr>
      <w:r>
        <w:t xml:space="preserve">Primer: cena (50%) + energetska klasa (30%) + zapremina (20%), K=4, na 1.356 proizvoda. Silhouette = 0,487 (dobra razdvojenost).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2400"/>
        <w:gridCol w:w="4000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D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Klaster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D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Broj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D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Prosečna cena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D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Karakteristika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254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54.306 RSD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slabije energetske klase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344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26.424 RSD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jeftiniji, slabije klase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205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89.548 RSD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premium segment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553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37.156 RSD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bolje energetske klase (7,2/10)</w:t>
            </w:r>
          </w:p>
        </w:tc>
      </w:tr>
    </w:tbl>
    <w:p>
      <w:r>
        <w:t xml:space="preserve"/>
      </w:r>
    </w:p>
    <w:p>
      <w:pPr>
        <w:spacing w:after="120"/>
      </w:pPr>
      <w:r>
        <w:t xml:space="preserve">Klasteri se vizuelizuju u GUI-ju (scatter dve dimenzije, tačke obojene po klasteru + centroidi).</w:t>
      </w:r>
    </w:p>
    <w:p>
      <w:pPr>
        <w:pStyle w:val="Heading1"/>
        <w:pageBreakBefore/>
      </w:pPr>
      <w:r>
        <w:t xml:space="preserve">6. Preporuke (Zadatak 6)</w:t>
      </w:r>
    </w:p>
    <w:p>
      <w:pPr>
        <w:spacing w:after="120"/>
      </w:pPr>
      <w:r>
        <w:t xml:space="preserve">Content-based sistem, ručna implementacija TF-IDF i kosinusne sličnosti. Feature vektor: numerički atributi (standardizovani) + brend (one-hot) + naziv (ručni TF-IDF). Preporučuje Top 5 iz iste kategorije.</w:t>
      </w:r>
    </w:p>
    <w:p>
      <w:pPr>
        <w:pStyle w:val="Heading2"/>
      </w:pPr>
      <w:r>
        <w:t xml:space="preserve">Primer 1 — Beko kombinovani frižider RDSO206K40WN (26.499 RSD)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800"/>
        <w:gridCol w:w="1800"/>
      </w:tblGrid>
      <w:tr>
        <w:trPr>
          <w:tblHeader/>
        </w:trP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D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Preporuka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D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Cena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D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Sličnost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BEKO RDSO206K40WN (gigatron)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22.499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0.999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Beko RDSO206K40WN (metalac)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22.002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0.993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Beko RCSA300K40WN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32.661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0.603</w:t>
            </w:r>
          </w:p>
        </w:tc>
      </w:tr>
    </w:tbl>
    <w:p>
      <w:pPr>
        <w:spacing w:after="120"/>
        <w:rPr>
          <w:i/>
          <w:iCs/>
        </w:rPr>
      </w:pPr>
      <w:r>
        <w:rPr>
          <w:i/>
          <w:iCs/>
        </w:rPr>
        <w:t xml:space="preserve">Top dve preporuke su isti model sa druga dva sajta (22.002–26.499 RSD) — sistem tačno prepoznaje identičan proizvod, a razlika u ceni pokazuje vrednost multi-source pristupa.</w:t>
      </w:r>
    </w:p>
    <w:p>
      <w:pPr>
        <w:pStyle w:val="Heading2"/>
      </w:pPr>
      <w:r>
        <w:t xml:space="preserve">Primer 2 — Candy mašina za pranje veša CO4 1262D3/2-S (24.999 RSD)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800"/>
        <w:gridCol w:w="1800"/>
      </w:tblGrid>
      <w:tr>
        <w:trPr>
          <w:tblHeader/>
        </w:trP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D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Preporuka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D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Cena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D2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Sličnost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Candy CSO286TWM6/1-S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32.391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0.738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Candy CSO4474TWMB6/1-S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31.844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0.730</w:t>
            </w:r>
          </w:p>
        </w:tc>
      </w:tr>
      <w:tr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Candy GD 27SB7-S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27.711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0.728</w:t>
            </w:r>
          </w:p>
        </w:tc>
      </w:tr>
    </w:tbl>
    <w:p>
      <w:r>
        <w:t xml:space="preserve"/>
      </w:r>
    </w:p>
    <w:p>
      <w:pPr>
        <w:spacing w:after="120"/>
      </w:pPr>
      <w:r>
        <w:t xml:space="preserve">Težinsko balansiranje: isti brend i sličan naziv (TF-IDF) najviše utiču na sličnost, dok numerička bliskost cene fino rangira unutar brenda.</w:t>
      </w:r>
    </w:p>
    <w:p>
      <w:pPr>
        <w:pStyle w:val="Heading1"/>
      </w:pPr>
      <w:r>
        <w:t xml:space="preserve">Zaključak</w:t>
      </w:r>
    </w:p>
    <w:p>
      <w:pPr>
        <w:spacing w:after="120"/>
      </w:pPr>
      <w:r>
        <w:t xml:space="preserve">Svi zahtevi postavke su ispunjeni: 8.065 primarnih / 7.356 prečišćenih zapisa u PostgreSQL bazi, sa tri izvora; sva tri ML algoritma ručno implementirana sa zadovoljavajućom evaluacijom (R²=0,55, silhouette=0,49, tačne preporuke); GUI objedinjuje zadatke 4–6; 122 automatska testa pokrivaju parser, čišćenje i ML module.</w:t>
      </w:r>
    </w:p>
    <w:sectPr>
      <w:footerReference w:type="default" r:id="rId7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PSZ Projekat 2025/2026 — strana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D2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color w:val="2E6B4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e75b515dbb3f76075a783e0701116503aad9b5f.png"/><Relationship Id="rId9" Type="http://schemas.openxmlformats.org/officeDocument/2006/relationships/image" Target="media/7b8a2cbed55c090a0564e07ca60506520c6f75cc.png"/><Relationship Id="rId10" Type="http://schemas.openxmlformats.org/officeDocument/2006/relationships/image" Target="media/91473710a1078f0ba350d33bc93798c34b62aa8a.png"/><Relationship Id="rId11" Type="http://schemas.openxmlformats.org/officeDocument/2006/relationships/image" Target="media/01c0b1dc22a7cfa0c41d8042bebd0108e4effbc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2026-06-21T09:44:30.363Z</dcterms:created>
  <dcterms:modified xsi:type="dcterms:W3CDTF">2026-06-21T09:44:30.363Z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