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0"/>
          <w:szCs w:val="40"/>
        </w:rPr>
        <w:t xml:space="preserve">Pronalaženje skrivenog znanja</w:t>
      </w:r>
    </w:p>
    <w:p>
      <w:pPr>
        <w:spacing w:after="60"/>
        <w:jc w:val="center"/>
      </w:pPr>
      <w:r>
        <w:rPr>
          <w:color w:val="4F8C6A"/>
          <w:sz w:val="26"/>
          <w:szCs w:val="26"/>
        </w:rPr>
        <w:t xml:space="preserve">Projektni izveštaj 2025/2026</w:t>
      </w:r>
    </w:p>
    <w:p>
      <w:pPr>
        <w:spacing w:after="300"/>
        <w:jc w:val="center"/>
      </w:pPr>
      <w:r>
        <w:rPr>
          <w:i/>
          <w:iCs/>
          <w:sz w:val="22"/>
          <w:szCs w:val="22"/>
        </w:rPr>
        <w:t xml:space="preserve">Bela tehnika — prikupljanje, analiza, vizuelizacija i mašinsko učenje</w:t>
      </w:r>
    </w:p>
    <w:p>
      <w:pPr>
        <w:pStyle w:val="Heading1"/>
      </w:pPr>
      <w:r>
        <w:t xml:space="preserve">1. Prikupljanje podataka (Zadatak 1)</w:t>
      </w:r>
    </w:p>
    <w:p>
      <w:pPr>
        <w:pStyle w:val="Heading2"/>
      </w:pPr>
      <w:r>
        <w:t xml:space="preserve">Izvori</w:t>
      </w:r>
    </w:p>
    <w:p>
      <w:pPr>
        <w:spacing w:after="120"/>
      </w:pPr>
      <w:r>
        <w:t xml:space="preserve">Podaci su prikupljeni sa tri prodavnice, sa poljem „izvor" koje beleži sajt porekla (isti proizvod se često nudi u više radnji po različitoj ceni):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360"/>
        <w:gridCol w:w="1140"/>
      </w:tblGrid>
      <w:tr>
        <w:trPr>
          <w:tblHeader/>
        </w:trPr>
        <w:tc>
          <w:tcPr>
            <w:tcW w:type="dxa" w:w="1900"/>
            <w:tcBorders>
              <w:top w:val="single" w:color="BBBBBB" w:sz="1"/>
              <w:left w:val="single" w:color="BBBBBB" w:sz="1"/>
              <w:bottom w:val="single" w:color="BBBBBB" w:sz="1"/>
              <w:right w:val="single" w:color="BBBBBB" w:sz="1"/>
            </w:tcBorders>
            <w:shd w:fill="1F3D2B" w:val="clear"/>
            <w:tcMar>
              <w:top w:type="dxa" w:w="60"/>
              <w:left w:type="dxa" w:w="110"/>
              <w:bottom w:type="dxa" w:w="60"/>
              <w:right w:type="dxa" w:w="110"/>
            </w:tcMar>
          </w:tcPr>
          <w:p>
            <w:r>
              <w:rPr>
                <w:b/>
                <w:bCs/>
                <w:color w:val="FFFFFF"/>
              </w:rPr>
              <w:t xml:space="preserve">Sajt</w:t>
            </w:r>
          </w:p>
        </w:tc>
        <w:tc>
          <w:tcPr>
            <w:tcW w:type="dxa" w:w="2600"/>
            <w:tcBorders>
              <w:top w:val="single" w:color="BBBBBB" w:sz="1"/>
              <w:left w:val="single" w:color="BBBBBB" w:sz="1"/>
              <w:bottom w:val="single" w:color="BBBBBB" w:sz="1"/>
              <w:right w:val="single" w:color="BBBBBB" w:sz="1"/>
            </w:tcBorders>
            <w:shd w:fill="1F3D2B" w:val="clear"/>
            <w:tcMar>
              <w:top w:type="dxa" w:w="60"/>
              <w:left w:type="dxa" w:w="110"/>
              <w:bottom w:type="dxa" w:w="60"/>
              <w:right w:type="dxa" w:w="110"/>
            </w:tcMar>
          </w:tcPr>
          <w:p>
            <w:r>
              <w:rPr>
                <w:b/>
                <w:bCs/>
                <w:color w:val="FFFFFF"/>
              </w:rPr>
              <w:t xml:space="preserve">Tehnologija</w:t>
            </w:r>
          </w:p>
        </w:tc>
        <w:tc>
          <w:tcPr>
            <w:tcW w:type="dxa" w:w="3360"/>
            <w:tcBorders>
              <w:top w:val="single" w:color="BBBBBB" w:sz="1"/>
              <w:left w:val="single" w:color="BBBBBB" w:sz="1"/>
              <w:bottom w:val="single" w:color="BBBBBB" w:sz="1"/>
              <w:right w:val="single" w:color="BBBBBB" w:sz="1"/>
            </w:tcBorders>
            <w:shd w:fill="1F3D2B" w:val="clear"/>
            <w:tcMar>
              <w:top w:type="dxa" w:w="60"/>
              <w:left w:type="dxa" w:w="110"/>
              <w:bottom w:type="dxa" w:w="60"/>
              <w:right w:type="dxa" w:w="110"/>
            </w:tcMar>
          </w:tcPr>
          <w:p>
            <w:r>
              <w:rPr>
                <w:b/>
                <w:bCs/>
                <w:color w:val="FFFFFF"/>
              </w:rPr>
              <w:t xml:space="preserve">Pristup</w:t>
            </w:r>
          </w:p>
        </w:tc>
        <w:tc>
          <w:tcPr>
            <w:tcW w:type="dxa" w:w="1140"/>
            <w:tcBorders>
              <w:top w:val="single" w:color="BBBBBB" w:sz="1"/>
              <w:left w:val="single" w:color="BBBBBB" w:sz="1"/>
              <w:bottom w:val="single" w:color="BBBBBB" w:sz="1"/>
              <w:right w:val="single" w:color="BBBBBB" w:sz="1"/>
            </w:tcBorders>
            <w:shd w:fill="1F3D2B" w:val="clear"/>
            <w:tcMar>
              <w:top w:type="dxa" w:w="60"/>
              <w:left w:type="dxa" w:w="110"/>
              <w:bottom w:type="dxa" w:w="60"/>
              <w:right w:type="dxa" w:w="110"/>
            </w:tcMar>
          </w:tcPr>
          <w:p>
            <w:r>
              <w:rPr>
                <w:b/>
                <w:bCs/>
                <w:color w:val="FFFFFF"/>
              </w:rPr>
              <w:t xml:space="preserve">Zapisa</w:t>
            </w:r>
          </w:p>
        </w:tc>
      </w:tr>
      <w:t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gigatron.rs</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Next.js (SPA)</w:t>
            </w:r>
          </w:p>
        </w:tc>
        <w:tc>
          <w:tcPr>
            <w:tcW w:type="dxa" w:w="3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proizvodi u RSC payload-u (24/zahtev + spec)</w:t>
            </w:r>
          </w:p>
        </w:tc>
        <w:tc>
          <w:tcPr>
            <w:tcW w:type="dxa" w:w="11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~4.400</w:t>
            </w:r>
          </w:p>
        </w:tc>
      </w:tr>
      <w:t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tehnomanija.rs</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Magento (statički HTML)</w:t>
            </w:r>
          </w:p>
        </w:tc>
        <w:tc>
          <w:tcPr>
            <w:tcW w:type="dxa" w:w="3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listing → zahtev po proizvodu</w:t>
            </w:r>
          </w:p>
        </w:tc>
        <w:tc>
          <w:tcPr>
            <w:tcW w:type="dxa" w:w="11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~2.750</w:t>
            </w:r>
          </w:p>
        </w:tc>
      </w:tr>
      <w:t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market.metalac.com</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statički HTML</w:t>
            </w:r>
          </w:p>
        </w:tc>
        <w:tc>
          <w:tcPr>
            <w:tcW w:type="dxa" w:w="3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listing 40/strani → spec strana</w:t>
            </w:r>
          </w:p>
        </w:tc>
        <w:tc>
          <w:tcPr>
            <w:tcW w:type="dxa" w:w="11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~940</w:t>
            </w:r>
          </w:p>
        </w:tc>
      </w:tr>
      <w:t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Ukupno (primarna)</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
            </w:r>
          </w:p>
        </w:tc>
        <w:tc>
          <w:tcPr>
            <w:tcW w:type="dxa" w:w="3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
            </w:r>
          </w:p>
        </w:tc>
        <w:tc>
          <w:tcPr>
            <w:tcW w:type="dxa" w:w="11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8.065</w:t>
            </w:r>
          </w:p>
        </w:tc>
      </w:tr>
    </w:tbl>
    <w:p>
      <w:r>
        <w:t xml:space="preserve"/>
      </w:r>
    </w:p>
    <w:p>
      <w:pPr>
        <w:spacing w:after="120"/>
      </w:pPr>
      <w:r>
        <w:t xml:space="preserve">Po proizvodu se beleži: naziv, brend, kategorija, izvor, cena, cena pre akcije, dostupnost na lageru, energetska klasa, dijagonala, kapacitet, zapremina, snaga i sve sirove karakteristike (JSONB). Nedostupna polja ostaju NULL (u skladu sa postavkom).</w:t>
      </w:r>
    </w:p>
    <w:p>
      <w:pPr>
        <w:pStyle w:val="Heading2"/>
      </w:pPr>
      <w:r>
        <w:t xml:space="preserve">Arhitektura indeksera</w:t>
      </w:r>
    </w:p>
    <w:p>
      <w:pPr>
        <w:spacing w:after="120"/>
      </w:pPr>
      <w:r>
        <w:t xml:space="preserve">Svaki izvor je modul sa jedinstvenim interfejsom run(upsert_fn, log, stop_event). Orchestrator (kod/01_crawler/scrape.py) pokreće sve izvore paralelno (jedan thread po sajtu) — pošto su to različiti serveri, ne povećava se opterećenje ni jednom sajtu, a ukupno vreme ≈ najsporiji izvor. Upis je UPSERT (ON CONFLICT po url), pa ponovno pokretanje ne pravi duplikate.</w:t>
      </w:r>
    </w:p>
    <w:p>
      <w:pPr>
        <w:pStyle w:val="Heading2"/>
      </w:pPr>
      <w:r>
        <w:t xml:space="preserve">Poteškoće i rešenja</w:t>
      </w:r>
    </w:p>
    <w:p>
      <w:pPr>
        <w:pStyle w:val="ListParagraph"/>
        <w:numPr>
          <w:ilvl w:val="0"/>
          <w:numId w:val="2"/>
        </w:numPr>
        <w:spacing w:after="60"/>
      </w:pPr>
      <w:r>
        <w:t xml:space="preserve">Cloudflare (HTTP 403) na tehnomaniji → curl_cffi sa Chrome TLS otiskom + retry sa eksponencijalnim backoff-om.</w:t>
      </w:r>
    </w:p>
    <w:p>
      <w:pPr>
        <w:pStyle w:val="ListParagraph"/>
        <w:numPr>
          <w:ilvl w:val="0"/>
          <w:numId w:val="2"/>
        </w:numPr>
        <w:spacing w:after="60"/>
      </w:pPr>
      <w:r>
        <w:t xml:space="preserve">JS-renderovani sajtovi → podaci se izvlače iz ugrađenog Next.js RSC payload-a (gigatron) umesto headless browsera — brže i stabilnije.</w:t>
      </w:r>
    </w:p>
    <w:p>
      <w:pPr>
        <w:pStyle w:val="ListParagraph"/>
        <w:numPr>
          <w:ilvl w:val="0"/>
          <w:numId w:val="2"/>
        </w:numPr>
        <w:spacing w:after="60"/>
      </w:pPr>
      <w:r>
        <w:t xml:space="preserve">Korektno ponašanje: throttling 0.2–3.5s između zahteva, rotacija User-Agent zaglavlja, ograničen broj radnika (izbegavanje DoS-a).</w:t>
      </w:r>
    </w:p>
    <w:p>
      <w:pPr>
        <w:pStyle w:val="ListParagraph"/>
        <w:numPr>
          <w:ilvl w:val="0"/>
          <w:numId w:val="2"/>
        </w:numPr>
        <w:spacing w:after="60"/>
      </w:pPr>
      <w:r>
        <w:t xml:space="preserve">Zaglavljivanje: watchdog prekida izvor bez napretka 240s + per-strana timeout 180s.</w:t>
      </w:r>
    </w:p>
    <w:p>
      <w:pPr>
        <w:pStyle w:val="Heading1"/>
        <w:pageBreakBefore/>
      </w:pPr>
      <w:r>
        <w:t xml:space="preserve">2. Analiza i preprocesiranje (Zadatak 2)</w:t>
      </w:r>
    </w:p>
    <w:p>
      <w:pPr>
        <w:pStyle w:val="Heading2"/>
      </w:pPr>
      <w:r>
        <w:t xml:space="preserve">Čišćenje</w:t>
      </w:r>
    </w:p>
    <w:p>
      <w:pPr>
        <w:pStyle w:val="ListParagraph"/>
        <w:numPr>
          <w:ilvl w:val="0"/>
          <w:numId w:val="2"/>
        </w:numPr>
        <w:spacing w:after="60"/>
      </w:pPr>
      <w:r>
        <w:t xml:space="preserve">Odbacivanje zapisa bez obaveznih polja (naziv, brend, kategorija, cena) i cena ≤ 0.</w:t>
      </w:r>
    </w:p>
    <w:p>
      <w:pPr>
        <w:pStyle w:val="ListParagraph"/>
        <w:numPr>
          <w:ilvl w:val="0"/>
          <w:numId w:val="2"/>
        </w:numPr>
        <w:spacing w:after="60"/>
      </w:pPr>
      <w:r>
        <w:t xml:space="preserve">Deduplikacija po URL-u.</w:t>
      </w:r>
    </w:p>
    <w:p>
      <w:pPr>
        <w:pStyle w:val="ListParagraph"/>
        <w:numPr>
          <w:ilvl w:val="0"/>
          <w:numId w:val="2"/>
        </w:numPr>
        <w:spacing w:after="60"/>
      </w:pPr>
      <w:r>
        <w:t xml:space="preserve">Normalizacija brenda (velika slova) — spaja varijante iz različitih izvora (Vox/VOX, Gorenje/GORENJE).</w:t>
      </w:r>
    </w:p>
    <w:p>
      <w:pPr>
        <w:pStyle w:val="ListParagraph"/>
        <w:numPr>
          <w:ilvl w:val="0"/>
          <w:numId w:val="2"/>
        </w:numPr>
        <w:spacing w:after="60"/>
      </w:pPr>
      <w:r>
        <w:t xml:space="preserve">Uklanjanje ekstremnih cena Tukey IQR pravilom.</w:t>
      </w:r>
    </w:p>
    <w:p>
      <w:pPr>
        <w:pStyle w:val="ListParagraph"/>
        <w:numPr>
          <w:ilvl w:val="0"/>
          <w:numId w:val="2"/>
        </w:numPr>
        <w:spacing w:after="60"/>
      </w:pPr>
      <w:r>
        <w:t xml:space="preserve">Kodifikacija energetske klase u broj (G=1 … A+++=10).</w:t>
      </w:r>
    </w:p>
    <w:p>
      <w:pPr>
        <w:spacing w:after="120"/>
        <w:rPr>
          <w:b/>
          <w:bCs/>
        </w:rPr>
      </w:pPr>
      <w:r>
        <w:rPr>
          <w:b/>
          <w:bCs/>
        </w:rPr>
        <w:t xml:space="preserve">Rezultat: 8.065 → 7.356 zapisa (odbačeno 709, 8,8%) — iznad praga od 7.000.</w:t>
      </w:r>
    </w:p>
    <w:p>
      <w:pPr>
        <w:pStyle w:val="Heading2"/>
      </w:pPr>
      <w:r>
        <w:t xml:space="preserve">Rezultati upita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BBBBBB" w:sz="1"/>
              <w:left w:val="single" w:color="BBBBBB" w:sz="1"/>
              <w:bottom w:val="single" w:color="BBBBBB" w:sz="1"/>
              <w:right w:val="single" w:color="BBBBBB" w:sz="1"/>
            </w:tcBorders>
            <w:shd w:fill="1F3D2B" w:val="clear"/>
            <w:tcMar>
              <w:top w:type="dxa" w:w="60"/>
              <w:left w:type="dxa" w:w="110"/>
              <w:bottom w:type="dxa" w:w="60"/>
              <w:right w:type="dxa" w:w="110"/>
            </w:tcMar>
          </w:tcPr>
          <w:p>
            <w:r>
              <w:rPr>
                <w:b/>
                <w:bCs/>
                <w:color w:val="FFFFFF"/>
              </w:rPr>
              <w:t xml:space="preserve">Upit</w:t>
            </w:r>
          </w:p>
        </w:tc>
        <w:tc>
          <w:tcPr>
            <w:tcW w:type="dxa" w:w="6000"/>
            <w:tcBorders>
              <w:top w:val="single" w:color="BBBBBB" w:sz="1"/>
              <w:left w:val="single" w:color="BBBBBB" w:sz="1"/>
              <w:bottom w:val="single" w:color="BBBBBB" w:sz="1"/>
              <w:right w:val="single" w:color="BBBBBB" w:sz="1"/>
            </w:tcBorders>
            <w:shd w:fill="1F3D2B" w:val="clear"/>
            <w:tcMar>
              <w:top w:type="dxa" w:w="60"/>
              <w:left w:type="dxa" w:w="110"/>
              <w:bottom w:type="dxa" w:w="60"/>
              <w:right w:type="dxa" w:w="110"/>
            </w:tcMar>
          </w:tcPr>
          <w:p>
            <w:r>
              <w:rPr>
                <w:b/>
                <w:bCs/>
                <w:color w:val="FFFFFF"/>
              </w:rPr>
              <w:t xml:space="preserve">Rezultat</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Top kategorije</w:t>
            </w:r>
          </w:p>
        </w:tc>
        <w:tc>
          <w:tcPr>
            <w:tcW w:type="dxa" w:w="6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usisivač 975, frižider 814, veš mašina 708, ugradna rerna 685</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Top brendovi</w:t>
            </w:r>
          </w:p>
        </w:tc>
        <w:tc>
          <w:tcPr>
            <w:tcW w:type="dxa" w:w="6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GORENJE 857, VOX 800, BOSCH 565, BEKO 557, CANDY 408</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Energetska klasa C ili bolja</w:t>
            </w:r>
          </w:p>
        </w:tc>
        <w:tc>
          <w:tcPr>
            <w:tcW w:type="dxa" w:w="6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1.508 proizvoda</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Cena ≤ 50.000 RSD</w:t>
            </w:r>
          </w:p>
        </w:tc>
        <w:tc>
          <w:tcPr>
            <w:tcW w:type="dxa" w:w="6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5.758 proizvoda</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Raspon cena</w:t>
            </w:r>
          </w:p>
        </w:tc>
        <w:tc>
          <w:tcPr>
            <w:tcW w:type="dxa" w:w="6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min 1.039 / prosek 32.926 / max 120.992 RSD</w:t>
            </w:r>
          </w:p>
        </w:tc>
      </w:tr>
    </w:tbl>
    <w:p>
      <w:r>
        <w:t xml:space="preserve"/>
      </w:r>
    </w:p>
    <w:p>
      <w:pPr>
        <w:spacing w:after="160"/>
        <w:jc w:val="center"/>
      </w:pPr>
      <w:r>
        <w:drawing>
          <wp:inline distT="0" distB="0" distL="0" distR="0">
            <wp:extent cx="4095750" cy="2562225"/>
            <wp:effectExtent t="0" r="0" b="0" l="0"/>
            <wp:docPr id="1" name="kategorije_broj.png" descr="kategorije_broj.png" title="kategorije_broj.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562225"/>
                    </a:xfrm>
                    <a:prstGeom prst="rect">
                      <a:avLst/>
                    </a:prstGeom>
                  </pic:spPr>
                </pic:pic>
              </a:graphicData>
            </a:graphic>
          </wp:inline>
        </w:drawing>
      </w:r>
    </w:p>
    <w:p>
      <w:pPr>
        <w:spacing w:after="160"/>
        <w:jc w:val="center"/>
      </w:pPr>
      <w:r>
        <w:drawing>
          <wp:inline distT="0" distB="0" distL="0" distR="0">
            <wp:extent cx="4095750" cy="2562225"/>
            <wp:effectExtent t="0" r="0" b="0" l="0"/>
            <wp:docPr id="1" name="brendovi_broj.png" descr="brendovi_broj.png" title="brendovi_broj.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62225"/>
                    </a:xfrm>
                    <a:prstGeom prst="rect">
                      <a:avLst/>
                    </a:prstGeom>
                  </pic:spPr>
                </pic:pic>
              </a:graphicData>
            </a:graphic>
          </wp:inline>
        </w:drawing>
      </w:r>
    </w:p>
    <w:p>
      <w:pPr>
        <w:pStyle w:val="Heading1"/>
        <w:pageBreakBefore/>
      </w:pPr>
      <w:r>
        <w:t xml:space="preserve">3. Vizuelizacija (Zadatak 3)</w:t>
      </w:r>
    </w:p>
    <w:p>
      <w:pPr>
        <w:spacing w:after="120"/>
      </w:pPr>
      <w:r>
        <w:t xml:space="preserve">Grafici (PNG sa naslovima) generisani iz prečišćene baze:</w:t>
      </w:r>
    </w:p>
    <w:p>
      <w:pPr>
        <w:spacing w:after="160"/>
        <w:jc w:val="center"/>
      </w:pPr>
      <w:r>
        <w:drawing>
          <wp:inline distT="0" distB="0" distL="0" distR="0">
            <wp:extent cx="4095750" cy="2657655"/>
            <wp:effectExtent t="0" r="0" b="0" l="0"/>
            <wp:docPr id="1" name="cenovni_opsezi_procenat.png" descr="cenovni_opsezi_procenat.png" title="cenovni_opsezi_procen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657655"/>
                    </a:xfrm>
                    <a:prstGeom prst="rect">
                      <a:avLst/>
                    </a:prstGeom>
                  </pic:spPr>
                </pic:pic>
              </a:graphicData>
            </a:graphic>
          </wp:inline>
        </w:drawing>
      </w:r>
    </w:p>
    <w:p>
      <w:pPr>
        <w:spacing w:after="120"/>
        <w:jc w:val="center"/>
        <w:rPr>
          <w:i/>
          <w:iCs/>
          <w:sz w:val="18"/>
          <w:szCs w:val="18"/>
        </w:rPr>
      </w:pPr>
      <w:r>
        <w:rPr>
          <w:i/>
          <w:iCs/>
          <w:sz w:val="18"/>
          <w:szCs w:val="18"/>
        </w:rPr>
        <w:t xml:space="preserve">Raspodela po cenovnim opsezima: ≤30k — 3.909, 30–100k — 3.271, 100–300k — 176.</w:t>
      </w:r>
    </w:p>
    <w:p>
      <w:pPr>
        <w:spacing w:after="160"/>
        <w:jc w:val="center"/>
      </w:pPr>
      <w:r>
        <w:drawing>
          <wp:inline distT="0" distB="0" distL="0" distR="0">
            <wp:extent cx="4095750" cy="2562225"/>
            <wp:effectExtent t="0" r="0" b="0" l="0"/>
            <wp:docPr id="1" name="energetska_klasa_broj.png" descr="energetska_klasa_broj.png" title="energetska_klasa_broj.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562225"/>
                    </a:xfrm>
                    <a:prstGeom prst="rect">
                      <a:avLst/>
                    </a:prstGeom>
                  </pic:spPr>
                </pic:pic>
              </a:graphicData>
            </a:graphic>
          </wp:inline>
        </w:drawing>
      </w:r>
    </w:p>
    <w:p>
      <w:pPr>
        <w:spacing w:after="120"/>
      </w:pPr>
      <w:r>
        <w:t xml:space="preserve">Dodatno: scatter cena–zapremina, cena–dijagonala i box-plot cena po kategoriji (u izvestaj/grafici/).</w:t>
      </w:r>
    </w:p>
    <w:p>
      <w:pPr>
        <w:pStyle w:val="Heading1"/>
        <w:pageBreakBefore/>
      </w:pPr>
      <w:r>
        <w:t xml:space="preserve">4. Regresija (Zadatak 4)</w:t>
      </w:r>
    </w:p>
    <w:p>
      <w:pPr>
        <w:spacing w:after="120"/>
      </w:pPr>
      <w:r>
        <w:t xml:space="preserve">Višestruka linearna regresija, ručna implementacija gradijentnog spusta (funkcija troška, korak GD-a i predikcija samostalno kodirani; sklearn samo za verifikaciju).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tcBorders>
              <w:top w:val="single" w:color="BBBBBB" w:sz="1"/>
              <w:left w:val="single" w:color="BBBBBB" w:sz="1"/>
              <w:bottom w:val="single" w:color="BBBBBB" w:sz="1"/>
              <w:right w:val="single" w:color="BBBBBB" w:sz="1"/>
            </w:tcBorders>
            <w:shd w:fill="1F3D2B" w:val="clear"/>
            <w:tcMar>
              <w:top w:type="dxa" w:w="60"/>
              <w:left w:type="dxa" w:w="110"/>
              <w:bottom w:type="dxa" w:w="60"/>
              <w:right w:type="dxa" w:w="110"/>
            </w:tcMar>
          </w:tcPr>
          <w:p>
            <w:r>
              <w:rPr>
                <w:b/>
                <w:bCs/>
                <w:color w:val="FFFFFF"/>
              </w:rPr>
              <w:t xml:space="preserve">Stavka</w:t>
            </w:r>
          </w:p>
        </w:tc>
        <w:tc>
          <w:tcPr>
            <w:tcW w:type="dxa" w:w="6400"/>
            <w:tcBorders>
              <w:top w:val="single" w:color="BBBBBB" w:sz="1"/>
              <w:left w:val="single" w:color="BBBBBB" w:sz="1"/>
              <w:bottom w:val="single" w:color="BBBBBB" w:sz="1"/>
              <w:right w:val="single" w:color="BBBBBB" w:sz="1"/>
            </w:tcBorders>
            <w:shd w:fill="1F3D2B" w:val="clear"/>
            <w:tcMar>
              <w:top w:type="dxa" w:w="60"/>
              <w:left w:type="dxa" w:w="110"/>
              <w:bottom w:type="dxa" w:w="60"/>
              <w:right w:type="dxa" w:w="110"/>
            </w:tcMar>
          </w:tcPr>
          <w:p>
            <w:r>
              <w:rPr>
                <w:b/>
                <w:bCs/>
                <w:color w:val="FFFFFF"/>
              </w:rPr>
              <w:t xml:space="preserve">Vrednost</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Atributi (feature)</w:t>
            </w:r>
          </w:p>
        </w:tc>
        <w:tc>
          <w:tcPr>
            <w:tcW w:type="dxa" w:w="6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256 (kategorija+brend one-hot, energ. klasa, dijagonala, kapacitet, zapremina, snaga)</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Podela train/test</w:t>
            </w:r>
          </w:p>
        </w:tc>
        <w:tc>
          <w:tcPr>
            <w:tcW w:type="dxa" w:w="6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5.884 / 1.472 (80/20)</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Parametri</w:t>
            </w:r>
          </w:p>
        </w:tc>
        <w:tc>
          <w:tcPr>
            <w:tcW w:type="dxa" w:w="6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stopa učenja 0.05, 2.000 iteracija</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Kriva učenja (MSE)</w:t>
            </w:r>
          </w:p>
        </w:tc>
        <w:tc>
          <w:tcPr>
            <w:tcW w:type="dxa" w:w="6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844M → 167M (konvergira)</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R² (test)</w:t>
            </w:r>
          </w:p>
        </w:tc>
        <w:tc>
          <w:tcPr>
            <w:tcW w:type="dxa" w:w="6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0.549</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RMSE (test)</w:t>
            </w:r>
          </w:p>
        </w:tc>
        <w:tc>
          <w:tcPr>
            <w:tcW w:type="dxa" w:w="6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17.832 RSD</w:t>
            </w:r>
          </w:p>
        </w:tc>
      </w:tr>
    </w:tbl>
    <w:p>
      <w:r>
        <w:t xml:space="preserve"/>
      </w:r>
    </w:p>
    <w:p>
      <w:pPr>
        <w:spacing w:after="120"/>
      </w:pPr>
      <w:r>
        <w:t xml:space="preserve">Eksperimentisanje: negativan R² na sirovim podacima nije greška GD-a (sklearn closed-form daje isti rezultat), već posledica ekstremnih cena — IQR filtriranje je podiglo R² sa ≈ −0,5 na +0,55.</w:t>
      </w:r>
    </w:p>
    <w:p>
      <w:pPr>
        <w:jc w:val="center"/>
      </w:pPr>
      <w:r>
        <w:drawing>
          <wp:inline xmlns:a="http://schemas.openxmlformats.org/drawingml/2006/main" xmlns:pic="http://schemas.openxmlformats.org/drawingml/2006/picture">
            <wp:extent cx="5120640" cy="3200400"/>
            <wp:docPr id="4" name="Picture 4"/>
            <wp:cNvGraphicFramePr>
              <a:graphicFrameLocks noChangeAspect="1"/>
            </wp:cNvGraphicFramePr>
            <a:graphic>
              <a:graphicData uri="http://schemas.openxmlformats.org/drawingml/2006/picture">
                <pic:pic>
                  <pic:nvPicPr>
                    <pic:cNvPr id="0" name="regresija_kriva_ucenja.png"/>
                    <pic:cNvPicPr/>
                  </pic:nvPicPr>
                  <pic:blipFill>
                    <a:blip r:embed="rId15"/>
                    <a:stretch>
                      <a:fillRect/>
                    </a:stretch>
                  </pic:blipFill>
                  <pic:spPr>
                    <a:xfrm>
                      <a:off x="0" y="0"/>
                      <a:ext cx="5120640" cy="3200400"/>
                    </a:xfrm>
                    <a:prstGeom prst="rect"/>
                  </pic:spPr>
                </pic:pic>
              </a:graphicData>
            </a:graphic>
          </wp:inline>
        </w:drawing>
      </w:r>
    </w:p>
    <w:p>
      <w:pPr>
        <w:jc w:val="center"/>
      </w:pPr>
      <w:r>
        <w:rPr>
          <w:i/>
        </w:rPr>
        <w:t>Slika: Kriva ucenja — trosak (MSE, log skala) opada kroz 2000 iteracija gradijentnog spusta.</w:t>
      </w:r>
    </w:p>
    <w:p>
      <w:pPr>
        <w:jc w:val="center"/>
      </w:pPr>
      <w:r>
        <w:drawing>
          <wp:inline xmlns:a="http://schemas.openxmlformats.org/drawingml/2006/main" xmlns:pic="http://schemas.openxmlformats.org/drawingml/2006/picture">
            <wp:extent cx="5120640" cy="5120640"/>
            <wp:docPr id="3" name="Picture 3"/>
            <wp:cNvGraphicFramePr>
              <a:graphicFrameLocks noChangeAspect="1"/>
            </wp:cNvGraphicFramePr>
            <a:graphic>
              <a:graphicData uri="http://schemas.openxmlformats.org/drawingml/2006/picture">
                <pic:pic>
                  <pic:nvPicPr>
                    <pic:cNvPr id="0" name="regresija_pred_vs_stvarno.png"/>
                    <pic:cNvPicPr/>
                  </pic:nvPicPr>
                  <pic:blipFill>
                    <a:blip r:embed="rId14"/>
                    <a:stretch>
                      <a:fillRect/>
                    </a:stretch>
                  </pic:blipFill>
                  <pic:spPr>
                    <a:xfrm>
                      <a:off x="0" y="0"/>
                      <a:ext cx="5120640" cy="5120640"/>
                    </a:xfrm>
                    <a:prstGeom prst="rect"/>
                  </pic:spPr>
                </pic:pic>
              </a:graphicData>
            </a:graphic>
          </wp:inline>
        </w:drawing>
      </w:r>
    </w:p>
    <w:p>
      <w:pPr>
        <w:jc w:val="center"/>
      </w:pPr>
      <w:r>
        <w:rPr>
          <w:i/>
        </w:rPr>
        <w:t>Slika: Predvidjeno vs. stvarno na test skupu (idealna linija y=x, R²=0.55).</w:t>
      </w:r>
    </w:p>
    <w:p>
      <w:pPr>
        <w:pStyle w:val="Heading1"/>
        <w:pageBreakBefore/>
      </w:pPr>
      <w:r>
        <w:t xml:space="preserve">5. Klasterovanje (Zadatak 5)</w:t>
      </w:r>
    </w:p>
    <w:p>
      <w:pPr>
        <w:spacing w:after="120"/>
      </w:pPr>
      <w:r>
        <w:t xml:space="preserve">K-means, ručna implementacija (k-means++ inicijalizacija, ručni silhouette). Korisnik kroz GUI bira promenljive, težine (zbir 100%) i K.</w:t>
      </w:r>
    </w:p>
    <w:p>
      <w:pPr>
        <w:spacing w:after="120"/>
      </w:pPr>
      <w:r>
        <w:t xml:space="preserve">Primer: cena (50%) + energetska klasa (30%) + zapremina (20%), K=4, na 1.356 proizvoda. Silhouette = 0,487 (dobra razdvojenost).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400"/>
        <w:gridCol w:w="4000"/>
      </w:tblGrid>
      <w:tr>
        <w:trPr>
          <w:tblHeader/>
        </w:trPr>
        <w:tc>
          <w:tcPr>
            <w:tcW w:type="dxa" w:w="1300"/>
            <w:tcBorders>
              <w:top w:val="single" w:color="BBBBBB" w:sz="1"/>
              <w:left w:val="single" w:color="BBBBBB" w:sz="1"/>
              <w:bottom w:val="single" w:color="BBBBBB" w:sz="1"/>
              <w:right w:val="single" w:color="BBBBBB" w:sz="1"/>
            </w:tcBorders>
            <w:shd w:fill="1F3D2B" w:val="clear"/>
            <w:tcMar>
              <w:top w:type="dxa" w:w="60"/>
              <w:left w:type="dxa" w:w="110"/>
              <w:bottom w:type="dxa" w:w="60"/>
              <w:right w:type="dxa" w:w="110"/>
            </w:tcMar>
          </w:tcPr>
          <w:p>
            <w:r>
              <w:rPr>
                <w:b/>
                <w:bCs/>
                <w:color w:val="FFFFFF"/>
              </w:rPr>
              <w:t xml:space="preserve">Klaster</w:t>
            </w:r>
          </w:p>
        </w:tc>
        <w:tc>
          <w:tcPr>
            <w:tcW w:type="dxa" w:w="1300"/>
            <w:tcBorders>
              <w:top w:val="single" w:color="BBBBBB" w:sz="1"/>
              <w:left w:val="single" w:color="BBBBBB" w:sz="1"/>
              <w:bottom w:val="single" w:color="BBBBBB" w:sz="1"/>
              <w:right w:val="single" w:color="BBBBBB" w:sz="1"/>
            </w:tcBorders>
            <w:shd w:fill="1F3D2B" w:val="clear"/>
            <w:tcMar>
              <w:top w:type="dxa" w:w="60"/>
              <w:left w:type="dxa" w:w="110"/>
              <w:bottom w:type="dxa" w:w="60"/>
              <w:right w:type="dxa" w:w="110"/>
            </w:tcMar>
          </w:tcPr>
          <w:p>
            <w:r>
              <w:rPr>
                <w:b/>
                <w:bCs/>
                <w:color w:val="FFFFFF"/>
              </w:rPr>
              <w:t xml:space="preserve">Broj</w:t>
            </w:r>
          </w:p>
        </w:tc>
        <w:tc>
          <w:tcPr>
            <w:tcW w:type="dxa" w:w="2400"/>
            <w:tcBorders>
              <w:top w:val="single" w:color="BBBBBB" w:sz="1"/>
              <w:left w:val="single" w:color="BBBBBB" w:sz="1"/>
              <w:bottom w:val="single" w:color="BBBBBB" w:sz="1"/>
              <w:right w:val="single" w:color="BBBBBB" w:sz="1"/>
            </w:tcBorders>
            <w:shd w:fill="1F3D2B" w:val="clear"/>
            <w:tcMar>
              <w:top w:type="dxa" w:w="60"/>
              <w:left w:type="dxa" w:w="110"/>
              <w:bottom w:type="dxa" w:w="60"/>
              <w:right w:type="dxa" w:w="110"/>
            </w:tcMar>
          </w:tcPr>
          <w:p>
            <w:r>
              <w:rPr>
                <w:b/>
                <w:bCs/>
                <w:color w:val="FFFFFF"/>
              </w:rPr>
              <w:t xml:space="preserve">Prosečna cena</w:t>
            </w:r>
          </w:p>
        </w:tc>
        <w:tc>
          <w:tcPr>
            <w:tcW w:type="dxa" w:w="4000"/>
            <w:tcBorders>
              <w:top w:val="single" w:color="BBBBBB" w:sz="1"/>
              <w:left w:val="single" w:color="BBBBBB" w:sz="1"/>
              <w:bottom w:val="single" w:color="BBBBBB" w:sz="1"/>
              <w:right w:val="single" w:color="BBBBBB" w:sz="1"/>
            </w:tcBorders>
            <w:shd w:fill="1F3D2B" w:val="clear"/>
            <w:tcMar>
              <w:top w:type="dxa" w:w="60"/>
              <w:left w:type="dxa" w:w="110"/>
              <w:bottom w:type="dxa" w:w="60"/>
              <w:right w:type="dxa" w:w="110"/>
            </w:tcMar>
          </w:tcPr>
          <w:p>
            <w:r>
              <w:rPr>
                <w:b/>
                <w:bCs/>
                <w:color w:val="FFFFFF"/>
              </w:rPr>
              <w:t xml:space="preserve">Karakteristika</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254</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54.306 RSD</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slabije energetske klase</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344</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26.424 RSD</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jeftiniji, slabije klase</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205</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89.548 RSD</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premium segment</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3</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553</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37.156 RSD</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bolje energetske klase (7,2/10)</w:t>
            </w:r>
          </w:p>
        </w:tc>
      </w:tr>
    </w:tbl>
    <w:p>
      <w:r>
        <w:t xml:space="preserve"/>
      </w:r>
    </w:p>
    <w:p>
      <w:pPr>
        <w:spacing w:after="120"/>
      </w:pPr>
      <w:r>
        <w:t xml:space="preserve">Klasteri se vizuelizuju u GUI-ju (scatter dve dimenzije, tačke obojene po klasteru + centroidi).</w:t>
      </w:r>
    </w:p>
    <w:p>
      <w:pPr>
        <w:jc w:val="center"/>
      </w:pPr>
      <w:r>
        <w:drawing>
          <wp:inline xmlns:a="http://schemas.openxmlformats.org/drawingml/2006/main" xmlns:pic="http://schemas.openxmlformats.org/drawingml/2006/picture">
            <wp:extent cx="5120640" cy="3840480"/>
            <wp:docPr id="2" name="Picture 2"/>
            <wp:cNvGraphicFramePr>
              <a:graphicFrameLocks noChangeAspect="1"/>
            </wp:cNvGraphicFramePr>
            <a:graphic>
              <a:graphicData uri="http://schemas.openxmlformats.org/drawingml/2006/picture">
                <pic:pic>
                  <pic:nvPicPr>
                    <pic:cNvPr id="0" name="klasteri_scatter.png"/>
                    <pic:cNvPicPr/>
                  </pic:nvPicPr>
                  <pic:blipFill>
                    <a:blip r:embed="rId13"/>
                    <a:stretch>
                      <a:fillRect/>
                    </a:stretch>
                  </pic:blipFill>
                  <pic:spPr>
                    <a:xfrm>
                      <a:off x="0" y="0"/>
                      <a:ext cx="5120640" cy="3840480"/>
                    </a:xfrm>
                    <a:prstGeom prst="rect"/>
                  </pic:spPr>
                </pic:pic>
              </a:graphicData>
            </a:graphic>
          </wp:inline>
        </w:drawing>
      </w:r>
    </w:p>
    <w:p>
      <w:pPr>
        <w:jc w:val="center"/>
      </w:pPr>
      <w:r>
        <w:rPr>
          <w:i/>
        </w:rPr>
        <w:t>Slika: K-means klasteri (K=4) — cena 50% + zapremina 30% + energetska klasa 20%; X = centroidi.</w:t>
      </w:r>
    </w:p>
    <w:p>
      <w:pPr>
        <w:pStyle w:val="Heading1"/>
        <w:pageBreakBefore/>
      </w:pPr>
      <w:r>
        <w:t xml:space="preserve">6. Preporuke (Zadatak 6)</w:t>
      </w:r>
    </w:p>
    <w:p>
      <w:pPr>
        <w:spacing w:after="120"/>
      </w:pPr>
      <w:r>
        <w:t xml:space="preserve">Content-based sistem, ručna implementacija TF-IDF i kosinusne sličnosti. Feature vektor kombinuje četiri tipa odlika: cenu, tehničke specifikacije (standardizovane), brend (one-hot) i naziv (ručni TF-IDF). Preporučuje Top 5 iz iste kategorije.</w:t>
      </w:r>
    </w:p>
    <w:p>
      <w:pPr>
        <w:pStyle w:val="Heading2"/>
      </w:pPr>
      <w:r>
        <w:t xml:space="preserve">Težinsko balansiranje odlika</w:t>
      </w:r>
    </w:p>
    <w:p>
      <w:pPr>
        <w:spacing w:after="120"/>
      </w:pPr>
      <w:r>
        <w:t xml:space="preserve">Postavka traži da se prokomentariše kako su balansirane različite karakteristike (npr. da li cena ima veći uticaj od brenda). Različiti tipovi odlika nemaju isti uticaj na sličnost — svaki blok vektora se množi svojim težinskim faktorom pre računanja kosinusne sličnosti:</w:t>
      </w:r>
    </w:p>
    <w:p>
      <w:pPr>
        <w:spacing w:after="120"/>
      </w:pPr>
      <w:r>
        <w:t xml:space="preserve">• Tehničke specifikacije (težina 1,0) — suština sličnosti: proizvodi istih specifikacija (kapacitet, energetska klasa, dijagonala) su funkcionalno zamenljivi.</w:t>
      </w:r>
    </w:p>
    <w:p>
      <w:pPr>
        <w:spacing w:after="120"/>
      </w:pPr>
      <w:r>
        <w:t xml:space="preserve">• Cena (0,9) — drži isti cenovni segment, malo ispod tehnike jer korelira sa specifikacijama i ne sme da ih nadjača.</w:t>
      </w:r>
    </w:p>
    <w:p>
      <w:pPr>
        <w:spacing w:after="120"/>
      </w:pPr>
      <w:r>
        <w:t xml:space="preserve">• Naziv / TF-IDF (0,7) — hvata istu seriju/model; umeren da ne vraća samo duplikate istog modela.</w:t>
      </w:r>
    </w:p>
    <w:p>
      <w:pPr>
        <w:spacing w:after="120"/>
      </w:pPr>
      <w:r>
        <w:t xml:space="preserve">• Brend (0,5) — najniže namerno: za „slično“ želimo i alternative drugih brendova, ne kolaps na jednog proizvođača.</w:t>
      </w:r>
    </w:p>
    <w:p>
      <w:pPr>
        <w:spacing w:after="120"/>
      </w:pPr>
      <w:r>
        <w:t xml:space="preserve">Redosled uticaja: tehnika ≥ cena &gt; naziv &gt; brend. Dakle cena ima veći uticaj od brenda — kupcu je bliži proizvod sličnih performansi i cene nego proizvod istog brenda ali sasvim drugih karakteristika. Pre množenja težinama svaki blok se skalira na jedinični intenzitet, da veličina bloka (broj kolona) ne bi umesto težine određivala stvarni uticaj.</w:t>
      </w:r>
    </w:p>
    <w:p>
      <w:pPr>
        <w:pStyle w:val="Heading2"/>
      </w:pPr>
      <w:r>
        <w:t xml:space="preserve">Primer 1 — Beko kombinovani frižider RDSO206K40WN (26.499 RSD)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1800"/>
        <w:gridCol w:w="1800"/>
      </w:tblGrid>
      <w:tr>
        <w:trPr>
          <w:tblHeader/>
        </w:trPr>
        <w:tc>
          <w:tcPr>
            <w:tcW w:type="dxa" w:w="5400"/>
            <w:tcBorders>
              <w:top w:val="single" w:color="BBBBBB" w:sz="1"/>
              <w:left w:val="single" w:color="BBBBBB" w:sz="1"/>
              <w:bottom w:val="single" w:color="BBBBBB" w:sz="1"/>
              <w:right w:val="single" w:color="BBBBBB" w:sz="1"/>
            </w:tcBorders>
            <w:shd w:fill="1F3D2B" w:val="clear"/>
            <w:tcMar>
              <w:top w:type="dxa" w:w="60"/>
              <w:left w:type="dxa" w:w="110"/>
              <w:bottom w:type="dxa" w:w="60"/>
              <w:right w:type="dxa" w:w="110"/>
            </w:tcMar>
          </w:tcPr>
          <w:p>
            <w:r>
              <w:rPr>
                <w:b/>
                <w:bCs/>
                <w:color w:val="FFFFFF"/>
              </w:rPr>
              <w:t xml:space="preserve">Preporuka</w:t>
            </w:r>
          </w:p>
        </w:tc>
        <w:tc>
          <w:tcPr>
            <w:tcW w:type="dxa" w:w="1800"/>
            <w:tcBorders>
              <w:top w:val="single" w:color="BBBBBB" w:sz="1"/>
              <w:left w:val="single" w:color="BBBBBB" w:sz="1"/>
              <w:bottom w:val="single" w:color="BBBBBB" w:sz="1"/>
              <w:right w:val="single" w:color="BBBBBB" w:sz="1"/>
            </w:tcBorders>
            <w:shd w:fill="1F3D2B" w:val="clear"/>
            <w:tcMar>
              <w:top w:type="dxa" w:w="60"/>
              <w:left w:type="dxa" w:w="110"/>
              <w:bottom w:type="dxa" w:w="60"/>
              <w:right w:type="dxa" w:w="110"/>
            </w:tcMar>
          </w:tcPr>
          <w:p>
            <w:r>
              <w:rPr>
                <w:b/>
                <w:bCs/>
                <w:color w:val="FFFFFF"/>
              </w:rPr>
              <w:t xml:space="preserve">Cena</w:t>
            </w:r>
          </w:p>
        </w:tc>
        <w:tc>
          <w:tcPr>
            <w:tcW w:type="dxa" w:w="1800"/>
            <w:tcBorders>
              <w:top w:val="single" w:color="BBBBBB" w:sz="1"/>
              <w:left w:val="single" w:color="BBBBBB" w:sz="1"/>
              <w:bottom w:val="single" w:color="BBBBBB" w:sz="1"/>
              <w:right w:val="single" w:color="BBBBBB" w:sz="1"/>
            </w:tcBorders>
            <w:shd w:fill="1F3D2B" w:val="clear"/>
            <w:tcMar>
              <w:top w:type="dxa" w:w="60"/>
              <w:left w:type="dxa" w:w="110"/>
              <w:bottom w:type="dxa" w:w="60"/>
              <w:right w:type="dxa" w:w="110"/>
            </w:tcMar>
          </w:tcPr>
          <w:p>
            <w:r>
              <w:rPr>
                <w:b/>
                <w:bCs/>
                <w:color w:val="FFFFFF"/>
              </w:rPr>
              <w:t xml:space="preserve">Sličnost</w:t>
            </w:r>
          </w:p>
        </w:tc>
      </w:tr>
      <w:tr>
        <w:tc>
          <w:tcPr>
            <w:tcW w:type="dxa" w:w="5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BEKO RDSO206K40WN (gigatron)</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22.499</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0.999</w:t>
            </w:r>
          </w:p>
        </w:tc>
      </w:tr>
      <w:tr>
        <w:tc>
          <w:tcPr>
            <w:tcW w:type="dxa" w:w="5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Beko RDSO206K40WN (metalac)</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22.002</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0.988</w:t>
            </w:r>
          </w:p>
        </w:tc>
      </w:tr>
      <w:tr>
        <w:tc>
          <w:tcPr>
            <w:tcW w:type="dxa" w:w="5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Beko RDSO206K40SN</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24.741</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0.815</w:t>
            </w:r>
          </w:p>
        </w:tc>
      </w:tr>
    </w:tbl>
    <w:p>
      <w:pPr>
        <w:spacing w:after="120"/>
        <w:rPr>
          <w:i/>
          <w:iCs/>
        </w:rPr>
      </w:pPr>
      <w:r>
        <w:rPr>
          <w:i/>
          <w:iCs/>
        </w:rPr>
        <w:t xml:space="preserve">Top dve preporuke su isti model sa druga dva sajta (22.002–26.499 RSD) — sistem tačno prepoznaje identičan proizvod, a razlika u ceni pokazuje vrednost multi-source pristupa.</w:t>
      </w:r>
    </w:p>
    <w:p>
      <w:pPr>
        <w:pStyle w:val="Heading2"/>
      </w:pPr>
      <w:r>
        <w:t xml:space="preserve">Primer 2 — Candy mašina za pranje veša CO4 1262D3/2-S (24.999 RSD)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1800"/>
        <w:gridCol w:w="1800"/>
      </w:tblGrid>
      <w:tr>
        <w:trPr>
          <w:tblHeader/>
        </w:trPr>
        <w:tc>
          <w:tcPr>
            <w:tcW w:type="dxa" w:w="5400"/>
            <w:tcBorders>
              <w:top w:val="single" w:color="BBBBBB" w:sz="1"/>
              <w:left w:val="single" w:color="BBBBBB" w:sz="1"/>
              <w:bottom w:val="single" w:color="BBBBBB" w:sz="1"/>
              <w:right w:val="single" w:color="BBBBBB" w:sz="1"/>
            </w:tcBorders>
            <w:shd w:fill="1F3D2B" w:val="clear"/>
            <w:tcMar>
              <w:top w:type="dxa" w:w="60"/>
              <w:left w:type="dxa" w:w="110"/>
              <w:bottom w:type="dxa" w:w="60"/>
              <w:right w:type="dxa" w:w="110"/>
            </w:tcMar>
          </w:tcPr>
          <w:p>
            <w:r>
              <w:rPr>
                <w:b/>
                <w:bCs/>
                <w:color w:val="FFFFFF"/>
              </w:rPr>
              <w:t xml:space="preserve">Preporuka</w:t>
            </w:r>
          </w:p>
        </w:tc>
        <w:tc>
          <w:tcPr>
            <w:tcW w:type="dxa" w:w="1800"/>
            <w:tcBorders>
              <w:top w:val="single" w:color="BBBBBB" w:sz="1"/>
              <w:left w:val="single" w:color="BBBBBB" w:sz="1"/>
              <w:bottom w:val="single" w:color="BBBBBB" w:sz="1"/>
              <w:right w:val="single" w:color="BBBBBB" w:sz="1"/>
            </w:tcBorders>
            <w:shd w:fill="1F3D2B" w:val="clear"/>
            <w:tcMar>
              <w:top w:type="dxa" w:w="60"/>
              <w:left w:type="dxa" w:w="110"/>
              <w:bottom w:type="dxa" w:w="60"/>
              <w:right w:type="dxa" w:w="110"/>
            </w:tcMar>
          </w:tcPr>
          <w:p>
            <w:r>
              <w:rPr>
                <w:b/>
                <w:bCs/>
                <w:color w:val="FFFFFF"/>
              </w:rPr>
              <w:t xml:space="preserve">Cena</w:t>
            </w:r>
          </w:p>
        </w:tc>
        <w:tc>
          <w:tcPr>
            <w:tcW w:type="dxa" w:w="1800"/>
            <w:tcBorders>
              <w:top w:val="single" w:color="BBBBBB" w:sz="1"/>
              <w:left w:val="single" w:color="BBBBBB" w:sz="1"/>
              <w:bottom w:val="single" w:color="BBBBBB" w:sz="1"/>
              <w:right w:val="single" w:color="BBBBBB" w:sz="1"/>
            </w:tcBorders>
            <w:shd w:fill="1F3D2B" w:val="clear"/>
            <w:tcMar>
              <w:top w:type="dxa" w:w="60"/>
              <w:left w:type="dxa" w:w="110"/>
              <w:bottom w:type="dxa" w:w="60"/>
              <w:right w:type="dxa" w:w="110"/>
            </w:tcMar>
          </w:tcPr>
          <w:p>
            <w:r>
              <w:rPr>
                <w:b/>
                <w:bCs/>
                <w:color w:val="FFFFFF"/>
              </w:rPr>
              <w:t xml:space="preserve">Sličnost</w:t>
            </w:r>
          </w:p>
        </w:tc>
      </w:tr>
      <w:tr>
        <w:tc>
          <w:tcPr>
            <w:tcW w:type="dxa" w:w="5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Candy GD 27SB7-S</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27.711</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0.907</w:t>
            </w:r>
          </w:p>
        </w:tc>
      </w:tr>
      <w:tr>
        <w:tc>
          <w:tcPr>
            <w:tcW w:type="dxa" w:w="5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Candy GD 27SB7-S (drugi izvor)</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29.999</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0.903</w:t>
            </w:r>
          </w:p>
        </w:tc>
      </w:tr>
      <w:tr>
        <w:tc>
          <w:tcPr>
            <w:tcW w:type="dxa" w:w="5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Candy CSO4474TWMB6/1-S</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34.191</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color w:val="000000"/>
              </w:rPr>
              <w:t xml:space="preserve">0.892</w:t>
            </w:r>
          </w:p>
        </w:tc>
      </w:tr>
    </w:tbl>
    <w:p>
      <w:r>
        <w:t xml:space="preserve"/>
      </w:r>
    </w:p>
    <w:p>
      <w:pPr>
        <w:spacing w:after="120"/>
      </w:pPr>
      <w:r>
        <w:t xml:space="preserve">Zaključak: preporuke su proizvodi sličnih tehničkih karakteristika i cenovnog ranga, a ne puko poklapanje brenda — što je i cilj težinske šeme opisane iznad.</w:t>
      </w:r>
    </w:p>
    <w:p>
      <w:pPr>
        <w:pStyle w:val="Heading1"/>
      </w:pPr>
      <w:r>
        <w:t xml:space="preserve">Zaključak</w:t>
      </w:r>
    </w:p>
    <w:p>
      <w:pPr>
        <w:spacing w:after="120"/>
      </w:pPr>
      <w:r>
        <w:t xml:space="preserve">Svi zahtevi postavke su ispunjeni: 8.065 primarnih / 7.356 prečišćenih zapisa u PostgreSQL bazi, sa tri izvora; sva tri ML algoritma ručno implementirana sa zadovoljavajućom evaluacijom (R²=0,55, silhouette=0,49, tačne preporuke); GUI objedinjuje zadatke 4–6; 122 automatska testa pokrivaju parser, čišćenje i ML module.</w:t>
      </w:r>
    </w:p>
    <w:sectPr>
      <w:footerReference w:type="default" r:id="rId7"/>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PSZ Projekat 2025/2026 — strana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D2B"/>
      <w:sz w:val="30"/>
      <w:szCs w:val="30"/>
    </w:rPr>
  </w:style>
  <w:style w:type="paragraph" w:styleId="Heading2">
    <w:name w:val="Heading 2"/>
    <w:basedOn w:val="Normal"/>
    <w:next w:val="Normal"/>
    <w:qFormat/>
    <w:pPr>
      <w:spacing w:after="100" w:before="160"/>
      <w:outlineLvl w:val="1"/>
    </w:pPr>
    <w:rPr>
      <w:rFonts w:ascii="Arial" w:cs="Arial" w:eastAsia="Arial" w:hAnsi="Arial"/>
      <w:b/>
      <w:bCs/>
      <w:color w:val="2E6B45"/>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75b515dbb3f76075a783e0701116503aad9b5f.png"/><Relationship Id="rId9" Type="http://schemas.openxmlformats.org/officeDocument/2006/relationships/image" Target="media/7b8a2cbed55c090a0564e07ca60506520c6f75cc.png"/><Relationship Id="rId10" Type="http://schemas.openxmlformats.org/officeDocument/2006/relationships/image" Target="media/91473710a1078f0ba350d33bc93798c34b62aa8a.png"/><Relationship Id="rId11" Type="http://schemas.openxmlformats.org/officeDocument/2006/relationships/image" Target="media/01c0b1dc22a7cfa0c41d8042bebd0108e4effbcc.png"/><Relationship Id="rId12" Type="http://schemas.openxmlformats.org/officeDocument/2006/relationships/fontTable" Target="fontTable.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2026-06-21T09:44:30.363Z</dcterms:created>
  <dcterms:modified xsi:type="dcterms:W3CDTF">2026-06-21T09:44:30.363Z</dcterms:modified>
</cp:coreProperties>
</file>

<file path=docProps/custom.xml><?xml version="1.0" encoding="utf-8"?>
<Properties xmlns="http://schemas.openxmlformats.org/officeDocument/2006/custom-properties" xmlns:vt="http://schemas.openxmlformats.org/officeDocument/2006/docPropsVTypes"/>
</file>