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Junho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Boas práticas de infraestrutura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Benefícios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Infraestrutura de Hardware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Dica Importante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3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infraestrutura de TI é o conjunto de computadores, softwares, dispositivos de rede e demais aparelhos tecnológicos que uma empresa possui. Ou seja, ela se refere a todas as soluções de tecnologia que uma empresa tem, independentemente de elas serem utilizadas ou não.</w:t>
      </w:r>
    </w:p>
    <w:p w:rsidR="00000000" w:rsidDel="00000000" w:rsidP="00000000" w:rsidRDefault="00000000" w:rsidRPr="00000000" w14:paraId="0000003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Benefícios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 uma boa infraestrutura de TI, destacamos os seguintes pontos:</w:t>
      </w:r>
    </w:p>
    <w:p w:rsidR="00000000" w:rsidDel="00000000" w:rsidP="00000000" w:rsidRDefault="00000000" w:rsidRPr="00000000" w14:paraId="0000003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Redução de problemas ocasionados por falhas de comunicação;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Maior estabilidade do SysPDV durante as operações de vendas;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Maior produtividade dos colaboradores.</w:t>
      </w:r>
    </w:p>
    <w:p w:rsidR="00000000" w:rsidDel="00000000" w:rsidP="00000000" w:rsidRDefault="00000000" w:rsidRPr="00000000" w14:paraId="0000003D">
      <w:pPr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manual, confira as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de infraestrutura de TI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os computadores que estão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os frentes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de lojas.</w:t>
      </w:r>
    </w:p>
    <w:p w:rsidR="00000000" w:rsidDel="00000000" w:rsidP="00000000" w:rsidRDefault="00000000" w:rsidRPr="00000000" w14:paraId="0000003F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Infraestrutura de 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hardware abrange os componentes físicos de uma infraestrutura de TI, como computadores, servidores, roteadores e todos os outros equipamentos necessários para suportar o funcionamento do sistema SysPDV, como por exemplo: impressora não fiscal, pinpad, teclados de automação comercial, leitores biométricos e etc. </w:t>
      </w:r>
    </w:p>
    <w:p w:rsidR="00000000" w:rsidDel="00000000" w:rsidP="00000000" w:rsidRDefault="00000000" w:rsidRPr="00000000" w14:paraId="0000004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seguir, confira algumas dicas de boas práticas dos equipamentos homologados para utilização no SysPDV PDV.</w:t>
      </w:r>
    </w:p>
    <w:p w:rsidR="00000000" w:rsidDel="00000000" w:rsidP="00000000" w:rsidRDefault="00000000" w:rsidRPr="00000000" w14:paraId="0000004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6"/>
          <w:szCs w:val="26"/>
          <w:rtl w:val="0"/>
        </w:rPr>
        <w:t xml:space="preserve">CF-e (SAT e MF-e)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br w:type="textWrapping"/>
        <w:t xml:space="preserve">Os CF-e geram e autenticam os Cupons Fiscais Eletrônicos e os transmitem automática e periodicamente, via internet, à Secretaria da Fazenda. O dispositivo físico pode ser plugado por uma entrada USB e é necessário ter um driver do fabricante instalado para o seu correto funcionamento. </w:t>
      </w:r>
    </w:p>
    <w:p w:rsidR="00000000" w:rsidDel="00000000" w:rsidP="00000000" w:rsidRDefault="00000000" w:rsidRPr="00000000" w14:paraId="0000004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na utilização do CF-e (SAT e MF-e)</w:t>
      </w:r>
    </w:p>
    <w:p w:rsidR="00000000" w:rsidDel="00000000" w:rsidP="00000000" w:rsidRDefault="00000000" w:rsidRPr="00000000" w14:paraId="0000004E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USB do CF-e está conectado no computador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de rede está conectado no CF-e</w:t>
      </w:r>
    </w:p>
    <w:p w:rsidR="00000000" w:rsidDel="00000000" w:rsidP="00000000" w:rsidRDefault="00000000" w:rsidRPr="00000000" w14:paraId="0000005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Verificar como estão as luzes do CFe. Se todas as luzes estiverem piscando, isso indica que o equipamento está violado e é necessário levá-lo para o fornecedor ou assistência técnica.</w:t>
      </w:r>
    </w:p>
    <w:p w:rsidR="00000000" w:rsidDel="00000000" w:rsidP="00000000" w:rsidRDefault="00000000" w:rsidRPr="00000000" w14:paraId="00000054">
      <w:pPr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171450</wp:posOffset>
            </wp:positionV>
            <wp:extent cx="2824163" cy="2331055"/>
            <wp:effectExtent b="0" l="0" r="0" t="0"/>
            <wp:wrapTopAndBottom distB="114300" distT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4000" l="22309" r="7436" t="4307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3310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Quando o CF-e estiver sem comunicação, basta desconectar todos os cabos e pressionar o botão RESET para reiniciar o equipamento. Em seguida, ligar novamente e realizar um novo teste de venda.</w:t>
      </w:r>
    </w:p>
    <w:p w:rsidR="00000000" w:rsidDel="00000000" w:rsidP="00000000" w:rsidRDefault="00000000" w:rsidRPr="00000000" w14:paraId="0000005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628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Lexend Deca" w:cs="Lexend Deca" w:eastAsia="Lexend Deca" w:hAnsi="Lexend Deca"/>
          <w:color w:val="32f032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6"/>
          <w:szCs w:val="26"/>
          <w:rtl w:val="0"/>
        </w:rPr>
        <w:t xml:space="preserve">Impressora não-fiscal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dispositivo físico pode ser plugado por uma entrada USB e é necessário ter um driver do fabricante instalado para o seu correto funcionamento. </w:t>
      </w:r>
    </w:p>
    <w:p w:rsidR="00000000" w:rsidDel="00000000" w:rsidP="00000000" w:rsidRDefault="00000000" w:rsidRPr="00000000" w14:paraId="0000005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na utilização da impressora</w:t>
      </w:r>
    </w:p>
    <w:p w:rsidR="00000000" w:rsidDel="00000000" w:rsidP="00000000" w:rsidRDefault="00000000" w:rsidRPr="00000000" w14:paraId="0000005B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USB da impressora está conectado no computador.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Verificar se contém algum led na impressora indicando erro e caso esteja, necessário encaminhar para a assistência técnica.</w:t>
      </w:r>
    </w:p>
    <w:p w:rsidR="00000000" w:rsidDel="00000000" w:rsidP="00000000" w:rsidRDefault="00000000" w:rsidRPr="00000000" w14:paraId="0000005E">
      <w:pPr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2087400" cy="246329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7400" cy="246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a Impressora estiver bipando indica que o papel está acabando e é necessário realizar a troca da bobina. </w:t>
      </w:r>
    </w:p>
    <w:p w:rsidR="00000000" w:rsidDel="00000000" w:rsidP="00000000" w:rsidRDefault="00000000" w:rsidRPr="00000000" w14:paraId="00000060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1352550</wp:posOffset>
            </wp:positionH>
            <wp:positionV relativeFrom="paragraph">
              <wp:posOffset>144463</wp:posOffset>
            </wp:positionV>
            <wp:extent cx="2719388" cy="2856499"/>
            <wp:effectExtent b="0" l="0" r="0" t="0"/>
            <wp:wrapTopAndBottom distB="114300" distT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8564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 após a troca continuar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bipando,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pode existir sujeira no leitor do papel. Para realizar a limpeza, basta abrir a tampa da impressora e com um pano seco, realizar a limpeza.</w:t>
      </w:r>
    </w:p>
    <w:p w:rsidR="00000000" w:rsidDel="00000000" w:rsidP="00000000" w:rsidRDefault="00000000" w:rsidRPr="00000000" w14:paraId="0000006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914400</wp:posOffset>
            </wp:positionH>
            <wp:positionV relativeFrom="paragraph">
              <wp:posOffset>323056</wp:posOffset>
            </wp:positionV>
            <wp:extent cx="3976688" cy="3694080"/>
            <wp:effectExtent b="0" l="0" r="0" t="0"/>
            <wp:wrapTopAndBottom distB="114300" distT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6940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6"/>
          <w:szCs w:val="26"/>
          <w:rtl w:val="0"/>
        </w:rPr>
        <w:t xml:space="preserve">PINPAD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dispositivo físico pode ser plugado por uma entrada USB. É importante ficar ciente que o PINPAD não funciona na porta USB 1.0, normalmente são as USBs que ficam na frente do PC. </w:t>
      </w:r>
    </w:p>
    <w:p w:rsidR="00000000" w:rsidDel="00000000" w:rsidP="00000000" w:rsidRDefault="00000000" w:rsidRPr="00000000" w14:paraId="0000006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na utilização do PINPAD</w:t>
      </w:r>
    </w:p>
    <w:p w:rsidR="00000000" w:rsidDel="00000000" w:rsidP="00000000" w:rsidRDefault="00000000" w:rsidRPr="00000000" w14:paraId="00000067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USB está conectado no computador.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Conectar na entrada USB 2.0 ou 3.0, normalmente a porta atrás do computador.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571500</wp:posOffset>
            </wp:positionV>
            <wp:extent cx="3148013" cy="3487914"/>
            <wp:effectExtent b="0" l="0" r="0" t="0"/>
            <wp:wrapTopAndBottom distB="114300" distT="1143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487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6"/>
          <w:szCs w:val="26"/>
          <w:rtl w:val="0"/>
        </w:rPr>
        <w:t xml:space="preserve">Teclado</w:t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anto fisicamente quanto virtualmente, é responsável pela entrada de caracteres. O dispositivo físico pode ser plugado por uma entrada USB ou PS2, enquanto o virtual só depende da aplicação.</w:t>
      </w:r>
    </w:p>
    <w:p w:rsidR="00000000" w:rsidDel="00000000" w:rsidP="00000000" w:rsidRDefault="00000000" w:rsidRPr="00000000" w14:paraId="0000006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na utilização do teclado</w:t>
      </w:r>
    </w:p>
    <w:p w:rsidR="00000000" w:rsidDel="00000000" w:rsidP="00000000" w:rsidRDefault="00000000" w:rsidRPr="00000000" w14:paraId="0000006F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USB está conectado no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6"/>
          <w:szCs w:val="26"/>
          <w:rtl w:val="0"/>
        </w:rPr>
        <w:t xml:space="preserve">Leitor de Código de Barras</w:t>
      </w:r>
    </w:p>
    <w:p w:rsidR="00000000" w:rsidDel="00000000" w:rsidP="00000000" w:rsidRDefault="00000000" w:rsidRPr="00000000" w14:paraId="0000007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br w:type="textWrapping"/>
        <w:t xml:space="preserve">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xemplificando por scanners , leitores de códigos de barras, e leitores de discos ópticos, disparam um raio vermelho que absorve luz onde tonalidades esperadas são encontradas.</w:t>
      </w:r>
    </w:p>
    <w:p w:rsidR="00000000" w:rsidDel="00000000" w:rsidP="00000000" w:rsidRDefault="00000000" w:rsidRPr="00000000" w14:paraId="0000007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Boas práticas na utilização da impressora</w:t>
      </w:r>
    </w:p>
    <w:p w:rsidR="00000000" w:rsidDel="00000000" w:rsidP="00000000" w:rsidRDefault="00000000" w:rsidRPr="00000000" w14:paraId="00000076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Checar se o cabo USB está conectado no computador.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Lexend Deca" w:cs="Lexend Deca" w:eastAsia="Lexend Deca" w:hAnsi="Lexend Deca"/>
          <w:b w:val="1"/>
          <w:color w:val="32f032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Dicas Importantes: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algum equipamento informado acima, exceto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impressora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apresente alguma falha de comunicação, desconecte o cabo USB e conecte em uma outra entrada USB. Em seguida, feche o SysPDV, abra novamente e refaça o procedimento.</w:t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Organizar os cabos por nome, assim, fica mais fácil a identificação de cada fio dos equipamentos.</w:t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1295400</wp:posOffset>
            </wp:positionH>
            <wp:positionV relativeFrom="paragraph">
              <wp:posOffset>123825</wp:posOffset>
            </wp:positionV>
            <wp:extent cx="3001477" cy="1935162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477" cy="19351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8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as boas práticas de infraestrutura de TI, que tal aproveitar para utilizá-las no dia 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acessar outros materiais, acesse agora mesmo a </w:t>
      </w:r>
      <w:hyperlink r:id="rId2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</w:t>
        </w:r>
      </w:hyperlink>
      <w:hyperlink r:id="rId2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Boas práticas de infraestrutura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hyperlink" Target="https://cursos.casamagalhaes.com.br/" TargetMode="External"/><Relationship Id="rId21" Type="http://schemas.openxmlformats.org/officeDocument/2006/relationships/image" Target="media/image11.png"/><Relationship Id="rId24" Type="http://schemas.openxmlformats.org/officeDocument/2006/relationships/header" Target="header1.xml"/><Relationship Id="rId23" Type="http://schemas.openxmlformats.org/officeDocument/2006/relationships/hyperlink" Target="https://cursos.casamagalhaes.com.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footer" Target="footer1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6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5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