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1028700</wp:posOffset>
            </wp:positionV>
            <wp:extent cx="2512516" cy="985838"/>
            <wp:effectExtent b="0" l="0" r="0" t="0"/>
            <wp:wrapNone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2516" cy="985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-466.062992125984"/>
        <w:rPr>
          <w:rFonts w:ascii="Lexend Deca" w:cs="Lexend Deca" w:eastAsia="Lexend Deca" w:hAnsi="Lexend Deca"/>
          <w:color w:val="00f50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Agosto 2023</w:t>
      </w:r>
    </w:p>
    <w:p w:rsidR="00000000" w:rsidDel="00000000" w:rsidP="00000000" w:rsidRDefault="00000000" w:rsidRPr="00000000" w14:paraId="00000006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 xml:space="preserve">Conteúdo de Apoio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shd w:fill="00f500" w:val="clear"/>
          <w:rtl w:val="0"/>
        </w:rPr>
        <w:t xml:space="preserve"> 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  <w:rtl w:val="0"/>
        </w:rPr>
        <w:t xml:space="preserve">SysPDV </w:t>
      </w:r>
    </w:p>
    <w:p w:rsidR="00000000" w:rsidDel="00000000" w:rsidP="00000000" w:rsidRDefault="00000000" w:rsidRPr="00000000" w14:paraId="0000000B">
      <w:pPr>
        <w:spacing w:line="240" w:lineRule="auto"/>
        <w:ind w:right="1234.7244094488196"/>
        <w:rPr>
          <w:rFonts w:ascii="Lexend Deca" w:cs="Lexend Deca" w:eastAsia="Lexend Deca" w:hAnsi="Lexend Deca"/>
          <w:b w:val="1"/>
          <w:color w:val="002850"/>
          <w:sz w:val="100"/>
          <w:szCs w:val="100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100"/>
          <w:szCs w:val="100"/>
          <w:rtl w:val="0"/>
        </w:rPr>
        <w:t xml:space="preserve">Ficha mesa no SysPDV PDV</w:t>
      </w:r>
    </w:p>
    <w:p w:rsidR="00000000" w:rsidDel="00000000" w:rsidP="00000000" w:rsidRDefault="00000000" w:rsidRPr="00000000" w14:paraId="0000000C">
      <w:pPr>
        <w:spacing w:line="240" w:lineRule="auto"/>
        <w:ind w:right="1234.7244094488196"/>
        <w:rPr>
          <w:rFonts w:ascii="Lexend Deca" w:cs="Lexend Deca" w:eastAsia="Lexend Deca" w:hAnsi="Lexend Deca"/>
          <w:b w:val="1"/>
          <w:color w:val="002850"/>
          <w:sz w:val="100"/>
          <w:szCs w:val="1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exend Deca" w:cs="Lexend Deca" w:eastAsia="Lexend Deca" w:hAnsi="Lexend Deca"/>
          <w:color w:val="00f5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exend Deca" w:cs="Lexend Deca" w:eastAsia="Lexend Deca" w:hAnsi="Lexend Deca"/>
          <w:b w:val="1"/>
          <w:color w:val="002850"/>
          <w:sz w:val="98"/>
          <w:szCs w:val="98"/>
        </w:rPr>
      </w:pP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v.1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exend Deca" w:cs="Lexend Deca" w:eastAsia="Lexend Deca" w:hAnsi="Lexend Deca"/>
          <w:color w:val="00285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28600"/>
                          <a:ext cx="7577138" cy="4277926"/>
                          <a:chOff x="0" y="228600"/>
                          <a:chExt cx="9144000" cy="5143450"/>
                        </a:xfrm>
                      </wpg:grpSpPr>
                      <pic:pic>
                        <pic:nvPicPr>
                          <pic:cNvPr id="3" name="Shape 3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228600"/>
                            <a:ext cx="9144000" cy="5143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7138" cy="42779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margin">
              <wp:posOffset>-925349</wp:posOffset>
            </wp:positionH>
            <wp:positionV relativeFrom="margin">
              <wp:posOffset>-900112</wp:posOffset>
            </wp:positionV>
            <wp:extent cx="7600950" cy="10696575"/>
            <wp:effectExtent b="0" l="0" r="0" t="0"/>
            <wp:wrapNone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069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425.19685039370086" w:firstLine="0"/>
        <w:rPr>
          <w:rFonts w:ascii="Lexend Deca" w:cs="Lexend Deca" w:eastAsia="Lexend Deca" w:hAnsi="Lexend Deca"/>
          <w:b w:val="1"/>
          <w:color w:val="00f500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70"/>
          <w:szCs w:val="70"/>
          <w:rtl w:val="0"/>
        </w:rPr>
        <w:t xml:space="preserve">Índice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Pré-requisitos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Cadastro de Ficha/Mesa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Taxa de Serviço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Lançamento de Consumo da Ficha/mesa no frente de loja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Funções Adicionais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Conclusão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Saiba Mais</w:t>
      </w:r>
    </w:p>
    <w:p w:rsidR="00000000" w:rsidDel="00000000" w:rsidP="00000000" w:rsidRDefault="00000000" w:rsidRPr="00000000" w14:paraId="00000026">
      <w:pPr>
        <w:spacing w:line="360" w:lineRule="auto"/>
        <w:rPr>
          <w:rFonts w:ascii="Lexend Deca" w:cs="Lexend Deca" w:eastAsia="Lexend Deca" w:hAnsi="Lexend Deca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45250" y="1241375"/>
                          <a:ext cx="2599348" cy="2330450"/>
                          <a:chOff x="1045250" y="1241375"/>
                          <a:chExt cx="3597000" cy="3227700"/>
                        </a:xfrm>
                      </wpg:grpSpPr>
                      <pic:pic>
                        <pic:nvPicPr>
                          <pic:cNvPr descr="retrato-de-mulher-no-trabalho-com-videochamada.jpg" id="2" name="Shape 2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18613" r="0" t="0"/>
                          <a:stretch/>
                        </pic:blipFill>
                        <pic:spPr>
                          <a:xfrm>
                            <a:off x="1045250" y="1241375"/>
                            <a:ext cx="3597000" cy="3227700"/>
                          </a:xfrm>
                          <a:prstGeom prst="roundRect">
                            <a:avLst>
                              <a:gd fmla="val 5743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9348" cy="2330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A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2800350</wp:posOffset>
            </wp:positionH>
            <wp:positionV relativeFrom="paragraph">
              <wp:posOffset>146530</wp:posOffset>
            </wp:positionV>
            <wp:extent cx="604838" cy="232089"/>
            <wp:effectExtent b="0" l="0" r="0" t="0"/>
            <wp:wrapNone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8" cy="2320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Para acessar</w:t>
      </w:r>
    </w:p>
    <w:p w:rsidR="00000000" w:rsidDel="00000000" w:rsidP="00000000" w:rsidRDefault="00000000" w:rsidRPr="00000000" w14:paraId="0000002D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outros conteúdos,</w:t>
      </w:r>
    </w:p>
    <w:p w:rsidR="00000000" w:rsidDel="00000000" w:rsidP="00000000" w:rsidRDefault="00000000" w:rsidRPr="00000000" w14:paraId="0000002E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acesse também</w:t>
      </w:r>
    </w:p>
    <w:p w:rsidR="00000000" w:rsidDel="00000000" w:rsidP="00000000" w:rsidRDefault="00000000" w:rsidRPr="00000000" w14:paraId="0000002F">
      <w:pPr>
        <w:ind w:left="3401.5748031496064" w:firstLine="992.125984251968"/>
        <w:rPr>
          <w:rFonts w:ascii="Lexend Deca" w:cs="Lexend Deca" w:eastAsia="Lexend Deca" w:hAnsi="Lexend Deca"/>
          <w:b w:val="1"/>
          <w:color w:val="32f032"/>
          <w:sz w:val="40"/>
          <w:szCs w:val="40"/>
          <w:u w:val="singl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nossa</w:t>
      </w: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42"/>
          <w:szCs w:val="42"/>
          <w:rtl w:val="0"/>
        </w:rPr>
        <w:t xml:space="preserve"> </w:t>
      </w:r>
      <w:hyperlink r:id="rId13">
        <w:r w:rsidDel="00000000" w:rsidR="00000000" w:rsidRPr="00000000">
          <w:rPr>
            <w:rFonts w:ascii="Lexend Deca" w:cs="Lexend Deca" w:eastAsia="Lexend Deca" w:hAnsi="Lexend Deca"/>
            <w:b w:val="1"/>
            <w:color w:val="32f032"/>
            <w:sz w:val="40"/>
            <w:szCs w:val="40"/>
            <w:u w:val="single"/>
            <w:rtl w:val="0"/>
          </w:rPr>
          <w:t xml:space="preserve">Central de Ajuda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Title"/>
        <w:widowControl w:val="0"/>
        <w:jc w:val="both"/>
        <w:rPr/>
      </w:pPr>
      <w:bookmarkStart w:colFirst="0" w:colLast="0" w:name="_e7qzknjty7m0" w:id="0"/>
      <w:bookmarkEnd w:id="0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31">
      <w:pPr>
        <w:spacing w:after="200"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gerenciamento eficiente de consumos em ambientes como cafeterias, bares, lanchonetes e restaurantes é fundamental para garantir uma experiência satisfatória aos clientes. O cadastro de fichas e mesas é uma funcionalidade chave oferecida pelo Syspdv, que proporciona uma automatização do atendimento, conferindo maior organização, agilidade e controle. Além disso, essa abordagem simplifica o processo de pagamento após o consumo.</w:t>
      </w:r>
    </w:p>
    <w:p w:rsidR="00000000" w:rsidDel="00000000" w:rsidP="00000000" w:rsidRDefault="00000000" w:rsidRPr="00000000" w14:paraId="00000032">
      <w:pPr>
        <w:spacing w:after="200"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Title"/>
        <w:widowControl w:val="0"/>
        <w:rPr>
          <w:rFonts w:ascii="Lexend Deca" w:cs="Lexend Deca" w:eastAsia="Lexend Deca" w:hAnsi="Lexend Deca"/>
          <w:color w:val="002850"/>
          <w:sz w:val="26"/>
          <w:szCs w:val="26"/>
        </w:rPr>
      </w:pPr>
      <w:bookmarkStart w:colFirst="0" w:colLast="0" w:name="_gyfwnqmdiw6z" w:id="1"/>
      <w:bookmarkEnd w:id="1"/>
      <w:r w:rsidDel="00000000" w:rsidR="00000000" w:rsidRPr="00000000">
        <w:rPr>
          <w:rtl w:val="0"/>
        </w:rPr>
        <w:t xml:space="preserve">Pré-requisitos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line="276" w:lineRule="auto"/>
        <w:ind w:left="720" w:hanging="360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Cadastro de Produto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line="276" w:lineRule="auto"/>
        <w:ind w:left="720" w:hanging="360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Cadastro de Ficha/Mesa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200" w:line="276" w:lineRule="auto"/>
        <w:ind w:left="720" w:hanging="360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Taxa de Serviço</w:t>
      </w:r>
    </w:p>
    <w:p w:rsidR="00000000" w:rsidDel="00000000" w:rsidP="00000000" w:rsidRDefault="00000000" w:rsidRPr="00000000" w14:paraId="00000037">
      <w:pPr>
        <w:spacing w:after="200"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0"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Title"/>
        <w:rPr/>
      </w:pPr>
      <w:bookmarkStart w:colFirst="0" w:colLast="0" w:name="_z2i5feb05m43" w:id="2"/>
      <w:bookmarkEnd w:id="2"/>
      <w:r w:rsidDel="00000000" w:rsidR="00000000" w:rsidRPr="00000000">
        <w:rPr>
          <w:rtl w:val="0"/>
        </w:rPr>
        <w:t xml:space="preserve">Cadastro de Ficha/Mesa</w:t>
      </w:r>
    </w:p>
    <w:p w:rsidR="00000000" w:rsidDel="00000000" w:rsidP="00000000" w:rsidRDefault="00000000" w:rsidRPr="00000000" w14:paraId="00000044">
      <w:pPr>
        <w:spacing w:after="200"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melhor identificação e rastreamento dos consumos, é essencial registrar os números das fichas ou mesas utilizadas no estabelecimento. Isso simplifica a atribuição dos consumos ao cliente correto e também facilita o fechamento da conta. </w:t>
      </w:r>
    </w:p>
    <w:p w:rsidR="00000000" w:rsidDel="00000000" w:rsidP="00000000" w:rsidRDefault="00000000" w:rsidRPr="00000000" w14:paraId="00000045">
      <w:pPr>
        <w:spacing w:after="200"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Acesse o menu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Venda Assistida &gt; Ficha/Mesa &gt; Cadastro &gt; Ficha/Mesa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46">
      <w:pPr>
        <w:spacing w:after="200"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39624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00"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Preencha os campos com o intervalo numérico das fichas/mesas desejadas e clique em "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Gravar-F9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".</w:t>
      </w:r>
    </w:p>
    <w:p w:rsidR="00000000" w:rsidDel="00000000" w:rsidP="00000000" w:rsidRDefault="00000000" w:rsidRPr="00000000" w14:paraId="00000048">
      <w:pPr>
        <w:spacing w:after="200"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39751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Title"/>
        <w:rPr/>
      </w:pPr>
      <w:bookmarkStart w:colFirst="0" w:colLast="0" w:name="_h7h04ynwsd0e" w:id="3"/>
      <w:bookmarkEnd w:id="3"/>
      <w:r w:rsidDel="00000000" w:rsidR="00000000" w:rsidRPr="00000000">
        <w:rPr>
          <w:rtl w:val="0"/>
        </w:rPr>
        <w:t xml:space="preserve">Taxa de Serviço</w:t>
      </w:r>
    </w:p>
    <w:p w:rsidR="00000000" w:rsidDel="00000000" w:rsidP="00000000" w:rsidRDefault="00000000" w:rsidRPr="00000000" w14:paraId="0000004A">
      <w:pPr>
        <w:spacing w:after="200"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garantir uma abordagem completa e justa em relação à comissão dos garçons, é fundamental configurar adequadamente o parâmetro de Taxa de Serviço no SysPDV PDV. Através desse recurso, é possível acrescentar um percentual de comissão ao valor da venda, direcionando a devida recompensa aos vendedores envolvidos. </w:t>
      </w:r>
    </w:p>
    <w:p w:rsidR="00000000" w:rsidDel="00000000" w:rsidP="00000000" w:rsidRDefault="00000000" w:rsidRPr="00000000" w14:paraId="0000004B">
      <w:pPr>
        <w:spacing w:after="200"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Na rotina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Sistema &gt; Parâmetro &gt; SysPDV PDV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aba vendedor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, identifique o parâmetro "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Taxa de Serviço (Garçom)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". Habilite essa opção marcando a checkbox correspondente. Isso ativará o campo para permitir adicionar um percentual de comissão à venda em prol do garçom. Caso utilize o varejofacil como retaguarda a configuração da taxa de serviço deve ser realizada nos parâmetros do frente de loja.</w:t>
      </w:r>
    </w:p>
    <w:p w:rsidR="00000000" w:rsidDel="00000000" w:rsidP="00000000" w:rsidRDefault="00000000" w:rsidRPr="00000000" w14:paraId="0000004C">
      <w:pPr>
        <w:spacing w:after="200"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37592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É crucial salientar que, para aplicar a comissão ao funcionário "garçom", é necessário que a opção "Paga comissão" esteja habilitada no cadastro do produto.</w:t>
      </w:r>
    </w:p>
    <w:p w:rsidR="00000000" w:rsidDel="00000000" w:rsidP="00000000" w:rsidRDefault="00000000" w:rsidRPr="00000000" w14:paraId="0000004E">
      <w:pPr>
        <w:spacing w:after="200"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37592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Title"/>
        <w:rPr/>
      </w:pPr>
      <w:bookmarkStart w:colFirst="0" w:colLast="0" w:name="_9yis41k67h49" w:id="4"/>
      <w:bookmarkEnd w:id="4"/>
      <w:r w:rsidDel="00000000" w:rsidR="00000000" w:rsidRPr="00000000">
        <w:rPr>
          <w:rtl w:val="0"/>
        </w:rPr>
        <w:t xml:space="preserve">Lançamento de Consumo da Ficha/mesa no frente de loja</w:t>
      </w:r>
    </w:p>
    <w:p w:rsidR="00000000" w:rsidDel="00000000" w:rsidP="00000000" w:rsidRDefault="00000000" w:rsidRPr="00000000" w14:paraId="00000050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Essa função é essencial para registrar os produtos consumidos em relação a uma ficha/mesa específica. Siga os passos abaixo:</w:t>
      </w:r>
    </w:p>
    <w:p w:rsidR="00000000" w:rsidDel="00000000" w:rsidP="00000000" w:rsidRDefault="00000000" w:rsidRPr="00000000" w14:paraId="00000051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realizar o lançamento de uma ficha/mesa, na tela do SysPDV PDV utilize a função 153/, será exibida a tela de Lançamento de Consumo. </w:t>
      </w:r>
    </w:p>
    <w:p w:rsidR="00000000" w:rsidDel="00000000" w:rsidP="00000000" w:rsidRDefault="00000000" w:rsidRPr="00000000" w14:paraId="00000053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30988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ind w:left="720" w:hanging="360"/>
        <w:jc w:val="both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Preencha o campo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"Ficha/Mesa"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com o número correspondente. 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ind w:left="720" w:hanging="360"/>
        <w:jc w:val="both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Informe o código do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vendedor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responsável pelo atendimento no campo "Vendedor".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ind w:left="720" w:hanging="360"/>
        <w:jc w:val="both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Insira o código do produto, digitando ou escaneando o código de barras. Pode-se utilizar as funções 300/, 305 e 306/ para consultar produtos.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ind w:left="720" w:hanging="360"/>
        <w:jc w:val="both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Indique a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quantidade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consumida  no campo "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Quantidade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".</w:t>
      </w:r>
    </w:p>
    <w:p w:rsidR="00000000" w:rsidDel="00000000" w:rsidP="00000000" w:rsidRDefault="00000000" w:rsidRPr="00000000" w14:paraId="00000059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Avance os campos pressionando Enter. Você pode inserir vários produtos antes de gravar o lançamento, os produtos inseridos são exibidos de maneira clara na grid, conforme a sequência em que foram adicionados. A grid apresenta os detalhes dos itens, como código do produto, quantidade, preço unitário, desconto, preço total etc. Essa visualização facilita a conferência e o acompanhamento dos produtos incluídos na ficha/mesa.</w:t>
      </w:r>
    </w:p>
    <w:p w:rsidR="00000000" w:rsidDel="00000000" w:rsidP="00000000" w:rsidRDefault="00000000" w:rsidRPr="00000000" w14:paraId="0000005B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3098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Botões de Controle</w:t>
      </w:r>
    </w:p>
    <w:p w:rsidR="00000000" w:rsidDel="00000000" w:rsidP="00000000" w:rsidRDefault="00000000" w:rsidRPr="00000000" w14:paraId="0000005E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Ao inserir um ou mais itens na ficha/mesa, os botões de controle são habilitados. </w:t>
      </w:r>
    </w:p>
    <w:p w:rsidR="00000000" w:rsidDel="00000000" w:rsidP="00000000" w:rsidRDefault="00000000" w:rsidRPr="00000000" w14:paraId="0000005F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30988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botão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Desconto-F5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possibilita a inserção de um desconto em forma de valor fixo ou percentual, que será aplicado à conta. É importante destacar que o percentual informado terá efeito igual em todos os itens da ficha/mesa, e caso seja um desconto em valor, ele será distribuído proporcionalmente. </w:t>
      </w:r>
    </w:p>
    <w:p w:rsidR="00000000" w:rsidDel="00000000" w:rsidP="00000000" w:rsidRDefault="00000000" w:rsidRPr="00000000" w14:paraId="00000061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botão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Gravar-F5,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utilizado para salvar operações realizadas.</w:t>
      </w:r>
    </w:p>
    <w:p w:rsidR="00000000" w:rsidDel="00000000" w:rsidP="00000000" w:rsidRDefault="00000000" w:rsidRPr="00000000" w14:paraId="00000062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botão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Cancelar-F5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, utilizado para desfazer as mudanças e sair sem salvar.</w:t>
      </w:r>
    </w:p>
    <w:p w:rsidR="00000000" w:rsidDel="00000000" w:rsidP="00000000" w:rsidRDefault="00000000" w:rsidRPr="00000000" w14:paraId="00000063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Botões de Ações</w:t>
      </w:r>
    </w:p>
    <w:p w:rsidR="00000000" w:rsidDel="00000000" w:rsidP="00000000" w:rsidRDefault="00000000" w:rsidRPr="00000000" w14:paraId="00000065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Ao inserir os itens, serão exibidos botões úteis que estarão habilitados para operações como transferência, cancelamento, desconto e pesagem. </w:t>
      </w:r>
    </w:p>
    <w:p w:rsidR="00000000" w:rsidDel="00000000" w:rsidP="00000000" w:rsidRDefault="00000000" w:rsidRPr="00000000" w14:paraId="00000066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31115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botão "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Transferir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" permite mover um item para outra ficha/mesa. Ao clicar nesse botão, você será solicitado a fornecer o número da ficha/mesa para onde deseja transferir o item. Insira o número da ficha/mesa e confirme ao clicar em 'Sim'. </w:t>
      </w:r>
    </w:p>
    <w:p w:rsidR="00000000" w:rsidDel="00000000" w:rsidP="00000000" w:rsidRDefault="00000000" w:rsidRPr="00000000" w14:paraId="00000069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30988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Após retornar para a tela de lançamento, o item em questão ficará no campo ações, indicando que foi transferido.</w:t>
      </w:r>
    </w:p>
    <w:p w:rsidR="00000000" w:rsidDel="00000000" w:rsidP="00000000" w:rsidRDefault="00000000" w:rsidRPr="00000000" w14:paraId="0000006B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31115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botão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“Cancelar”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desfaz o lançamento de um item. Ao clicar nesse botão, será solicitada a confirmação do cancelamento. Confirme a ação clicando em 'Sim'. </w:t>
      </w:r>
    </w:p>
    <w:p w:rsidR="00000000" w:rsidDel="00000000" w:rsidP="00000000" w:rsidRDefault="00000000" w:rsidRPr="00000000" w14:paraId="0000006E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30988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Após retornar à tela de lançamento, o item em questão aparecerá no campo de ações, indicando que foi cancelado.</w:t>
      </w:r>
    </w:p>
    <w:p w:rsidR="00000000" w:rsidDel="00000000" w:rsidP="00000000" w:rsidRDefault="00000000" w:rsidRPr="00000000" w14:paraId="00000070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3111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botão "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Desconto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" aplica desconto percentual ou por valor. Ao clicar nesse botão, você será questionado sobre o tipo de desconto que deseja aplicar. Especifique o tipo de desconto desejado.</w:t>
      </w:r>
    </w:p>
    <w:p w:rsidR="00000000" w:rsidDel="00000000" w:rsidP="00000000" w:rsidRDefault="00000000" w:rsidRPr="00000000" w14:paraId="00000073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30988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Em seguida, insira o valor ou a porcentagem de desconto de acordo com a opção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selecionada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75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30988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Após voltar à tela de lançamento, o item em questão será exibido no campo de descontos, indicando o desconto aplicado.</w:t>
      </w:r>
    </w:p>
    <w:p w:rsidR="00000000" w:rsidDel="00000000" w:rsidP="00000000" w:rsidRDefault="00000000" w:rsidRPr="00000000" w14:paraId="00000077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31115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botão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“Pesar Produto”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é utilizado para itens que requerem pesagem e estão pendentes. Essa configuração é definida no cadastro do produto, por meio do campo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 'Forma de venda'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07A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37465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Ao clicar no botão 'Pesar Produto', uma tela será exibida para registrar o peso do item. Insira o peso do produto e confirme pressionando Enter. </w:t>
      </w:r>
    </w:p>
    <w:p w:rsidR="00000000" w:rsidDel="00000000" w:rsidP="00000000" w:rsidRDefault="00000000" w:rsidRPr="00000000" w14:paraId="0000007D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30988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Ao retornar à tela de lançamento, o total do item em questão será calculado com base no peso informado.</w:t>
      </w:r>
    </w:p>
    <w:p w:rsidR="00000000" w:rsidDel="00000000" w:rsidP="00000000" w:rsidRDefault="00000000" w:rsidRPr="00000000" w14:paraId="00000080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30988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Após inserir e gerenciar todos os itens, pressione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Gravar-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F9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083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30988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concluir o atendimento da ficha/mesa, efetuar o recebimento do pagamento e emitir o cupom fiscal, utilize a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função 162/.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Insira 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código da ficha/mesa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e confirme a venda ao clicar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'Sim'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86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3098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Se 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parâmetro 02 - Não permite venda com estoque zero do SysPDV PDV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estiver ativado, ao selecionar e confirmar a venda, antes de mostrar os produtos no PDV, o sistema verificará o estoque dos itens do pedido. Caso algum produto do pedido tenha estoque zero ou negativo, uma lista de produtos com estoque zero ou negativo será exibida e não permitirá concluir a venda.</w:t>
      </w:r>
    </w:p>
    <w:p w:rsidR="00000000" w:rsidDel="00000000" w:rsidP="00000000" w:rsidRDefault="00000000" w:rsidRPr="00000000" w14:paraId="00000089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Neste momento, os itens serão apresentados na tela do SysPDV. Prossiga com a conclusão da venda como de costume.</w:t>
      </w:r>
    </w:p>
    <w:p w:rsidR="00000000" w:rsidDel="00000000" w:rsidP="00000000" w:rsidRDefault="00000000" w:rsidRPr="00000000" w14:paraId="0000008B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Title"/>
        <w:jc w:val="both"/>
        <w:rPr/>
      </w:pPr>
      <w:bookmarkStart w:colFirst="0" w:colLast="0" w:name="_y6llsuj78i18" w:id="5"/>
      <w:bookmarkEnd w:id="5"/>
      <w:r w:rsidDel="00000000" w:rsidR="00000000" w:rsidRPr="00000000">
        <w:rPr>
          <w:rtl w:val="0"/>
        </w:rPr>
        <w:t xml:space="preserve">Funções Adicionais</w:t>
      </w:r>
    </w:p>
    <w:p w:rsidR="00000000" w:rsidDel="00000000" w:rsidP="00000000" w:rsidRDefault="00000000" w:rsidRPr="00000000" w14:paraId="0000008E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262/ - Impressão Conferência Ficha/Mesa: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Permite imprimir um documento para revisar os itens e valores registrados na ficha/mesa antes de efetuar o pagamento. Ao executar essa função, insira o número da ficha/mesa e a quantidade de pessoas para calcular o valor por pessoa.</w:t>
      </w:r>
    </w:p>
    <w:p w:rsidR="00000000" w:rsidDel="00000000" w:rsidP="00000000" w:rsidRDefault="00000000" w:rsidRPr="00000000" w14:paraId="0000008F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30988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152/ - Abono do Acréscimo Ficha/Mesa: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Se você configurou uma taxa de serviço para o garçom, esta função serve para dispensar esse acréscimo. Basta executá-la, informar o número da ficha/mesa e confirmar o abono. Veja o exemplo:</w:t>
      </w:r>
    </w:p>
    <w:p w:rsidR="00000000" w:rsidDel="00000000" w:rsidP="00000000" w:rsidRDefault="00000000" w:rsidRPr="00000000" w14:paraId="00000092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30988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166/ - Junção Ficha/Mesa: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Possibilita combinar o consumo registrado em duas ou mais fichas/mesas. Depois de executar a função, a tela seguinte será mostrada:</w:t>
      </w:r>
    </w:p>
    <w:p w:rsidR="00000000" w:rsidDel="00000000" w:rsidP="00000000" w:rsidRDefault="00000000" w:rsidRPr="00000000" w14:paraId="00000095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30988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Informe os números das fichas/mesas que deseja combinar, pressionando Enter após cada número. </w:t>
      </w:r>
    </w:p>
    <w:p w:rsidR="00000000" w:rsidDel="00000000" w:rsidP="00000000" w:rsidRDefault="00000000" w:rsidRPr="00000000" w14:paraId="00000098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30988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As fichas incluídas estarão listadas no campo ficha e os itens consumidos estarão no campo Itens. Para finalizar a combinação, pressione Enter com o campo Ficha/Mesa vazio e confirme.</w:t>
      </w:r>
    </w:p>
    <w:p w:rsidR="00000000" w:rsidDel="00000000" w:rsidP="00000000" w:rsidRDefault="00000000" w:rsidRPr="00000000" w14:paraId="0000009A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Title"/>
        <w:jc w:val="both"/>
        <w:rPr/>
      </w:pPr>
      <w:bookmarkStart w:colFirst="0" w:colLast="0" w:name="_c4aweqm9l15p" w:id="6"/>
      <w:bookmarkEnd w:id="6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9C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Em resumo, as funcionalidades oferecidas pelo SysPDV para o gerenciamento de fichas/mesas são fundamentais para otimizar o atendimento, controlar consumos e garantir uma operação fluida e eficaz. A capacidade de acompanhar, lançar e transferir itens entre fichas/mesas proporciona uma experiência de alta qualidade tanto para a equipe quanto para os clientes. Com essas ferramentas à disposição, você está pronto para elevar o nível do serviço oferecido pelo seu estabelecimento.</w:t>
      </w:r>
    </w:p>
    <w:p w:rsidR="00000000" w:rsidDel="00000000" w:rsidP="00000000" w:rsidRDefault="00000000" w:rsidRPr="00000000" w14:paraId="0000009D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Title"/>
        <w:jc w:val="both"/>
        <w:rPr/>
      </w:pPr>
      <w:bookmarkStart w:colFirst="0" w:colLast="0" w:name="_uy9q2w9x4ooo" w:id="7"/>
      <w:bookmarkEnd w:id="7"/>
      <w:r w:rsidDel="00000000" w:rsidR="00000000" w:rsidRPr="00000000">
        <w:rPr>
          <w:rtl w:val="0"/>
        </w:rPr>
        <w:t xml:space="preserve">Saiba Mais</w:t>
      </w:r>
    </w:p>
    <w:p w:rsidR="00000000" w:rsidDel="00000000" w:rsidP="00000000" w:rsidRDefault="00000000" w:rsidRPr="00000000" w14:paraId="0000009F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aprofundar seus conhecimentos, acesse a </w:t>
      </w:r>
      <w:hyperlink r:id="rId38">
        <w:r w:rsidDel="00000000" w:rsidR="00000000" w:rsidRPr="00000000">
          <w:rPr>
            <w:rFonts w:ascii="Lexend Deca" w:cs="Lexend Deca" w:eastAsia="Lexend Deca" w:hAnsi="Lexend Deca"/>
            <w:color w:val="1155cc"/>
            <w:sz w:val="26"/>
            <w:szCs w:val="26"/>
            <w:u w:val="single"/>
            <w:rtl w:val="0"/>
          </w:rPr>
          <w:t xml:space="preserve">Academia CM (ACM)</w:t>
        </w:r>
      </w:hyperlink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 Lá, você encontrará informações detalhadas sobre esses procedimentos e poderá aprimorar suas habilidades.</w:t>
      </w:r>
      <w:r w:rsidDel="00000000" w:rsidR="00000000" w:rsidRPr="00000000">
        <w:rPr>
          <w:rtl w:val="0"/>
        </w:rPr>
      </w:r>
    </w:p>
    <w:sectPr>
      <w:headerReference r:id="rId39" w:type="default"/>
      <w:headerReference r:id="rId40" w:type="first"/>
      <w:footerReference r:id="rId41" w:type="default"/>
      <w:footerReference r:id="rId42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Baloo 2">
    <w:embedRegular w:fontKey="{00000000-0000-0000-0000-000000000000}" r:id="rId1" w:subsetted="0"/>
    <w:embedBold w:fontKey="{00000000-0000-0000-0000-000000000000}" r:id="rId2" w:subsetted="0"/>
  </w:font>
  <w:font w:name="Lexend Deca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1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2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rPr>
        <w:rFonts w:ascii="Lexend Deca" w:cs="Lexend Deca" w:eastAsia="Lexend Deca" w:hAnsi="Lexend Deca"/>
        <w:b w:val="1"/>
        <w:color w:val="32f032"/>
        <w:sz w:val="26"/>
        <w:szCs w:val="2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0">
    <w:pPr>
      <w:rPr>
        <w:rFonts w:ascii="Lexend Deca" w:cs="Lexend Deca" w:eastAsia="Lexend Deca" w:hAnsi="Lexend Deca"/>
        <w:b w:val="1"/>
        <w:color w:val="999999"/>
        <w:sz w:val="28"/>
        <w:szCs w:val="28"/>
      </w:rPr>
    </w:pP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5557838</wp:posOffset>
          </wp:positionH>
          <wp:positionV relativeFrom="page">
            <wp:posOffset>427763</wp:posOffset>
          </wp:positionV>
          <wp:extent cx="1087763" cy="277896"/>
          <wp:effectExtent b="0" l="0" r="0" t="0"/>
          <wp:wrapNone/>
          <wp:docPr id="20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87763" cy="277896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  <w:rtl w:val="0"/>
      </w:rPr>
      <w:t xml:space="preserve">Ficha mesa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0" w:hanging="360"/>
      </w:pPr>
      <w:rPr>
        <w:rFonts w:ascii="Baloo 2" w:cs="Baloo 2" w:eastAsia="Baloo 2" w:hAnsi="Baloo 2"/>
        <w:b w:val="1"/>
        <w:color w:val="00f500"/>
        <w:sz w:val="34"/>
        <w:szCs w:val="3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200" w:line="276" w:lineRule="auto"/>
      <w:jc w:val="both"/>
    </w:pPr>
    <w:rPr>
      <w:rFonts w:ascii="Lexend Deca" w:cs="Lexend Deca" w:eastAsia="Lexend Deca" w:hAnsi="Lexend Deca"/>
      <w:b w:val="1"/>
      <w:color w:val="32f03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2.xml"/><Relationship Id="rId20" Type="http://schemas.openxmlformats.org/officeDocument/2006/relationships/image" Target="media/image15.png"/><Relationship Id="rId42" Type="http://schemas.openxmlformats.org/officeDocument/2006/relationships/footer" Target="footer2.xml"/><Relationship Id="rId41" Type="http://schemas.openxmlformats.org/officeDocument/2006/relationships/footer" Target="footer1.xml"/><Relationship Id="rId22" Type="http://schemas.openxmlformats.org/officeDocument/2006/relationships/image" Target="media/image4.png"/><Relationship Id="rId21" Type="http://schemas.openxmlformats.org/officeDocument/2006/relationships/image" Target="media/image13.png"/><Relationship Id="rId24" Type="http://schemas.openxmlformats.org/officeDocument/2006/relationships/image" Target="media/image7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28.png"/><Relationship Id="rId25" Type="http://schemas.openxmlformats.org/officeDocument/2006/relationships/image" Target="media/image3.png"/><Relationship Id="rId28" Type="http://schemas.openxmlformats.org/officeDocument/2006/relationships/image" Target="media/image19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16.png"/><Relationship Id="rId7" Type="http://schemas.openxmlformats.org/officeDocument/2006/relationships/image" Target="media/image31.png"/><Relationship Id="rId8" Type="http://schemas.openxmlformats.org/officeDocument/2006/relationships/image" Target="media/image30.png"/><Relationship Id="rId31" Type="http://schemas.openxmlformats.org/officeDocument/2006/relationships/image" Target="media/image23.png"/><Relationship Id="rId30" Type="http://schemas.openxmlformats.org/officeDocument/2006/relationships/image" Target="media/image12.png"/><Relationship Id="rId11" Type="http://schemas.openxmlformats.org/officeDocument/2006/relationships/image" Target="media/image29.png"/><Relationship Id="rId33" Type="http://schemas.openxmlformats.org/officeDocument/2006/relationships/image" Target="media/image5.png"/><Relationship Id="rId10" Type="http://schemas.openxmlformats.org/officeDocument/2006/relationships/image" Target="media/image32.jpg"/><Relationship Id="rId32" Type="http://schemas.openxmlformats.org/officeDocument/2006/relationships/image" Target="media/image26.png"/><Relationship Id="rId13" Type="http://schemas.openxmlformats.org/officeDocument/2006/relationships/hyperlink" Target="https://grupocasamagalhaes.movidesk.com/kb" TargetMode="External"/><Relationship Id="rId35" Type="http://schemas.openxmlformats.org/officeDocument/2006/relationships/image" Target="media/image25.png"/><Relationship Id="rId12" Type="http://schemas.openxmlformats.org/officeDocument/2006/relationships/image" Target="media/image22.png"/><Relationship Id="rId34" Type="http://schemas.openxmlformats.org/officeDocument/2006/relationships/image" Target="media/image14.png"/><Relationship Id="rId15" Type="http://schemas.openxmlformats.org/officeDocument/2006/relationships/image" Target="media/image8.png"/><Relationship Id="rId37" Type="http://schemas.openxmlformats.org/officeDocument/2006/relationships/image" Target="media/image1.png"/><Relationship Id="rId14" Type="http://schemas.openxmlformats.org/officeDocument/2006/relationships/image" Target="media/image2.png"/><Relationship Id="rId36" Type="http://schemas.openxmlformats.org/officeDocument/2006/relationships/image" Target="media/image21.png"/><Relationship Id="rId17" Type="http://schemas.openxmlformats.org/officeDocument/2006/relationships/image" Target="media/image9.png"/><Relationship Id="rId39" Type="http://schemas.openxmlformats.org/officeDocument/2006/relationships/header" Target="header1.xml"/><Relationship Id="rId16" Type="http://schemas.openxmlformats.org/officeDocument/2006/relationships/image" Target="media/image18.png"/><Relationship Id="rId38" Type="http://schemas.openxmlformats.org/officeDocument/2006/relationships/hyperlink" Target="https://cursos.casamagalhaes.com.br/" TargetMode="External"/><Relationship Id="rId19" Type="http://schemas.openxmlformats.org/officeDocument/2006/relationships/image" Target="media/image11.png"/><Relationship Id="rId18" Type="http://schemas.openxmlformats.org/officeDocument/2006/relationships/image" Target="media/image2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aloo2-regular.ttf"/><Relationship Id="rId2" Type="http://schemas.openxmlformats.org/officeDocument/2006/relationships/font" Target="fonts/Baloo2-bold.ttf"/><Relationship Id="rId3" Type="http://schemas.openxmlformats.org/officeDocument/2006/relationships/font" Target="fonts/LexendDeca-regular.ttf"/><Relationship Id="rId4" Type="http://schemas.openxmlformats.org/officeDocument/2006/relationships/font" Target="fonts/LexendDec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