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Lexend Deca" w:cs="Lexend Deca" w:eastAsia="Lexend Deca" w:hAnsi="Lexend Deca"/>
        </w:rPr>
      </w:pPr>
      <w:r w:rsidDel="00000000" w:rsidR="00000000" w:rsidRPr="00000000">
        <w:rPr>
          <w:rFonts w:ascii="Lexend Deca" w:cs="Lexend Deca" w:eastAsia="Lexend Deca" w:hAnsi="Lexend Deca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933450</wp:posOffset>
            </wp:positionH>
            <wp:positionV relativeFrom="page">
              <wp:posOffset>1028700</wp:posOffset>
            </wp:positionV>
            <wp:extent cx="2512516" cy="985838"/>
            <wp:effectExtent b="0" l="0" r="0" t="0"/>
            <wp:wrapNone/>
            <wp:docPr id="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12516" cy="98583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Lexend Deca" w:cs="Lexend Deca" w:eastAsia="Lexend Deca" w:hAnsi="Lexend Deca"/>
          <w:b w:val="1"/>
          <w:color w:val="00f500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ind w:right="-466.062992125984"/>
        <w:rPr>
          <w:rFonts w:ascii="Lexend Deca" w:cs="Lexend Deca" w:eastAsia="Lexend Deca" w:hAnsi="Lexend Deca"/>
          <w:color w:val="00f50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b w:val="1"/>
          <w:color w:val="00f500"/>
          <w:sz w:val="38"/>
          <w:szCs w:val="38"/>
          <w:rtl w:val="0"/>
        </w:rPr>
        <w:tab/>
        <w:tab/>
        <w:tab/>
        <w:tab/>
        <w:tab/>
        <w:tab/>
        <w:tab/>
        <w:tab/>
        <w:tab/>
        <w:tab/>
        <w:tab/>
      </w:r>
      <w:r w:rsidDel="00000000" w:rsidR="00000000" w:rsidRPr="00000000">
        <w:rPr>
          <w:rFonts w:ascii="Lexend Deca" w:cs="Lexend Deca" w:eastAsia="Lexend Deca" w:hAnsi="Lexend Deca"/>
          <w:color w:val="00f500"/>
          <w:sz w:val="26"/>
          <w:szCs w:val="26"/>
          <w:rtl w:val="0"/>
        </w:rPr>
        <w:t xml:space="preserve">Agosto 2023</w:t>
      </w:r>
    </w:p>
    <w:p w:rsidR="00000000" w:rsidDel="00000000" w:rsidP="00000000" w:rsidRDefault="00000000" w:rsidRPr="00000000" w14:paraId="00000006">
      <w:pPr>
        <w:rPr>
          <w:rFonts w:ascii="Lexend Deca" w:cs="Lexend Deca" w:eastAsia="Lexend Deca" w:hAnsi="Lexend Deca"/>
          <w:b w:val="1"/>
          <w:color w:val="00f500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Lexend Deca" w:cs="Lexend Deca" w:eastAsia="Lexend Deca" w:hAnsi="Lexend Deca"/>
          <w:b w:val="1"/>
          <w:color w:val="00f500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Lexend Deca" w:cs="Lexend Deca" w:eastAsia="Lexend Deca" w:hAnsi="Lexend Deca"/>
          <w:b w:val="1"/>
          <w:color w:val="00f500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Lexend Deca" w:cs="Lexend Deca" w:eastAsia="Lexend Deca" w:hAnsi="Lexend Deca"/>
          <w:b w:val="1"/>
          <w:color w:val="002850"/>
          <w:sz w:val="38"/>
          <w:szCs w:val="38"/>
          <w:shd w:fill="00f500" w:val="clear"/>
        </w:rPr>
      </w:pPr>
      <w:r w:rsidDel="00000000" w:rsidR="00000000" w:rsidRPr="00000000">
        <w:rPr>
          <w:rFonts w:ascii="Lexend Deca" w:cs="Lexend Deca" w:eastAsia="Lexend Deca" w:hAnsi="Lexend Deca"/>
          <w:b w:val="1"/>
          <w:color w:val="00f500"/>
          <w:sz w:val="38"/>
          <w:szCs w:val="38"/>
          <w:rtl w:val="0"/>
        </w:rPr>
        <w:t xml:space="preserve">Conteúdo de Apoio</w:t>
      </w:r>
      <w:r w:rsidDel="00000000" w:rsidR="00000000" w:rsidRPr="00000000">
        <w:rPr>
          <w:rFonts w:ascii="Lexend Deca" w:cs="Lexend Deca" w:eastAsia="Lexend Deca" w:hAnsi="Lexend Deca"/>
          <w:color w:val="00f500"/>
          <w:sz w:val="38"/>
          <w:szCs w:val="38"/>
          <w:rtl w:val="0"/>
        </w:rPr>
        <w:t xml:space="preserve"> </w:t>
      </w:r>
      <w:r w:rsidDel="00000000" w:rsidR="00000000" w:rsidRPr="00000000">
        <w:rPr>
          <w:rFonts w:ascii="Lexend Deca" w:cs="Lexend Deca" w:eastAsia="Lexend Deca" w:hAnsi="Lexend Deca"/>
          <w:color w:val="00f500"/>
          <w:sz w:val="38"/>
          <w:szCs w:val="38"/>
          <w:shd w:fill="00f500" w:val="clear"/>
          <w:rtl w:val="0"/>
        </w:rPr>
        <w:t xml:space="preserve"> </w:t>
      </w: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38"/>
          <w:szCs w:val="38"/>
          <w:shd w:fill="00f500" w:val="clear"/>
          <w:rtl w:val="0"/>
        </w:rPr>
        <w:t xml:space="preserve">varejofacil </w:t>
      </w:r>
    </w:p>
    <w:p w:rsidR="00000000" w:rsidDel="00000000" w:rsidP="00000000" w:rsidRDefault="00000000" w:rsidRPr="00000000" w14:paraId="0000000A">
      <w:pPr>
        <w:spacing w:line="240" w:lineRule="auto"/>
        <w:ind w:right="2935.5118110236226"/>
        <w:rPr>
          <w:rFonts w:ascii="Lexend Deca" w:cs="Lexend Deca" w:eastAsia="Lexend Deca" w:hAnsi="Lexend Deca"/>
          <w:b w:val="1"/>
          <w:color w:val="002850"/>
          <w:sz w:val="80"/>
          <w:szCs w:val="80"/>
        </w:rPr>
      </w:pP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80"/>
          <w:szCs w:val="80"/>
          <w:rtl w:val="0"/>
        </w:rPr>
        <w:t xml:space="preserve">Ajuste de Estoque</w:t>
      </w:r>
    </w:p>
    <w:p w:rsidR="00000000" w:rsidDel="00000000" w:rsidP="00000000" w:rsidRDefault="00000000" w:rsidRPr="00000000" w14:paraId="0000000B">
      <w:pPr>
        <w:spacing w:line="240" w:lineRule="auto"/>
        <w:ind w:right="2935.5118110236226"/>
        <w:rPr>
          <w:rFonts w:ascii="Lexend Deca" w:cs="Lexend Deca" w:eastAsia="Lexend Deca" w:hAnsi="Lexend Deca"/>
          <w:b w:val="1"/>
          <w:color w:val="002850"/>
          <w:sz w:val="80"/>
          <w:szCs w:val="8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240" w:lineRule="auto"/>
        <w:ind w:right="2935.5118110236226"/>
        <w:rPr>
          <w:rFonts w:ascii="Lexend Deca" w:cs="Lexend Deca" w:eastAsia="Lexend Deca" w:hAnsi="Lexend Deca"/>
          <w:b w:val="1"/>
          <w:color w:val="002850"/>
          <w:sz w:val="80"/>
          <w:szCs w:val="8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Lexend Deca" w:cs="Lexend Deca" w:eastAsia="Lexend Deca" w:hAnsi="Lexend Deca"/>
          <w:b w:val="1"/>
          <w:color w:val="002850"/>
          <w:sz w:val="98"/>
          <w:szCs w:val="98"/>
        </w:rPr>
      </w:pPr>
      <w:r w:rsidDel="00000000" w:rsidR="00000000" w:rsidRPr="00000000">
        <w:rPr>
          <w:rFonts w:ascii="Lexend Deca" w:cs="Lexend Deca" w:eastAsia="Lexend Deca" w:hAnsi="Lexend Deca"/>
          <w:color w:val="00f500"/>
          <w:sz w:val="26"/>
          <w:szCs w:val="26"/>
          <w:rtl w:val="0"/>
        </w:rPr>
        <w:t xml:space="preserve">v.1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Lexend Deca" w:cs="Lexend Deca" w:eastAsia="Lexend Deca" w:hAnsi="Lexend Deca"/>
          <w:color w:val="002850"/>
          <w:sz w:val="50"/>
          <w:szCs w:val="5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Lexend Deca" w:cs="Lexend Deca" w:eastAsia="Lexend Deca" w:hAnsi="Lexend Deca"/>
        </w:rPr>
      </w:pPr>
      <w:r w:rsidDel="00000000" w:rsidR="00000000" w:rsidRPr="00000000">
        <w:rPr>
          <w:rFonts w:ascii="Lexend Deca" w:cs="Lexend Deca" w:eastAsia="Lexend Deca" w:hAnsi="Lexend Deca"/>
        </w:rPr>
        <mc:AlternateContent>
          <mc:Choice Requires="wpg">
            <w:drawing>
              <wp:anchor allowOverlap="1" behindDoc="1" distB="114300" distT="114300" distL="114300" distR="114300" hidden="0" layoutInCell="1" locked="0" relativeHeight="0" simplePos="0">
                <wp:simplePos x="0" y="0"/>
                <wp:positionH relativeFrom="page">
                  <wp:posOffset>-10949</wp:posOffset>
                </wp:positionH>
                <wp:positionV relativeFrom="page">
                  <wp:posOffset>6786750</wp:posOffset>
                </wp:positionV>
                <wp:extent cx="7577138" cy="4277926"/>
                <wp:effectExtent b="0" l="0" r="0" t="0"/>
                <wp:wrapNone/>
                <wp:docPr id="2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228600"/>
                          <a:ext cx="7577138" cy="4277926"/>
                          <a:chOff x="0" y="228600"/>
                          <a:chExt cx="9144000" cy="5143450"/>
                        </a:xfrm>
                      </wpg:grpSpPr>
                      <pic:pic>
                        <pic:nvPicPr>
                          <pic:cNvPr id="3" name="Shape 3"/>
                          <pic:cNvPicPr preferRelativeResize="0"/>
                        </pic:nvPicPr>
                        <pic:blipFill rotWithShape="1">
                          <a:blip r:embed="rId7">
                            <a:alphaModFix/>
                          </a:blip>
                          <a:srcRect b="0" l="0" r="0" t="0"/>
                          <a:stretch/>
                        </pic:blipFill>
                        <pic:spPr>
                          <a:xfrm>
                            <a:off x="0" y="228600"/>
                            <a:ext cx="9144000" cy="51434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drawing>
              <wp:anchor allowOverlap="1" behindDoc="1" distB="114300" distT="114300" distL="114300" distR="114300" hidden="0" layoutInCell="1" locked="0" relativeHeight="0" simplePos="0">
                <wp:simplePos x="0" y="0"/>
                <wp:positionH relativeFrom="page">
                  <wp:posOffset>-10949</wp:posOffset>
                </wp:positionH>
                <wp:positionV relativeFrom="page">
                  <wp:posOffset>6786750</wp:posOffset>
                </wp:positionV>
                <wp:extent cx="7577138" cy="4277926"/>
                <wp:effectExtent b="0" l="0" r="0" t="0"/>
                <wp:wrapNone/>
                <wp:docPr id="2" name="image17.png"/>
                <a:graphic>
                  <a:graphicData uri="http://schemas.openxmlformats.org/drawingml/2006/picture">
                    <pic:pic>
                      <pic:nvPicPr>
                        <pic:cNvPr id="0" name="image17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77138" cy="4277926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Lexend Deca" w:cs="Lexend Deca" w:eastAsia="Lexend Deca" w:hAnsi="Lexend Deca"/>
          <w:b w:val="1"/>
          <w:color w:val="00f500"/>
          <w:sz w:val="28"/>
          <w:szCs w:val="28"/>
        </w:rPr>
      </w:pPr>
      <w:r w:rsidDel="00000000" w:rsidR="00000000" w:rsidRPr="00000000">
        <w:rPr>
          <w:rFonts w:ascii="Lexend Deca" w:cs="Lexend Deca" w:eastAsia="Lexend Deca" w:hAnsi="Lexend Deca"/>
        </w:rPr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margin">
              <wp:posOffset>-925349</wp:posOffset>
            </wp:positionH>
            <wp:positionV relativeFrom="margin">
              <wp:posOffset>-900112</wp:posOffset>
            </wp:positionV>
            <wp:extent cx="7600950" cy="10696575"/>
            <wp:effectExtent b="0" l="0" r="0" t="0"/>
            <wp:wrapNone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600950" cy="106965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Lexend Deca" w:cs="Lexend Deca" w:eastAsia="Lexend Deca" w:hAnsi="Lexend Deca"/>
          <w:b w:val="1"/>
          <w:color w:val="00f500"/>
          <w:sz w:val="70"/>
          <w:szCs w:val="70"/>
          <w:rtl w:val="0"/>
        </w:rPr>
        <w:t xml:space="preserve">Índice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numPr>
          <w:ilvl w:val="0"/>
          <w:numId w:val="1"/>
        </w:numPr>
        <w:spacing w:line="360" w:lineRule="auto"/>
        <w:ind w:left="283.46456692913375" w:hanging="360"/>
        <w:rPr>
          <w:rFonts w:ascii="Lexend Deca" w:cs="Lexend Deca" w:eastAsia="Lexend Deca" w:hAnsi="Lexend Deca"/>
        </w:rPr>
      </w:pPr>
      <w:r w:rsidDel="00000000" w:rsidR="00000000" w:rsidRPr="00000000">
        <w:rPr>
          <w:rFonts w:ascii="Lexend Deca" w:cs="Lexend Deca" w:eastAsia="Lexend Deca" w:hAnsi="Lexend Deca"/>
          <w:color w:val="434343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Lexend Deca" w:cs="Lexend Deca" w:eastAsia="Lexend Deca" w:hAnsi="Lexend Deca"/>
          <w:color w:val="ffffff"/>
          <w:sz w:val="28"/>
          <w:szCs w:val="28"/>
          <w:rtl w:val="0"/>
        </w:rPr>
        <w:t xml:space="preserve">Introdução</w:t>
      </w:r>
    </w:p>
    <w:p w:rsidR="00000000" w:rsidDel="00000000" w:rsidP="00000000" w:rsidRDefault="00000000" w:rsidRPr="00000000" w14:paraId="0000001F">
      <w:pPr>
        <w:numPr>
          <w:ilvl w:val="0"/>
          <w:numId w:val="1"/>
        </w:numPr>
        <w:spacing w:line="360" w:lineRule="auto"/>
        <w:ind w:left="283.46456692913375" w:hanging="360"/>
        <w:rPr>
          <w:rFonts w:ascii="Lexend Deca" w:cs="Lexend Deca" w:eastAsia="Lexend Deca" w:hAnsi="Lexend Deca"/>
        </w:rPr>
      </w:pPr>
      <w:r w:rsidDel="00000000" w:rsidR="00000000" w:rsidRPr="00000000">
        <w:rPr>
          <w:rFonts w:ascii="Lexend Deca" w:cs="Lexend Deca" w:eastAsia="Lexend Deca" w:hAnsi="Lexend Deca"/>
          <w:color w:val="434343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Lexend Deca" w:cs="Lexend Deca" w:eastAsia="Lexend Deca" w:hAnsi="Lexend Deca"/>
          <w:color w:val="ffffff"/>
          <w:sz w:val="28"/>
          <w:szCs w:val="28"/>
          <w:rtl w:val="0"/>
        </w:rPr>
        <w:t xml:space="preserve">Pré-requisitos</w:t>
      </w:r>
    </w:p>
    <w:p w:rsidR="00000000" w:rsidDel="00000000" w:rsidP="00000000" w:rsidRDefault="00000000" w:rsidRPr="00000000" w14:paraId="00000020">
      <w:pPr>
        <w:numPr>
          <w:ilvl w:val="0"/>
          <w:numId w:val="1"/>
        </w:numPr>
        <w:spacing w:line="360" w:lineRule="auto"/>
        <w:ind w:left="283.46456692913375" w:hanging="360"/>
        <w:rPr>
          <w:rFonts w:ascii="Lexend Deca" w:cs="Lexend Deca" w:eastAsia="Lexend Deca" w:hAnsi="Lexend Deca"/>
        </w:rPr>
      </w:pPr>
      <w:r w:rsidDel="00000000" w:rsidR="00000000" w:rsidRPr="00000000">
        <w:rPr>
          <w:rFonts w:ascii="Lexend Deca" w:cs="Lexend Deca" w:eastAsia="Lexend Deca" w:hAnsi="Lexend Deca"/>
          <w:color w:val="ffffff"/>
          <w:sz w:val="28"/>
          <w:szCs w:val="28"/>
          <w:rtl w:val="0"/>
        </w:rPr>
        <w:t xml:space="preserve"> Cadastrando os Tipos de Ajuste</w:t>
      </w:r>
    </w:p>
    <w:p w:rsidR="00000000" w:rsidDel="00000000" w:rsidP="00000000" w:rsidRDefault="00000000" w:rsidRPr="00000000" w14:paraId="00000021">
      <w:pPr>
        <w:numPr>
          <w:ilvl w:val="0"/>
          <w:numId w:val="1"/>
        </w:numPr>
        <w:spacing w:line="360" w:lineRule="auto"/>
        <w:ind w:left="283.46456692913375" w:hanging="360"/>
        <w:rPr>
          <w:rFonts w:ascii="Lexend Deca" w:cs="Lexend Deca" w:eastAsia="Lexend Deca" w:hAnsi="Lexend Deca"/>
        </w:rPr>
      </w:pPr>
      <w:r w:rsidDel="00000000" w:rsidR="00000000" w:rsidRPr="00000000">
        <w:rPr>
          <w:rFonts w:ascii="Lexend Deca" w:cs="Lexend Deca" w:eastAsia="Lexend Deca" w:hAnsi="Lexend Deca"/>
          <w:color w:val="ffffff"/>
          <w:sz w:val="28"/>
          <w:szCs w:val="28"/>
          <w:rtl w:val="0"/>
        </w:rPr>
        <w:t xml:space="preserve"> Realizando um Ajuste de Estoque</w:t>
      </w:r>
    </w:p>
    <w:p w:rsidR="00000000" w:rsidDel="00000000" w:rsidP="00000000" w:rsidRDefault="00000000" w:rsidRPr="00000000" w14:paraId="00000022">
      <w:pPr>
        <w:numPr>
          <w:ilvl w:val="0"/>
          <w:numId w:val="1"/>
        </w:numPr>
        <w:spacing w:line="360" w:lineRule="auto"/>
        <w:ind w:left="283.46456692913375" w:hanging="360"/>
        <w:rPr>
          <w:rFonts w:ascii="Lexend Deca" w:cs="Lexend Deca" w:eastAsia="Lexend Deca" w:hAnsi="Lexend Deca"/>
        </w:rPr>
      </w:pPr>
      <w:r w:rsidDel="00000000" w:rsidR="00000000" w:rsidRPr="00000000">
        <w:rPr>
          <w:rFonts w:ascii="Lexend Deca" w:cs="Lexend Deca" w:eastAsia="Lexend Deca" w:hAnsi="Lexend Deca"/>
          <w:color w:val="ffffff"/>
          <w:sz w:val="28"/>
          <w:szCs w:val="28"/>
          <w:rtl w:val="0"/>
        </w:rPr>
        <w:t xml:space="preserve"> Relatório de Ajuste de Estoque</w:t>
      </w:r>
    </w:p>
    <w:p w:rsidR="00000000" w:rsidDel="00000000" w:rsidP="00000000" w:rsidRDefault="00000000" w:rsidRPr="00000000" w14:paraId="00000023">
      <w:pPr>
        <w:numPr>
          <w:ilvl w:val="0"/>
          <w:numId w:val="1"/>
        </w:numPr>
        <w:spacing w:line="360" w:lineRule="auto"/>
        <w:ind w:left="283.46456692913375" w:hanging="360"/>
        <w:rPr>
          <w:rFonts w:ascii="Lexend Deca" w:cs="Lexend Deca" w:eastAsia="Lexend Deca" w:hAnsi="Lexend Deca"/>
        </w:rPr>
      </w:pPr>
      <w:r w:rsidDel="00000000" w:rsidR="00000000" w:rsidRPr="00000000">
        <w:rPr>
          <w:rFonts w:ascii="Lexend Deca" w:cs="Lexend Deca" w:eastAsia="Lexend Deca" w:hAnsi="Lexend Deca"/>
          <w:color w:val="ffffff"/>
          <w:sz w:val="28"/>
          <w:szCs w:val="28"/>
          <w:rtl w:val="0"/>
        </w:rPr>
        <w:t xml:space="preserve"> Conclusão</w:t>
      </w:r>
    </w:p>
    <w:p w:rsidR="00000000" w:rsidDel="00000000" w:rsidP="00000000" w:rsidRDefault="00000000" w:rsidRPr="00000000" w14:paraId="00000024">
      <w:pPr>
        <w:numPr>
          <w:ilvl w:val="0"/>
          <w:numId w:val="1"/>
        </w:numPr>
        <w:spacing w:line="360" w:lineRule="auto"/>
        <w:ind w:left="283.46456692913375" w:hanging="360"/>
        <w:rPr>
          <w:rFonts w:ascii="Lexend Deca" w:cs="Lexend Deca" w:eastAsia="Lexend Deca" w:hAnsi="Lexend Deca"/>
        </w:rPr>
      </w:pPr>
      <w:r w:rsidDel="00000000" w:rsidR="00000000" w:rsidRPr="00000000">
        <w:rPr>
          <w:rFonts w:ascii="Lexend Deca" w:cs="Lexend Deca" w:eastAsia="Lexend Deca" w:hAnsi="Lexend Deca"/>
          <w:color w:val="ffffff"/>
          <w:sz w:val="28"/>
          <w:szCs w:val="28"/>
          <w:rtl w:val="0"/>
        </w:rPr>
        <w:t xml:space="preserve"> Saiba Mais</w:t>
      </w:r>
    </w:p>
    <w:p w:rsidR="00000000" w:rsidDel="00000000" w:rsidP="00000000" w:rsidRDefault="00000000" w:rsidRPr="00000000" w14:paraId="00000025">
      <w:pPr>
        <w:spacing w:line="360" w:lineRule="auto"/>
        <w:rPr>
          <w:rFonts w:ascii="Lexend Deca" w:cs="Lexend Deca" w:eastAsia="Lexend Deca" w:hAnsi="Lexend Deca"/>
          <w:color w:val="ffff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line="360" w:lineRule="auto"/>
        <w:rPr>
          <w:rFonts w:ascii="Lexend Deca" w:cs="Lexend Deca" w:eastAsia="Lexend Deca" w:hAnsi="Lexend Deca"/>
          <w:color w:val="ffff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line="360" w:lineRule="auto"/>
        <w:rPr>
          <w:rFonts w:ascii="Lexend Deca" w:cs="Lexend Deca" w:eastAsia="Lexend Deca" w:hAnsi="Lexend Deca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line="360" w:lineRule="auto"/>
        <w:rPr>
          <w:rFonts w:ascii="Lexend Deca" w:cs="Lexend Deca" w:eastAsia="Lexend Deca" w:hAnsi="Lexend Deca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line="360" w:lineRule="auto"/>
        <w:rPr>
          <w:rFonts w:ascii="Lexend Deca" w:cs="Lexend Deca" w:eastAsia="Lexend Deca" w:hAnsi="Lexend Deca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line="360" w:lineRule="auto"/>
        <w:rPr>
          <w:rFonts w:ascii="Lexend Deca" w:cs="Lexend Deca" w:eastAsia="Lexend Deca" w:hAnsi="Lexend Deca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line="360" w:lineRule="auto"/>
        <w:rPr>
          <w:rFonts w:ascii="Lexend Deca" w:cs="Lexend Deca" w:eastAsia="Lexend Deca" w:hAnsi="Lexend Deca"/>
          <w:b w:val="1"/>
          <w:color w:val="00f500"/>
          <w:sz w:val="42"/>
          <w:szCs w:val="42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-171449</wp:posOffset>
                </wp:positionH>
                <wp:positionV relativeFrom="paragraph">
                  <wp:posOffset>409575</wp:posOffset>
                </wp:positionV>
                <wp:extent cx="2599348" cy="2330450"/>
                <wp:effectExtent b="0" l="0" r="0" t="0"/>
                <wp:wrapNone/>
                <wp:docPr id="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045250" y="1241375"/>
                          <a:ext cx="2599348" cy="2330450"/>
                          <a:chOff x="1045250" y="1241375"/>
                          <a:chExt cx="3597000" cy="3227700"/>
                        </a:xfrm>
                      </wpg:grpSpPr>
                      <pic:pic>
                        <pic:nvPicPr>
                          <pic:cNvPr descr="retrato-de-mulher-no-trabalho-com-videochamada.jpg" id="2" name="Shape 2"/>
                          <pic:cNvPicPr preferRelativeResize="0"/>
                        </pic:nvPicPr>
                        <pic:blipFill rotWithShape="1">
                          <a:blip r:embed="rId10">
                            <a:alphaModFix/>
                          </a:blip>
                          <a:srcRect b="0" l="18613" r="0" t="0"/>
                          <a:stretch/>
                        </pic:blipFill>
                        <pic:spPr>
                          <a:xfrm>
                            <a:off x="1045250" y="1241375"/>
                            <a:ext cx="3597000" cy="3227700"/>
                          </a:xfrm>
                          <a:prstGeom prst="roundRect">
                            <a:avLst>
                              <a:gd fmla="val 5743" name="adj"/>
                            </a:avLst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-171449</wp:posOffset>
                </wp:positionH>
                <wp:positionV relativeFrom="paragraph">
                  <wp:posOffset>409575</wp:posOffset>
                </wp:positionV>
                <wp:extent cx="2599348" cy="2330450"/>
                <wp:effectExtent b="0" l="0" r="0" t="0"/>
                <wp:wrapNone/>
                <wp:docPr id="1" name="image16.png"/>
                <a:graphic>
                  <a:graphicData uri="http://schemas.openxmlformats.org/drawingml/2006/picture">
                    <pic:pic>
                      <pic:nvPicPr>
                        <pic:cNvPr id="0" name="image16.png"/>
                        <pic:cNvPicPr preferRelativeResize="0"/>
                      </pic:nvPicPr>
                      <pic:blipFill>
                        <a:blip r:embed="rId1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599348" cy="23304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2C">
      <w:pPr>
        <w:ind w:left="3401.5748031496064" w:firstLine="992.125984251968"/>
        <w:rPr>
          <w:rFonts w:ascii="Lexend Deca" w:cs="Lexend Deca" w:eastAsia="Lexend Deca" w:hAnsi="Lexend Deca"/>
          <w:b w:val="1"/>
          <w:color w:val="00f500"/>
          <w:sz w:val="42"/>
          <w:szCs w:val="42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2800350</wp:posOffset>
            </wp:positionH>
            <wp:positionV relativeFrom="paragraph">
              <wp:posOffset>146530</wp:posOffset>
            </wp:positionV>
            <wp:extent cx="604838" cy="232089"/>
            <wp:effectExtent b="0" l="0" r="0" t="0"/>
            <wp:wrapNone/>
            <wp:docPr id="1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4838" cy="23208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D">
      <w:pPr>
        <w:ind w:left="3401.5748031496064" w:firstLine="992.125984251968"/>
        <w:rPr>
          <w:rFonts w:ascii="Lexend Deca" w:cs="Lexend Deca" w:eastAsia="Lexend Deca" w:hAnsi="Lexend Deca"/>
          <w:b w:val="1"/>
          <w:color w:val="00f500"/>
          <w:sz w:val="42"/>
          <w:szCs w:val="4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left="3401.5748031496064" w:firstLine="992.125984251968"/>
        <w:rPr>
          <w:rFonts w:ascii="Lexend Deca" w:cs="Lexend Deca" w:eastAsia="Lexend Deca" w:hAnsi="Lexend Deca"/>
          <w:b w:val="1"/>
          <w:color w:val="ffffff"/>
          <w:sz w:val="28"/>
          <w:szCs w:val="28"/>
        </w:rPr>
      </w:pPr>
      <w:r w:rsidDel="00000000" w:rsidR="00000000" w:rsidRPr="00000000">
        <w:rPr>
          <w:rFonts w:ascii="Lexend Deca" w:cs="Lexend Deca" w:eastAsia="Lexend Deca" w:hAnsi="Lexend Deca"/>
          <w:b w:val="1"/>
          <w:color w:val="ffffff"/>
          <w:sz w:val="28"/>
          <w:szCs w:val="28"/>
          <w:rtl w:val="0"/>
        </w:rPr>
        <w:t xml:space="preserve">Para acessar</w:t>
      </w:r>
    </w:p>
    <w:p w:rsidR="00000000" w:rsidDel="00000000" w:rsidP="00000000" w:rsidRDefault="00000000" w:rsidRPr="00000000" w14:paraId="0000002F">
      <w:pPr>
        <w:ind w:left="3401.5748031496064" w:firstLine="992.125984251968"/>
        <w:rPr>
          <w:rFonts w:ascii="Lexend Deca" w:cs="Lexend Deca" w:eastAsia="Lexend Deca" w:hAnsi="Lexend Deca"/>
          <w:b w:val="1"/>
          <w:color w:val="ffffff"/>
          <w:sz w:val="28"/>
          <w:szCs w:val="28"/>
        </w:rPr>
      </w:pPr>
      <w:r w:rsidDel="00000000" w:rsidR="00000000" w:rsidRPr="00000000">
        <w:rPr>
          <w:rFonts w:ascii="Lexend Deca" w:cs="Lexend Deca" w:eastAsia="Lexend Deca" w:hAnsi="Lexend Deca"/>
          <w:b w:val="1"/>
          <w:color w:val="ffffff"/>
          <w:sz w:val="28"/>
          <w:szCs w:val="28"/>
          <w:rtl w:val="0"/>
        </w:rPr>
        <w:t xml:space="preserve">outros conteúdos,</w:t>
      </w:r>
    </w:p>
    <w:p w:rsidR="00000000" w:rsidDel="00000000" w:rsidP="00000000" w:rsidRDefault="00000000" w:rsidRPr="00000000" w14:paraId="00000030">
      <w:pPr>
        <w:ind w:left="3401.5748031496064" w:firstLine="992.125984251968"/>
        <w:rPr>
          <w:rFonts w:ascii="Lexend Deca" w:cs="Lexend Deca" w:eastAsia="Lexend Deca" w:hAnsi="Lexend Deca"/>
          <w:b w:val="1"/>
          <w:color w:val="00f500"/>
          <w:sz w:val="40"/>
          <w:szCs w:val="40"/>
          <w:u w:val="single"/>
        </w:rPr>
      </w:pPr>
      <w:r w:rsidDel="00000000" w:rsidR="00000000" w:rsidRPr="00000000">
        <w:rPr>
          <w:rFonts w:ascii="Lexend Deca" w:cs="Lexend Deca" w:eastAsia="Lexend Deca" w:hAnsi="Lexend Deca"/>
          <w:b w:val="1"/>
          <w:color w:val="ffffff"/>
          <w:sz w:val="28"/>
          <w:szCs w:val="28"/>
          <w:rtl w:val="0"/>
        </w:rPr>
        <w:t xml:space="preserve">confira a </w:t>
      </w:r>
      <w:hyperlink r:id="rId13">
        <w:r w:rsidDel="00000000" w:rsidR="00000000" w:rsidRPr="00000000">
          <w:rPr>
            <w:rFonts w:ascii="Lexend Deca" w:cs="Lexend Deca" w:eastAsia="Lexend Deca" w:hAnsi="Lexend Deca"/>
            <w:b w:val="1"/>
            <w:color w:val="00ff00"/>
            <w:sz w:val="28"/>
            <w:szCs w:val="28"/>
            <w:u w:val="single"/>
            <w:rtl w:val="0"/>
          </w:rPr>
          <w:t xml:space="preserve">Central de Ajuda</w:t>
        </w:r>
      </w:hyperlink>
      <w:r w:rsidDel="00000000" w:rsidR="00000000" w:rsidRPr="00000000">
        <w:rPr>
          <w:rFonts w:ascii="Lexend Deca" w:cs="Lexend Deca" w:eastAsia="Lexend Deca" w:hAnsi="Lexend Deca"/>
          <w:b w:val="1"/>
          <w:color w:val="00f500"/>
          <w:sz w:val="28"/>
          <w:szCs w:val="28"/>
          <w:rtl w:val="0"/>
        </w:rPr>
        <w:t xml:space="preserve">!</w:t>
      </w:r>
      <w:r w:rsidDel="00000000" w:rsidR="00000000" w:rsidRPr="00000000">
        <w:rPr>
          <w:rFonts w:ascii="Lexend Deca" w:cs="Lexend Deca" w:eastAsia="Lexend Deca" w:hAnsi="Lexend Deca"/>
          <w:b w:val="1"/>
          <w:color w:val="00f500"/>
          <w:sz w:val="40"/>
          <w:szCs w:val="40"/>
          <w:u w:val="single"/>
          <w:rtl w:val="0"/>
        </w:rPr>
        <w:br w:type="textWrapping"/>
      </w:r>
    </w:p>
    <w:p w:rsidR="00000000" w:rsidDel="00000000" w:rsidP="00000000" w:rsidRDefault="00000000" w:rsidRPr="00000000" w14:paraId="00000031">
      <w:pPr>
        <w:rPr>
          <w:rFonts w:ascii="Lexend Deca" w:cs="Lexend Deca" w:eastAsia="Lexend Deca" w:hAnsi="Lexend Deca"/>
          <w:color w:val="00285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Style w:val="Title"/>
        <w:spacing w:after="200" w:line="276" w:lineRule="auto"/>
        <w:jc w:val="both"/>
        <w:rPr/>
      </w:pPr>
      <w:bookmarkStart w:colFirst="0" w:colLast="0" w:name="_8af2t8oevbmf" w:id="0"/>
      <w:bookmarkEnd w:id="0"/>
      <w:r w:rsidDel="00000000" w:rsidR="00000000" w:rsidRPr="00000000">
        <w:rPr>
          <w:rtl w:val="0"/>
        </w:rPr>
        <w:t xml:space="preserve">Introdução</w:t>
      </w:r>
    </w:p>
    <w:p w:rsidR="00000000" w:rsidDel="00000000" w:rsidP="00000000" w:rsidRDefault="00000000" w:rsidRPr="00000000" w14:paraId="00000033">
      <w:pPr>
        <w:spacing w:line="276" w:lineRule="auto"/>
        <w:jc w:val="both"/>
        <w:rPr>
          <w:rFonts w:ascii="Lexend" w:cs="Lexend" w:eastAsia="Lexend" w:hAnsi="Lexend"/>
          <w:color w:val="002850"/>
          <w:sz w:val="26"/>
          <w:szCs w:val="26"/>
          <w:highlight w:val="white"/>
        </w:rPr>
      </w:pP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  <w:highlight w:val="white"/>
          <w:rtl w:val="0"/>
        </w:rPr>
        <w:t xml:space="preserve">Manter um controle preciso do estoque é essencial para o bom funcionamento de qualquer operação comercial. No entanto, há momentos em que é necessário corrigir o saldo de estoque manualmente. Nesse sentido, o processo de ajuste se apresenta como uma ferramenta útil para efetuar essas correções. Neste artigo, discutiremos como realizar ajustes de estoque de forma eficiente, seus pré-requisitos e como acompanhar essas mudanças por meio de relatórios.</w:t>
      </w:r>
    </w:p>
    <w:p w:rsidR="00000000" w:rsidDel="00000000" w:rsidP="00000000" w:rsidRDefault="00000000" w:rsidRPr="00000000" w14:paraId="00000034">
      <w:pPr>
        <w:spacing w:line="276" w:lineRule="auto"/>
        <w:jc w:val="both"/>
        <w:rPr>
          <w:rFonts w:ascii="Lexend" w:cs="Lexend" w:eastAsia="Lexend" w:hAnsi="Lexend"/>
          <w:color w:val="002850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Style w:val="Title"/>
        <w:spacing w:after="200" w:line="276" w:lineRule="auto"/>
        <w:jc w:val="both"/>
        <w:rPr/>
      </w:pPr>
      <w:bookmarkStart w:colFirst="0" w:colLast="0" w:name="_7g9o6gq6vyof" w:id="1"/>
      <w:bookmarkEnd w:id="1"/>
      <w:r w:rsidDel="00000000" w:rsidR="00000000" w:rsidRPr="00000000">
        <w:rPr>
          <w:rtl w:val="0"/>
        </w:rPr>
        <w:t xml:space="preserve">Pré-requisitos</w:t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Lexend" w:cs="Lexend" w:eastAsia="Lexend" w:hAnsi="Lexend"/>
          <w:color w:val="002850"/>
          <w:sz w:val="26"/>
          <w:szCs w:val="26"/>
          <w:highlight w:val="white"/>
        </w:rPr>
      </w:pP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  <w:highlight w:val="white"/>
          <w:rtl w:val="0"/>
        </w:rPr>
        <w:t xml:space="preserve">Antes de iniciar o processo de ajuste de estoque, é importante garantir que dois elementos fundamentais estejam em ordem:</w:t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Lexend" w:cs="Lexend" w:eastAsia="Lexend" w:hAnsi="Lexend"/>
          <w:color w:val="002850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>
          <w:rFonts w:ascii="Lexend" w:cs="Lexend" w:eastAsia="Lexend" w:hAnsi="Lexend"/>
          <w:color w:val="002850"/>
          <w:sz w:val="26"/>
          <w:szCs w:val="26"/>
          <w:highlight w:val="white"/>
          <w:u w:val="none"/>
        </w:rPr>
      </w:pPr>
      <w:r w:rsidDel="00000000" w:rsidR="00000000" w:rsidRPr="00000000">
        <w:rPr>
          <w:rFonts w:ascii="Lexend" w:cs="Lexend" w:eastAsia="Lexend" w:hAnsi="Lexend"/>
          <w:b w:val="1"/>
          <w:color w:val="002850"/>
          <w:sz w:val="26"/>
          <w:szCs w:val="26"/>
          <w:highlight w:val="white"/>
          <w:rtl w:val="0"/>
        </w:rPr>
        <w:t xml:space="preserve">Cadastro de Local de Estoque:</w:t>
      </w: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  <w:highlight w:val="white"/>
          <w:rtl w:val="0"/>
        </w:rPr>
        <w:t xml:space="preserve"> Onde os produtos estão armazenados fisicamente. Isso permite direcionar o ajuste para o local correto.</w:t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>
          <w:rFonts w:ascii="Lexend" w:cs="Lexend" w:eastAsia="Lexend" w:hAnsi="Lexend"/>
          <w:color w:val="002850"/>
          <w:sz w:val="26"/>
          <w:szCs w:val="26"/>
          <w:highlight w:val="white"/>
          <w:u w:val="none"/>
        </w:rPr>
      </w:pPr>
      <w:r w:rsidDel="00000000" w:rsidR="00000000" w:rsidRPr="00000000">
        <w:rPr>
          <w:rFonts w:ascii="Lexend" w:cs="Lexend" w:eastAsia="Lexend" w:hAnsi="Lexend"/>
          <w:b w:val="1"/>
          <w:color w:val="002850"/>
          <w:sz w:val="26"/>
          <w:szCs w:val="26"/>
          <w:highlight w:val="white"/>
          <w:rtl w:val="0"/>
        </w:rPr>
        <w:t xml:space="preserve">Cadastro de Tipos de Ajuste: </w:t>
      </w: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  <w:highlight w:val="white"/>
          <w:rtl w:val="0"/>
        </w:rPr>
        <w:t xml:space="preserve">Classificação dos ajustes como "entrada" ou "saída", permitindo que sejam organizados e compreendidos adequadamente.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line="276" w:lineRule="auto"/>
        <w:jc w:val="both"/>
        <w:rPr>
          <w:rFonts w:ascii="Lexend" w:cs="Lexend" w:eastAsia="Lexend" w:hAnsi="Lexend"/>
          <w:color w:val="002850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line="276" w:lineRule="auto"/>
        <w:jc w:val="both"/>
        <w:rPr>
          <w:rFonts w:ascii="Lexend" w:cs="Lexend" w:eastAsia="Lexend" w:hAnsi="Lexend"/>
          <w:color w:val="002850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Style w:val="Title"/>
        <w:spacing w:after="200" w:line="276" w:lineRule="auto"/>
        <w:jc w:val="both"/>
        <w:rPr/>
      </w:pPr>
      <w:bookmarkStart w:colFirst="0" w:colLast="0" w:name="_7knv7rbwsw84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Style w:val="Title"/>
        <w:spacing w:after="200" w:line="276" w:lineRule="auto"/>
        <w:jc w:val="both"/>
        <w:rPr/>
      </w:pPr>
      <w:bookmarkStart w:colFirst="0" w:colLast="0" w:name="_mkux2vey6la2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Style w:val="Title"/>
        <w:spacing w:after="200" w:line="276" w:lineRule="auto"/>
        <w:jc w:val="both"/>
        <w:rPr/>
      </w:pPr>
      <w:bookmarkStart w:colFirst="0" w:colLast="0" w:name="_yjw3lo3ebvj7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Style w:val="Title"/>
        <w:spacing w:after="200" w:line="276" w:lineRule="auto"/>
        <w:jc w:val="both"/>
        <w:rPr/>
      </w:pPr>
      <w:bookmarkStart w:colFirst="0" w:colLast="0" w:name="_85ft0zjepbfh" w:id="5"/>
      <w:bookmarkEnd w:id="5"/>
      <w:r w:rsidDel="00000000" w:rsidR="00000000" w:rsidRPr="00000000">
        <w:rPr>
          <w:rtl w:val="0"/>
        </w:rPr>
        <w:t xml:space="preserve">Cadastrando os Tipos de Ajuste</w:t>
      </w:r>
    </w:p>
    <w:p w:rsidR="00000000" w:rsidDel="00000000" w:rsidP="00000000" w:rsidRDefault="00000000" w:rsidRPr="00000000" w14:paraId="00000044">
      <w:pPr>
        <w:spacing w:line="276" w:lineRule="auto"/>
        <w:jc w:val="both"/>
        <w:rPr>
          <w:rFonts w:ascii="Lexend" w:cs="Lexend" w:eastAsia="Lexend" w:hAnsi="Lexend"/>
          <w:color w:val="002850"/>
          <w:sz w:val="26"/>
          <w:szCs w:val="26"/>
          <w:highlight w:val="white"/>
        </w:rPr>
      </w:pP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  <w:highlight w:val="white"/>
          <w:rtl w:val="0"/>
        </w:rPr>
        <w:t xml:space="preserve">A seguir, mostramos como cadastrar os tipos de ajuste:</w:t>
      </w:r>
    </w:p>
    <w:p w:rsidR="00000000" w:rsidDel="00000000" w:rsidP="00000000" w:rsidRDefault="00000000" w:rsidRPr="00000000" w14:paraId="00000045">
      <w:pPr>
        <w:spacing w:line="276" w:lineRule="auto"/>
        <w:jc w:val="both"/>
        <w:rPr>
          <w:rFonts w:ascii="Lexend" w:cs="Lexend" w:eastAsia="Lexend" w:hAnsi="Lexend"/>
          <w:color w:val="002850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line="276" w:lineRule="auto"/>
        <w:jc w:val="both"/>
        <w:rPr>
          <w:rFonts w:ascii="Lexend" w:cs="Lexend" w:eastAsia="Lexend" w:hAnsi="Lexend"/>
          <w:b w:val="1"/>
          <w:color w:val="002850"/>
          <w:sz w:val="26"/>
          <w:szCs w:val="26"/>
          <w:highlight w:val="white"/>
        </w:rPr>
      </w:pP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  <w:highlight w:val="white"/>
          <w:rtl w:val="0"/>
        </w:rPr>
        <w:t xml:space="preserve">Acesse o </w:t>
      </w:r>
      <w:r w:rsidDel="00000000" w:rsidR="00000000" w:rsidRPr="00000000">
        <w:rPr>
          <w:rFonts w:ascii="Lexend" w:cs="Lexend" w:eastAsia="Lexend" w:hAnsi="Lexend"/>
          <w:b w:val="1"/>
          <w:color w:val="002850"/>
          <w:sz w:val="26"/>
          <w:szCs w:val="26"/>
          <w:highlight w:val="white"/>
          <w:rtl w:val="0"/>
        </w:rPr>
        <w:t xml:space="preserve">módulo Estoque &gt; Cadastro &gt; Tipo de Ajuste.</w:t>
      </w:r>
    </w:p>
    <w:p w:rsidR="00000000" w:rsidDel="00000000" w:rsidP="00000000" w:rsidRDefault="00000000" w:rsidRPr="00000000" w14:paraId="00000047">
      <w:pPr>
        <w:spacing w:line="276" w:lineRule="auto"/>
        <w:jc w:val="both"/>
        <w:rPr>
          <w:rFonts w:ascii="Lexend" w:cs="Lexend" w:eastAsia="Lexend" w:hAnsi="Lexend"/>
          <w:color w:val="002850"/>
          <w:sz w:val="26"/>
          <w:szCs w:val="26"/>
          <w:highlight w:val="white"/>
        </w:rPr>
      </w:pP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  <w:highlight w:val="white"/>
        </w:rPr>
        <w:drawing>
          <wp:inline distB="114300" distT="114300" distL="114300" distR="114300">
            <wp:extent cx="5731200" cy="2781300"/>
            <wp:effectExtent b="0" l="0" r="0" t="0"/>
            <wp:docPr id="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8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line="276" w:lineRule="auto"/>
        <w:jc w:val="both"/>
        <w:rPr>
          <w:rFonts w:ascii="Lexend" w:cs="Lexend" w:eastAsia="Lexend" w:hAnsi="Lexend"/>
          <w:color w:val="002850"/>
          <w:sz w:val="26"/>
          <w:szCs w:val="26"/>
          <w:highlight w:val="white"/>
        </w:rPr>
      </w:pP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  <w:highlight w:val="white"/>
          <w:rtl w:val="0"/>
        </w:rPr>
        <w:t xml:space="preserve">Clique em "</w:t>
      </w:r>
      <w:r w:rsidDel="00000000" w:rsidR="00000000" w:rsidRPr="00000000">
        <w:rPr>
          <w:rFonts w:ascii="Lexend" w:cs="Lexend" w:eastAsia="Lexend" w:hAnsi="Lexend"/>
          <w:b w:val="1"/>
          <w:color w:val="002850"/>
          <w:sz w:val="26"/>
          <w:szCs w:val="26"/>
          <w:highlight w:val="white"/>
          <w:rtl w:val="0"/>
        </w:rPr>
        <w:t xml:space="preserve">Adicionar</w:t>
      </w: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  <w:highlight w:val="white"/>
          <w:rtl w:val="0"/>
        </w:rPr>
        <w:t xml:space="preserve">" para iniciar o processo de cadastro.</w:t>
      </w:r>
    </w:p>
    <w:p w:rsidR="00000000" w:rsidDel="00000000" w:rsidP="00000000" w:rsidRDefault="00000000" w:rsidRPr="00000000" w14:paraId="00000049">
      <w:pPr>
        <w:spacing w:line="276" w:lineRule="auto"/>
        <w:jc w:val="both"/>
        <w:rPr>
          <w:rFonts w:ascii="Lexend" w:cs="Lexend" w:eastAsia="Lexend" w:hAnsi="Lexend"/>
          <w:color w:val="002850"/>
          <w:sz w:val="26"/>
          <w:szCs w:val="26"/>
          <w:highlight w:val="white"/>
        </w:rPr>
      </w:pP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  <w:highlight w:val="white"/>
        </w:rPr>
        <w:drawing>
          <wp:inline distB="114300" distT="114300" distL="114300" distR="114300">
            <wp:extent cx="5731200" cy="2781300"/>
            <wp:effectExtent b="0" l="0" r="0" t="0"/>
            <wp:docPr id="1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8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numPr>
          <w:ilvl w:val="0"/>
          <w:numId w:val="3"/>
        </w:numPr>
        <w:spacing w:line="276" w:lineRule="auto"/>
        <w:ind w:left="720" w:hanging="360"/>
        <w:jc w:val="both"/>
        <w:rPr>
          <w:rFonts w:ascii="Lexend" w:cs="Lexend" w:eastAsia="Lexend" w:hAnsi="Lexend"/>
          <w:color w:val="002850"/>
          <w:sz w:val="26"/>
          <w:szCs w:val="26"/>
          <w:highlight w:val="white"/>
          <w:u w:val="none"/>
        </w:rPr>
      </w:pP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  <w:highlight w:val="white"/>
          <w:rtl w:val="0"/>
        </w:rPr>
        <w:t xml:space="preserve">Forneça a </w:t>
      </w:r>
      <w:r w:rsidDel="00000000" w:rsidR="00000000" w:rsidRPr="00000000">
        <w:rPr>
          <w:rFonts w:ascii="Lexend" w:cs="Lexend" w:eastAsia="Lexend" w:hAnsi="Lexend"/>
          <w:b w:val="1"/>
          <w:color w:val="002850"/>
          <w:sz w:val="26"/>
          <w:szCs w:val="26"/>
          <w:highlight w:val="white"/>
          <w:rtl w:val="0"/>
        </w:rPr>
        <w:t xml:space="preserve">descrição </w:t>
      </w: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  <w:highlight w:val="white"/>
          <w:rtl w:val="0"/>
        </w:rPr>
        <w:t xml:space="preserve">do tipo de ajuste.</w:t>
      </w:r>
    </w:p>
    <w:p w:rsidR="00000000" w:rsidDel="00000000" w:rsidP="00000000" w:rsidRDefault="00000000" w:rsidRPr="00000000" w14:paraId="0000004B">
      <w:pPr>
        <w:numPr>
          <w:ilvl w:val="0"/>
          <w:numId w:val="3"/>
        </w:numPr>
        <w:spacing w:line="276" w:lineRule="auto"/>
        <w:ind w:left="720" w:hanging="360"/>
        <w:jc w:val="both"/>
        <w:rPr>
          <w:rFonts w:ascii="Lexend" w:cs="Lexend" w:eastAsia="Lexend" w:hAnsi="Lexend"/>
          <w:color w:val="002850"/>
          <w:sz w:val="26"/>
          <w:szCs w:val="26"/>
          <w:highlight w:val="white"/>
          <w:u w:val="none"/>
        </w:rPr>
      </w:pP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  <w:highlight w:val="white"/>
          <w:rtl w:val="0"/>
        </w:rPr>
        <w:t xml:space="preserve">Especifique se o ajuste é de "</w:t>
      </w:r>
      <w:r w:rsidDel="00000000" w:rsidR="00000000" w:rsidRPr="00000000">
        <w:rPr>
          <w:rFonts w:ascii="Lexend" w:cs="Lexend" w:eastAsia="Lexend" w:hAnsi="Lexend"/>
          <w:b w:val="1"/>
          <w:color w:val="002850"/>
          <w:sz w:val="26"/>
          <w:szCs w:val="26"/>
          <w:highlight w:val="white"/>
          <w:rtl w:val="0"/>
        </w:rPr>
        <w:t xml:space="preserve">entrada</w:t>
      </w: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  <w:highlight w:val="white"/>
          <w:rtl w:val="0"/>
        </w:rPr>
        <w:t xml:space="preserve">" ou "</w:t>
      </w:r>
      <w:r w:rsidDel="00000000" w:rsidR="00000000" w:rsidRPr="00000000">
        <w:rPr>
          <w:rFonts w:ascii="Lexend" w:cs="Lexend" w:eastAsia="Lexend" w:hAnsi="Lexend"/>
          <w:b w:val="1"/>
          <w:color w:val="002850"/>
          <w:sz w:val="26"/>
          <w:szCs w:val="26"/>
          <w:highlight w:val="white"/>
          <w:rtl w:val="0"/>
        </w:rPr>
        <w:t xml:space="preserve">saída</w:t>
      </w: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  <w:highlight w:val="white"/>
          <w:rtl w:val="0"/>
        </w:rPr>
        <w:t xml:space="preserve">".</w:t>
      </w:r>
    </w:p>
    <w:p w:rsidR="00000000" w:rsidDel="00000000" w:rsidP="00000000" w:rsidRDefault="00000000" w:rsidRPr="00000000" w14:paraId="0000004C">
      <w:pPr>
        <w:numPr>
          <w:ilvl w:val="0"/>
          <w:numId w:val="3"/>
        </w:numPr>
        <w:spacing w:line="276" w:lineRule="auto"/>
        <w:ind w:left="720" w:hanging="360"/>
        <w:jc w:val="both"/>
        <w:rPr>
          <w:rFonts w:ascii="Lexend" w:cs="Lexend" w:eastAsia="Lexend" w:hAnsi="Lexend"/>
          <w:color w:val="002850"/>
          <w:sz w:val="26"/>
          <w:szCs w:val="26"/>
          <w:highlight w:val="white"/>
          <w:u w:val="none"/>
        </w:rPr>
      </w:pP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  <w:highlight w:val="white"/>
          <w:rtl w:val="0"/>
        </w:rPr>
        <w:t xml:space="preserve">Clique em "</w:t>
      </w:r>
      <w:r w:rsidDel="00000000" w:rsidR="00000000" w:rsidRPr="00000000">
        <w:rPr>
          <w:rFonts w:ascii="Lexend" w:cs="Lexend" w:eastAsia="Lexend" w:hAnsi="Lexend"/>
          <w:b w:val="1"/>
          <w:color w:val="002850"/>
          <w:sz w:val="26"/>
          <w:szCs w:val="26"/>
          <w:highlight w:val="white"/>
          <w:rtl w:val="0"/>
        </w:rPr>
        <w:t xml:space="preserve">Gravar</w:t>
      </w: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  <w:highlight w:val="white"/>
          <w:rtl w:val="0"/>
        </w:rPr>
        <w:t xml:space="preserve">" para finalizar o cadastro.</w:t>
      </w:r>
    </w:p>
    <w:p w:rsidR="00000000" w:rsidDel="00000000" w:rsidP="00000000" w:rsidRDefault="00000000" w:rsidRPr="00000000" w14:paraId="0000004D">
      <w:pPr>
        <w:spacing w:line="276" w:lineRule="auto"/>
        <w:jc w:val="both"/>
        <w:rPr>
          <w:rFonts w:ascii="Lexend" w:cs="Lexend" w:eastAsia="Lexend" w:hAnsi="Lexend"/>
          <w:color w:val="002850"/>
          <w:sz w:val="26"/>
          <w:szCs w:val="26"/>
          <w:highlight w:val="white"/>
        </w:rPr>
      </w:pP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  <w:highlight w:val="white"/>
        </w:rPr>
        <w:drawing>
          <wp:inline distB="114300" distT="114300" distL="114300" distR="114300">
            <wp:extent cx="5731200" cy="27813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8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line="276" w:lineRule="auto"/>
        <w:jc w:val="both"/>
        <w:rPr>
          <w:rFonts w:ascii="Lexend" w:cs="Lexend" w:eastAsia="Lexend" w:hAnsi="Lexend"/>
          <w:color w:val="002850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line="276" w:lineRule="auto"/>
        <w:jc w:val="both"/>
        <w:rPr>
          <w:rFonts w:ascii="Lexend" w:cs="Lexend" w:eastAsia="Lexend" w:hAnsi="Lexend"/>
          <w:color w:val="002850"/>
          <w:sz w:val="26"/>
          <w:szCs w:val="26"/>
          <w:highlight w:val="white"/>
        </w:rPr>
      </w:pP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  <w:highlight w:val="white"/>
          <w:rtl w:val="0"/>
        </w:rPr>
        <w:t xml:space="preserve">Na tela inicial, você terá a capacidade de visualizar e acessar todos os ajustes que foram previamente cadastrados. Para gerenciar esses ajustes de forma eficiente, o sistema disponibiliza botões de controle que permitem realizar a </w:t>
      </w:r>
      <w:r w:rsidDel="00000000" w:rsidR="00000000" w:rsidRPr="00000000">
        <w:rPr>
          <w:rFonts w:ascii="Lexend" w:cs="Lexend" w:eastAsia="Lexend" w:hAnsi="Lexend"/>
          <w:b w:val="1"/>
          <w:color w:val="002850"/>
          <w:sz w:val="26"/>
          <w:szCs w:val="26"/>
          <w:highlight w:val="white"/>
          <w:rtl w:val="0"/>
        </w:rPr>
        <w:t xml:space="preserve">edição </w:t>
      </w: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  <w:highlight w:val="white"/>
          <w:rtl w:val="0"/>
        </w:rPr>
        <w:t xml:space="preserve">ou </w:t>
      </w:r>
      <w:r w:rsidDel="00000000" w:rsidR="00000000" w:rsidRPr="00000000">
        <w:rPr>
          <w:rFonts w:ascii="Lexend" w:cs="Lexend" w:eastAsia="Lexend" w:hAnsi="Lexend"/>
          <w:b w:val="1"/>
          <w:color w:val="002850"/>
          <w:sz w:val="26"/>
          <w:szCs w:val="26"/>
          <w:highlight w:val="white"/>
          <w:rtl w:val="0"/>
        </w:rPr>
        <w:t xml:space="preserve">exclusão </w:t>
      </w: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  <w:highlight w:val="white"/>
          <w:rtl w:val="0"/>
        </w:rPr>
        <w:t xml:space="preserve">de um ajuste específico.</w:t>
      </w:r>
    </w:p>
    <w:p w:rsidR="00000000" w:rsidDel="00000000" w:rsidP="00000000" w:rsidRDefault="00000000" w:rsidRPr="00000000" w14:paraId="00000050">
      <w:pPr>
        <w:spacing w:line="276" w:lineRule="auto"/>
        <w:jc w:val="both"/>
        <w:rPr>
          <w:rFonts w:ascii="Lexend" w:cs="Lexend" w:eastAsia="Lexend" w:hAnsi="Lexend"/>
          <w:color w:val="002850"/>
          <w:sz w:val="26"/>
          <w:szCs w:val="26"/>
          <w:highlight w:val="white"/>
        </w:rPr>
      </w:pP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  <w:highlight w:val="white"/>
        </w:rPr>
        <w:drawing>
          <wp:inline distB="114300" distT="114300" distL="114300" distR="114300">
            <wp:extent cx="5731200" cy="2781300"/>
            <wp:effectExtent b="0" l="0" r="0" t="0"/>
            <wp:docPr id="1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8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line="276" w:lineRule="auto"/>
        <w:jc w:val="both"/>
        <w:rPr>
          <w:rFonts w:ascii="Lexend" w:cs="Lexend" w:eastAsia="Lexend" w:hAnsi="Lexend"/>
          <w:color w:val="002850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line="276" w:lineRule="auto"/>
        <w:jc w:val="both"/>
        <w:rPr>
          <w:rFonts w:ascii="Lexend" w:cs="Lexend" w:eastAsia="Lexend" w:hAnsi="Lexend"/>
          <w:color w:val="002850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line="276" w:lineRule="auto"/>
        <w:jc w:val="both"/>
        <w:rPr>
          <w:rFonts w:ascii="Lexend" w:cs="Lexend" w:eastAsia="Lexend" w:hAnsi="Lexend"/>
          <w:color w:val="002850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pStyle w:val="Title"/>
        <w:widowControl w:val="0"/>
        <w:jc w:val="both"/>
        <w:rPr/>
      </w:pPr>
      <w:bookmarkStart w:colFirst="0" w:colLast="0" w:name="_a24tpd05xv0" w:id="6"/>
      <w:bookmarkEnd w:id="6"/>
      <w:r w:rsidDel="00000000" w:rsidR="00000000" w:rsidRPr="00000000">
        <w:rPr>
          <w:rtl w:val="0"/>
        </w:rPr>
        <w:t xml:space="preserve">Realizando um Ajuste de Estoque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00" w:lineRule="auto"/>
        <w:ind w:left="0" w:right="0" w:firstLine="0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Agora, vejamos como realizar o ajuste de estoque:</w:t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00" w:lineRule="auto"/>
        <w:ind w:left="0" w:right="0" w:firstLine="0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line="276" w:lineRule="auto"/>
        <w:jc w:val="both"/>
        <w:rPr>
          <w:rFonts w:ascii="Lexend" w:cs="Lexend" w:eastAsia="Lexend" w:hAnsi="Lexend"/>
          <w:b w:val="1"/>
          <w:color w:val="002850"/>
          <w:sz w:val="26"/>
          <w:szCs w:val="26"/>
          <w:highlight w:val="white"/>
        </w:rPr>
      </w:pP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  <w:highlight w:val="white"/>
          <w:rtl w:val="0"/>
        </w:rPr>
        <w:t xml:space="preserve">Acesse o </w:t>
      </w:r>
      <w:r w:rsidDel="00000000" w:rsidR="00000000" w:rsidRPr="00000000">
        <w:rPr>
          <w:rFonts w:ascii="Lexend" w:cs="Lexend" w:eastAsia="Lexend" w:hAnsi="Lexend"/>
          <w:b w:val="1"/>
          <w:color w:val="002850"/>
          <w:sz w:val="26"/>
          <w:szCs w:val="26"/>
          <w:highlight w:val="white"/>
          <w:rtl w:val="0"/>
        </w:rPr>
        <w:t xml:space="preserve">módulo Estoque &gt; Movimentação de Mercadoria &gt; Ajuste.</w:t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00" w:lineRule="auto"/>
        <w:ind w:left="0" w:right="0" w:firstLine="0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</w:rPr>
        <w:drawing>
          <wp:inline distB="114300" distT="114300" distL="114300" distR="114300">
            <wp:extent cx="5731200" cy="2781300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8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00" w:lineRule="auto"/>
        <w:ind w:left="0" w:right="0" w:firstLine="0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00" w:lineRule="auto"/>
        <w:ind w:left="0" w:right="0" w:firstLine="0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Preencha os seguintes campos: </w:t>
      </w: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rtl w:val="0"/>
        </w:rPr>
        <w:t xml:space="preserve">Loja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, </w:t>
      </w: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rtl w:val="0"/>
        </w:rPr>
        <w:t xml:space="preserve">local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 onde será realizado o ajuste, </w:t>
      </w: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rtl w:val="0"/>
        </w:rPr>
        <w:t xml:space="preserve">data de movimentação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, </w:t>
      </w: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rtl w:val="0"/>
        </w:rPr>
        <w:t xml:space="preserve">operação 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e </w:t>
      </w: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rtl w:val="0"/>
        </w:rPr>
        <w:t xml:space="preserve">tipo de ajuste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.</w:t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00" w:lineRule="auto"/>
        <w:ind w:left="0" w:right="0" w:firstLine="0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</w:rPr>
        <w:drawing>
          <wp:inline distB="114300" distT="114300" distL="114300" distR="114300">
            <wp:extent cx="5731200" cy="27813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8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00" w:lineRule="auto"/>
        <w:ind w:left="0" w:right="0" w:firstLine="0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00" w:lineRule="auto"/>
        <w:ind w:left="0" w:right="0" w:firstLine="0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Clique em "</w:t>
      </w: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rtl w:val="0"/>
        </w:rPr>
        <w:t xml:space="preserve">Adicionar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" para incluir o produto que será ajustado.</w:t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00" w:lineRule="auto"/>
        <w:ind w:left="0" w:right="0" w:firstLine="0"/>
        <w:jc w:val="both"/>
        <w:rPr>
          <w:rFonts w:ascii="Lexend Deca" w:cs="Lexend Deca" w:eastAsia="Lexend Deca" w:hAnsi="Lexend Deca"/>
          <w:b w:val="1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</w:rPr>
        <w:drawing>
          <wp:inline distB="114300" distT="114300" distL="114300" distR="114300">
            <wp:extent cx="5731200" cy="2781300"/>
            <wp:effectExtent b="0" l="0" r="0" t="0"/>
            <wp:docPr id="9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8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00" w:lineRule="auto"/>
        <w:ind w:left="0" w:right="0" w:firstLine="0"/>
        <w:jc w:val="both"/>
        <w:rPr>
          <w:rFonts w:ascii="Lexend Deca" w:cs="Lexend Deca" w:eastAsia="Lexend Deca" w:hAnsi="Lexend Deca"/>
          <w:b w:val="1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00" w:lineRule="auto"/>
        <w:ind w:left="0" w:right="0" w:firstLine="0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Informe o </w:t>
      </w: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rtl w:val="0"/>
        </w:rPr>
        <w:t xml:space="preserve">código do produto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 e sua respectiva </w:t>
      </w: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rtl w:val="0"/>
        </w:rPr>
        <w:t xml:space="preserve">quantidade 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de ajuste. </w:t>
      </w:r>
    </w:p>
    <w:p w:rsidR="00000000" w:rsidDel="00000000" w:rsidP="00000000" w:rsidRDefault="00000000" w:rsidRPr="00000000" w14:paraId="0000006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00" w:lineRule="auto"/>
        <w:ind w:left="0" w:right="0" w:firstLine="0"/>
        <w:jc w:val="both"/>
        <w:rPr>
          <w:rFonts w:ascii="Lexend Deca" w:cs="Lexend Deca" w:eastAsia="Lexend Deca" w:hAnsi="Lexend Deca"/>
          <w:b w:val="1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</w:rPr>
        <w:drawing>
          <wp:inline distB="114300" distT="114300" distL="114300" distR="114300">
            <wp:extent cx="5731200" cy="2781300"/>
            <wp:effectExtent b="0" l="0" r="0" t="0"/>
            <wp:docPr id="1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8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00" w:lineRule="auto"/>
        <w:ind w:left="0" w:right="0" w:firstLine="0"/>
        <w:jc w:val="both"/>
        <w:rPr>
          <w:rFonts w:ascii="Lexend Deca" w:cs="Lexend Deca" w:eastAsia="Lexend Deca" w:hAnsi="Lexend Deca"/>
          <w:b w:val="1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00" w:lineRule="auto"/>
        <w:ind w:left="0" w:right="0" w:firstLine="0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Clique em </w:t>
      </w: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rtl w:val="0"/>
        </w:rPr>
        <w:t xml:space="preserve">Adicionar 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para incluir o produto. Repita esses passos para todos os produtos que precisam ser ajustados. Uma vez que todos os produtos forem incluídos com as quantidades de ajuste apropriadas, clique no </w:t>
      </w: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rtl w:val="0"/>
        </w:rPr>
        <w:t xml:space="preserve">X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 para retornar à tela principal.</w:t>
      </w:r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00" w:lineRule="auto"/>
        <w:ind w:left="0" w:right="0" w:firstLine="0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00" w:lineRule="auto"/>
        <w:ind w:left="0" w:right="0" w:firstLine="0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Para finalizar o ajuste, 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clique em "</w:t>
      </w: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rtl w:val="0"/>
        </w:rPr>
        <w:t xml:space="preserve">Gravar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".</w:t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00" w:lineRule="auto"/>
        <w:ind w:left="0" w:right="0" w:firstLine="0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pStyle w:val="Title"/>
        <w:spacing w:line="300" w:lineRule="auto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bookmarkStart w:colFirst="0" w:colLast="0" w:name="_ruz7ecolz6cy" w:id="7"/>
      <w:bookmarkEnd w:id="7"/>
      <w:r w:rsidDel="00000000" w:rsidR="00000000" w:rsidRPr="00000000">
        <w:rPr>
          <w:rtl w:val="0"/>
        </w:rPr>
        <w:t xml:space="preserve">Relatório de Ajuste de Estoque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line="300" w:lineRule="auto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Acompanhar as mudanças no estoque é fundamental. O relatório de ajuste de estoque oferece essa visibilidade:</w:t>
      </w:r>
    </w:p>
    <w:p w:rsidR="00000000" w:rsidDel="00000000" w:rsidP="00000000" w:rsidRDefault="00000000" w:rsidRPr="00000000" w14:paraId="0000006E">
      <w:pPr>
        <w:spacing w:line="300" w:lineRule="auto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pacing w:line="300" w:lineRule="auto"/>
        <w:jc w:val="both"/>
        <w:rPr>
          <w:rFonts w:ascii="Lexend Deca" w:cs="Lexend Deca" w:eastAsia="Lexend Deca" w:hAnsi="Lexend Deca"/>
          <w:b w:val="1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Acesse o módulo </w:t>
      </w: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rtl w:val="0"/>
        </w:rPr>
        <w:t xml:space="preserve">Estoque &gt; Relatórios &gt; Ajuste.</w:t>
      </w:r>
    </w:p>
    <w:p w:rsidR="00000000" w:rsidDel="00000000" w:rsidP="00000000" w:rsidRDefault="00000000" w:rsidRPr="00000000" w14:paraId="00000070">
      <w:pPr>
        <w:spacing w:line="300" w:lineRule="auto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</w:rPr>
        <w:drawing>
          <wp:inline distB="114300" distT="114300" distL="114300" distR="114300">
            <wp:extent cx="5731200" cy="2781300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8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pacing w:line="300" w:lineRule="auto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line="300" w:lineRule="auto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Utilize os filtros disponíveis para uma consulta mais específica.</w:t>
      </w:r>
    </w:p>
    <w:p w:rsidR="00000000" w:rsidDel="00000000" w:rsidP="00000000" w:rsidRDefault="00000000" w:rsidRPr="00000000" w14:paraId="00000073">
      <w:pPr>
        <w:spacing w:line="300" w:lineRule="auto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</w:rPr>
        <w:drawing>
          <wp:inline distB="114300" distT="114300" distL="114300" distR="114300">
            <wp:extent cx="5731200" cy="2781300"/>
            <wp:effectExtent b="0" l="0" r="0" t="0"/>
            <wp:docPr id="1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8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pacing w:line="300" w:lineRule="auto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Clique em "</w:t>
      </w: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rtl w:val="0"/>
        </w:rPr>
        <w:t xml:space="preserve">Gerar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" para obter o relatório.</w:t>
      </w:r>
    </w:p>
    <w:p w:rsidR="00000000" w:rsidDel="00000000" w:rsidP="00000000" w:rsidRDefault="00000000" w:rsidRPr="00000000" w14:paraId="00000075">
      <w:pPr>
        <w:spacing w:line="300" w:lineRule="auto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line="300" w:lineRule="auto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O relatório exibirá todos os produtos que sofreram ajustes de estoque no período selecionado.</w:t>
      </w:r>
    </w:p>
    <w:p w:rsidR="00000000" w:rsidDel="00000000" w:rsidP="00000000" w:rsidRDefault="00000000" w:rsidRPr="00000000" w14:paraId="00000077">
      <w:pPr>
        <w:spacing w:line="300" w:lineRule="auto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</w:rPr>
        <w:drawing>
          <wp:inline distB="114300" distT="114300" distL="114300" distR="114300">
            <wp:extent cx="5731200" cy="1993900"/>
            <wp:effectExtent b="12700" l="12700" r="12700" t="12700"/>
            <wp:docPr id="1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93900"/>
                    </a:xfrm>
                    <a:prstGeom prst="rect"/>
                    <a:ln w="12700">
                      <a:solidFill>
                        <a:srgbClr val="999999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pacing w:line="300" w:lineRule="auto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pacing w:line="300" w:lineRule="auto"/>
        <w:jc w:val="both"/>
        <w:rPr>
          <w:rFonts w:ascii="Lexend Deca" w:cs="Lexend Deca" w:eastAsia="Lexend Deca" w:hAnsi="Lexend Deca"/>
          <w:b w:val="1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pacing w:line="300" w:lineRule="auto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pStyle w:val="Title"/>
        <w:jc w:val="both"/>
        <w:rPr/>
      </w:pPr>
      <w:bookmarkStart w:colFirst="0" w:colLast="0" w:name="_urw3a9rla81w" w:id="8"/>
      <w:bookmarkEnd w:id="8"/>
      <w:r w:rsidDel="00000000" w:rsidR="00000000" w:rsidRPr="00000000">
        <w:rPr>
          <w:rtl w:val="0"/>
        </w:rPr>
        <w:t xml:space="preserve">Conclusão</w:t>
      </w:r>
    </w:p>
    <w:p w:rsidR="00000000" w:rsidDel="00000000" w:rsidP="00000000" w:rsidRDefault="00000000" w:rsidRPr="00000000" w14:paraId="0000007D">
      <w:pPr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O ajuste de estoque é uma ferramenta importante para manter o controle e a precisão dos níveis de estoque. No entanto, é crucial lembrar que esse processo não possui valor fiscal. Para fins de prestação de contas ao fisco, a realização de um inventário é a prática recomendada. Ao seguir os passos acima e utilizar o relatório de ajuste de estoque, você estará melhor equipado para gerenciar suas operações de estoque de forma eficiente e transparente.</w:t>
      </w:r>
    </w:p>
    <w:p w:rsidR="00000000" w:rsidDel="00000000" w:rsidP="00000000" w:rsidRDefault="00000000" w:rsidRPr="00000000" w14:paraId="0000007E">
      <w:pPr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pStyle w:val="Title"/>
        <w:jc w:val="both"/>
        <w:rPr/>
      </w:pPr>
      <w:bookmarkStart w:colFirst="0" w:colLast="0" w:name="_xex8bj6zucp1" w:id="9"/>
      <w:bookmarkEnd w:id="9"/>
      <w:r w:rsidDel="00000000" w:rsidR="00000000" w:rsidRPr="00000000">
        <w:rPr>
          <w:rtl w:val="0"/>
        </w:rPr>
        <w:t xml:space="preserve">Saiba Mais</w:t>
      </w:r>
    </w:p>
    <w:p w:rsidR="00000000" w:rsidDel="00000000" w:rsidP="00000000" w:rsidRDefault="00000000" w:rsidRPr="00000000" w14:paraId="00000081">
      <w:pPr>
        <w:widowControl w:val="0"/>
        <w:spacing w:line="240" w:lineRule="auto"/>
        <w:jc w:val="both"/>
        <w:rPr>
          <w:rFonts w:ascii="Lexend" w:cs="Lexend" w:eastAsia="Lexend" w:hAnsi="Lexend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Para aprofundar seus conhecimentos, acesse o curso de </w:t>
      </w:r>
      <w:hyperlink r:id="rId25">
        <w:r w:rsidDel="00000000" w:rsidR="00000000" w:rsidRPr="00000000">
          <w:rPr>
            <w:rFonts w:ascii="Lexend Deca" w:cs="Lexend Deca" w:eastAsia="Lexend Deca" w:hAnsi="Lexend Deca"/>
            <w:color w:val="1155cc"/>
            <w:sz w:val="26"/>
            <w:szCs w:val="26"/>
            <w:u w:val="single"/>
            <w:rtl w:val="0"/>
          </w:rPr>
          <w:t xml:space="preserve">Ajuste de estoque</w:t>
        </w:r>
      </w:hyperlink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 na Academia CM (ACM). Lá, você encontrará informações detalhadas sobre esses procedimentos e poderá aprimorar suas habilidades.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spacing w:line="276" w:lineRule="auto"/>
        <w:jc w:val="center"/>
        <w:rPr>
          <w:rFonts w:ascii="Lexend" w:cs="Lexend" w:eastAsia="Lexend" w:hAnsi="Lexend"/>
          <w:color w:val="002850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pacing w:line="276" w:lineRule="auto"/>
        <w:jc w:val="center"/>
        <w:rPr>
          <w:rFonts w:ascii="Lexend" w:cs="Lexend" w:eastAsia="Lexend" w:hAnsi="Lexend"/>
          <w:color w:val="002850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sectPr>
      <w:headerReference r:id="rId26" w:type="default"/>
      <w:headerReference r:id="rId27" w:type="first"/>
      <w:footerReference r:id="rId28" w:type="default"/>
      <w:footerReference r:id="rId29" w:type="first"/>
      <w:pgSz w:h="16834" w:w="11909" w:orient="portrait"/>
      <w:pgMar w:bottom="1440" w:top="1440" w:left="1440" w:right="1440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Baloo 2">
    <w:embedRegular w:fontKey="{00000000-0000-0000-0000-000000000000}" r:id="rId1" w:subsetted="0"/>
    <w:embedBold w:fontKey="{00000000-0000-0000-0000-000000000000}" r:id="rId2" w:subsetted="0"/>
  </w:font>
  <w:font w:name="Lexend">
    <w:embedRegular w:fontKey="{00000000-0000-0000-0000-000000000000}" r:id="rId3" w:subsetted="0"/>
    <w:embedBold w:fontKey="{00000000-0000-0000-0000-000000000000}" r:id="rId4" w:subsetted="0"/>
  </w:font>
  <w:font w:name="Lexend Deca">
    <w:embedRegular w:fontKey="{00000000-0000-0000-0000-000000000000}" r:id="rId5" w:subsetted="0"/>
    <w:embedBold w:fontKey="{00000000-0000-0000-0000-000000000000}" r:id="rId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5">
    <w:pPr>
      <w:jc w:val="center"/>
      <w:rPr>
        <w:rFonts w:ascii="Lexend Deca" w:cs="Lexend Deca" w:eastAsia="Lexend Deca" w:hAnsi="Lexend Deca"/>
        <w:b w:val="1"/>
        <w:color w:val="32f032"/>
        <w:sz w:val="26"/>
        <w:szCs w:val="26"/>
      </w:rPr>
    </w:pPr>
    <w:r w:rsidDel="00000000" w:rsidR="00000000" w:rsidRPr="00000000">
      <w:pict>
        <v:rect style="width:0.0pt;height:1.5pt" o:hr="t" o:hrstd="t" o:hralign="center" fillcolor="#A0A0A0" stroked="f"/>
      </w:pic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86">
    <w:pPr>
      <w:jc w:val="center"/>
      <w:rPr>
        <w:rFonts w:ascii="Lexend Deca" w:cs="Lexend Deca" w:eastAsia="Lexend Deca" w:hAnsi="Lexend Deca"/>
        <w:b w:val="1"/>
        <w:color w:val="32f032"/>
        <w:sz w:val="26"/>
        <w:szCs w:val="26"/>
      </w:rPr>
    </w:pPr>
    <w:r w:rsidDel="00000000" w:rsidR="00000000" w:rsidRPr="00000000">
      <w:rPr>
        <w:rFonts w:ascii="Lexend Deca" w:cs="Lexend Deca" w:eastAsia="Lexend Deca" w:hAnsi="Lexend Deca"/>
        <w:b w:val="1"/>
        <w:color w:val="32f032"/>
        <w:sz w:val="26"/>
        <w:szCs w:val="26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8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4">
    <w:pPr>
      <w:rPr>
        <w:rFonts w:ascii="Lexend Deca" w:cs="Lexend Deca" w:eastAsia="Lexend Deca" w:hAnsi="Lexend Deca"/>
        <w:b w:val="1"/>
        <w:color w:val="999999"/>
        <w:sz w:val="28"/>
        <w:szCs w:val="28"/>
      </w:rPr>
    </w:pPr>
    <w:r w:rsidDel="00000000" w:rsidR="00000000" w:rsidRPr="00000000">
      <w:rPr>
        <w:rFonts w:ascii="Lexend Deca" w:cs="Lexend Deca" w:eastAsia="Lexend Deca" w:hAnsi="Lexend Deca"/>
        <w:b w:val="1"/>
        <w:color w:val="999999"/>
        <w:sz w:val="28"/>
        <w:szCs w:val="28"/>
      </w:rPr>
      <w:drawing>
        <wp:anchor allowOverlap="1" behindDoc="0" distB="114300" distT="114300" distL="114300" distR="114300" hidden="0" layoutInCell="1" locked="0" relativeHeight="0" simplePos="0">
          <wp:simplePos x="0" y="0"/>
          <wp:positionH relativeFrom="page">
            <wp:posOffset>5426400</wp:posOffset>
          </wp:positionH>
          <wp:positionV relativeFrom="page">
            <wp:posOffset>338325</wp:posOffset>
          </wp:positionV>
          <wp:extent cx="1214438" cy="377242"/>
          <wp:effectExtent b="0" l="0" r="0" t="0"/>
          <wp:wrapNone/>
          <wp:docPr id="12" name="image4.png"/>
          <a:graphic>
            <a:graphicData uri="http://schemas.openxmlformats.org/drawingml/2006/picture">
              <pic:pic>
                <pic:nvPicPr>
                  <pic:cNvPr id="0" name="image4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214438" cy="377242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Fonts w:ascii="Lexend Deca" w:cs="Lexend Deca" w:eastAsia="Lexend Deca" w:hAnsi="Lexend Deca"/>
        <w:b w:val="1"/>
        <w:color w:val="999999"/>
        <w:sz w:val="28"/>
        <w:szCs w:val="28"/>
        <w:rtl w:val="0"/>
      </w:rPr>
      <w:t xml:space="preserve">Ajuste de Estoque</w:t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7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0" w:hanging="360"/>
      </w:pPr>
      <w:rPr>
        <w:rFonts w:ascii="Baloo 2" w:cs="Baloo 2" w:eastAsia="Baloo 2" w:hAnsi="Baloo 2"/>
        <w:b w:val="1"/>
        <w:color w:val="00f500"/>
        <w:sz w:val="38"/>
        <w:szCs w:val="38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</w:pPr>
    <w:rPr>
      <w:rFonts w:ascii="Lexend Deca" w:cs="Lexend Deca" w:eastAsia="Lexend Deca" w:hAnsi="Lexend Deca"/>
      <w:color w:val="002850"/>
      <w:sz w:val="26"/>
      <w:szCs w:val="26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</w:pPr>
    <w:rPr>
      <w:rFonts w:ascii="Lexend Deca" w:cs="Lexend Deca" w:eastAsia="Lexend Deca" w:hAnsi="Lexend Deca"/>
      <w:b w:val="1"/>
      <w:color w:val="32f032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</w:pPr>
    <w:rPr>
      <w:rFonts w:ascii="Lexend Deca" w:cs="Lexend Deca" w:eastAsia="Lexend Deca" w:hAnsi="Lexend Deca"/>
      <w:b w:val="1"/>
      <w:color w:val="002850"/>
      <w:sz w:val="28"/>
      <w:szCs w:val="2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4.png"/><Relationship Id="rId22" Type="http://schemas.openxmlformats.org/officeDocument/2006/relationships/image" Target="media/image10.png"/><Relationship Id="rId21" Type="http://schemas.openxmlformats.org/officeDocument/2006/relationships/image" Target="media/image7.png"/><Relationship Id="rId24" Type="http://schemas.openxmlformats.org/officeDocument/2006/relationships/image" Target="media/image8.png"/><Relationship Id="rId23" Type="http://schemas.openxmlformats.org/officeDocument/2006/relationships/image" Target="media/image1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26" Type="http://schemas.openxmlformats.org/officeDocument/2006/relationships/header" Target="header1.xml"/><Relationship Id="rId25" Type="http://schemas.openxmlformats.org/officeDocument/2006/relationships/hyperlink" Target="https://cursos.casamagalhaes.com.br/course/view.php?id=145" TargetMode="External"/><Relationship Id="rId28" Type="http://schemas.openxmlformats.org/officeDocument/2006/relationships/footer" Target="footer1.xml"/><Relationship Id="rId27" Type="http://schemas.openxmlformats.org/officeDocument/2006/relationships/header" Target="header2.xml"/><Relationship Id="rId5" Type="http://schemas.openxmlformats.org/officeDocument/2006/relationships/styles" Target="styles.xml"/><Relationship Id="rId6" Type="http://schemas.openxmlformats.org/officeDocument/2006/relationships/image" Target="media/image13.png"/><Relationship Id="rId29" Type="http://schemas.openxmlformats.org/officeDocument/2006/relationships/footer" Target="footer2.xml"/><Relationship Id="rId7" Type="http://schemas.openxmlformats.org/officeDocument/2006/relationships/image" Target="media/image19.png"/><Relationship Id="rId8" Type="http://schemas.openxmlformats.org/officeDocument/2006/relationships/image" Target="media/image17.png"/><Relationship Id="rId11" Type="http://schemas.openxmlformats.org/officeDocument/2006/relationships/image" Target="media/image16.png"/><Relationship Id="rId10" Type="http://schemas.openxmlformats.org/officeDocument/2006/relationships/image" Target="media/image18.jpg"/><Relationship Id="rId13" Type="http://schemas.openxmlformats.org/officeDocument/2006/relationships/hyperlink" Target="https://grupocasamagalhaes.movidesk.com/kb" TargetMode="External"/><Relationship Id="rId12" Type="http://schemas.openxmlformats.org/officeDocument/2006/relationships/image" Target="media/image11.png"/><Relationship Id="rId15" Type="http://schemas.openxmlformats.org/officeDocument/2006/relationships/image" Target="media/image12.png"/><Relationship Id="rId14" Type="http://schemas.openxmlformats.org/officeDocument/2006/relationships/image" Target="media/image9.png"/><Relationship Id="rId17" Type="http://schemas.openxmlformats.org/officeDocument/2006/relationships/image" Target="media/image6.png"/><Relationship Id="rId16" Type="http://schemas.openxmlformats.org/officeDocument/2006/relationships/image" Target="media/image1.png"/><Relationship Id="rId19" Type="http://schemas.openxmlformats.org/officeDocument/2006/relationships/image" Target="media/image2.png"/><Relationship Id="rId18" Type="http://schemas.openxmlformats.org/officeDocument/2006/relationships/image" Target="media/image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Baloo2-regular.ttf"/><Relationship Id="rId2" Type="http://schemas.openxmlformats.org/officeDocument/2006/relationships/font" Target="fonts/Baloo2-bold.ttf"/><Relationship Id="rId3" Type="http://schemas.openxmlformats.org/officeDocument/2006/relationships/font" Target="fonts/Lexend-regular.ttf"/><Relationship Id="rId4" Type="http://schemas.openxmlformats.org/officeDocument/2006/relationships/font" Target="fonts/Lexend-bold.ttf"/><Relationship Id="rId5" Type="http://schemas.openxmlformats.org/officeDocument/2006/relationships/font" Target="fonts/LexendDeca-regular.ttf"/><Relationship Id="rId6" Type="http://schemas.openxmlformats.org/officeDocument/2006/relationships/font" Target="fonts/LexendDeca-bold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