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Agosto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652.047244094488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Caixa </w:t>
      </w:r>
    </w:p>
    <w:p w:rsidR="00000000" w:rsidDel="00000000" w:rsidP="00000000" w:rsidRDefault="00000000" w:rsidRPr="00000000" w14:paraId="0000000B">
      <w:pPr>
        <w:spacing w:line="240" w:lineRule="auto"/>
        <w:ind w:right="2652.047244094488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Geral </w:t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Requisitos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Conhecendo a Rotina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28"/>
          <w:szCs w:val="28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Fechamento de Caixa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28"/>
          <w:szCs w:val="28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Informações adicionais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1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spacing w:after="200" w:line="276" w:lineRule="auto"/>
        <w:jc w:val="both"/>
        <w:rPr/>
      </w:pPr>
      <w:bookmarkStart w:colFirst="0" w:colLast="0" w:name="_8af2t8oevbmf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3">
      <w:pPr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 rotina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caixa geral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, também conhecida como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conferência de caixa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, é um processo administrativo financeiro que verifica todas as entradas e saídas realizadas durante o movimento de caixa. </w:t>
      </w:r>
    </w:p>
    <w:p w:rsidR="00000000" w:rsidDel="00000000" w:rsidP="00000000" w:rsidRDefault="00000000" w:rsidRPr="00000000" w14:paraId="00000034">
      <w:pPr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Na prática, o varejofacil compara o que foi calculado de forma automática pelo sistema e o que foi declarado pelo operador de caixa no momento do fechamento de caixa, e o responsável financeiro realiza as conferências e declara os valores recebidos. Dessa forma a empresa mantém o controle diário do fluxo de caixa dos pontos de venda, controlando as quebras e computando as sobras de caixa.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spacing w:line="276" w:lineRule="auto"/>
        <w:jc w:val="both"/>
        <w:rPr/>
      </w:pPr>
      <w:bookmarkStart w:colFirst="0" w:colLast="0" w:name="_l5u3npu5m4f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spacing w:after="200" w:line="276" w:lineRule="auto"/>
        <w:jc w:val="both"/>
        <w:rPr/>
      </w:pPr>
      <w:bookmarkStart w:colFirst="0" w:colLast="0" w:name="_ptkkl3o5pqxy" w:id="2"/>
      <w:bookmarkEnd w:id="2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Cadastro de forma de pagamento;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Cadastro de conta corrente;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Realizar o fechamento de caixa no PDV.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widowControl w:val="0"/>
        <w:jc w:val="both"/>
        <w:rPr/>
      </w:pPr>
      <w:bookmarkStart w:colFirst="0" w:colLast="0" w:name="_mlllveu3qx8b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widowControl w:val="0"/>
        <w:spacing w:after="200" w:line="276" w:lineRule="auto"/>
        <w:jc w:val="both"/>
        <w:rPr/>
      </w:pPr>
      <w:bookmarkStart w:colFirst="0" w:colLast="0" w:name="_cvyt01gj9wpc" w:id="4"/>
      <w:bookmarkEnd w:id="4"/>
      <w:r w:rsidDel="00000000" w:rsidR="00000000" w:rsidRPr="00000000">
        <w:rPr>
          <w:rtl w:val="0"/>
        </w:rPr>
        <w:t xml:space="preserve">Conhecendo a rotina</w:t>
      </w:r>
    </w:p>
    <w:p w:rsidR="00000000" w:rsidDel="00000000" w:rsidP="00000000" w:rsidRDefault="00000000" w:rsidRPr="00000000" w14:paraId="0000003E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o módulo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Financeiro &gt; Tesouraria &gt; Caixa geral.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3251200"/>
            <wp:effectExtent b="12700" l="12700" r="12700" t="1270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Tela inicial da rotina</w:t>
      </w:r>
    </w:p>
    <w:p w:rsidR="00000000" w:rsidDel="00000000" w:rsidP="00000000" w:rsidRDefault="00000000" w:rsidRPr="00000000" w14:paraId="00000042">
      <w:pPr>
        <w:pStyle w:val="Title"/>
        <w:jc w:val="both"/>
        <w:rPr>
          <w:sz w:val="24"/>
          <w:szCs w:val="24"/>
        </w:rPr>
      </w:pPr>
      <w:bookmarkStart w:colFirst="0" w:colLast="0" w:name="_ceyip7fhkek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8813" cy="1982846"/>
            <wp:effectExtent b="12700" l="12700" r="12700" t="1270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98284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30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Loja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filtro obrigatório informar uma loja para localizar os fechamentos de caixa.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30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Caixa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filtro opcional para facilitar as pesquisas.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30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Período de movimentação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 filtro opcional para facilitar as pesquisas utilizando um período específico.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line="30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Funcionário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filtro opcional para facilitar as pesquisas de fechamento de caixa de um funcionário específico.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30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Situação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filtro que permite buscar fechamentos de caixa por status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line="300" w:lineRule="auto"/>
        <w:ind w:left="144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Aberto: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significa que a conferência ainda não foi realizada pelo responsável financeiro;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300" w:lineRule="auto"/>
        <w:ind w:left="144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Pendente: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foi iniciado o procedimento de conferência, porém ainda não foi finalizado;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300" w:lineRule="auto"/>
        <w:ind w:left="144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Fechado: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indica que o responsável financeiro já finalizou as conferências.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Pesquisar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botão de controle utilizado para realizar as buscas.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Painel de registros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onde são retornadas todas as consultas de acordo com os filtros selecionados.</w:t>
      </w:r>
    </w:p>
    <w:p w:rsidR="00000000" w:rsidDel="00000000" w:rsidP="00000000" w:rsidRDefault="00000000" w:rsidRPr="00000000" w14:paraId="0000004F">
      <w:pPr>
        <w:spacing w:line="3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bookmarkStart w:colFirst="0" w:colLast="0" w:name="_mb6p4yntlop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jc w:val="both"/>
        <w:rPr/>
      </w:pPr>
      <w:bookmarkStart w:colFirst="0" w:colLast="0" w:name="_bxpjzbrxzrav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Fechamento de Caixa Geral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Comece informando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número da loja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localizar o fechamento de caixa que deseja conferir. Para auxiliar na busca, você também pode utilizar outros filtros disponíveis como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período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caixa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funcionário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Depois, 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Pesquisar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jc w:val="both"/>
        <w:rPr/>
      </w:pPr>
      <w:bookmarkStart w:colFirst="0" w:colLast="0" w:name="_anmpljbt431" w:id="8"/>
      <w:bookmarkEnd w:id="8"/>
      <w:r w:rsidDel="00000000" w:rsidR="00000000" w:rsidRPr="00000000">
        <w:rPr/>
        <w:drawing>
          <wp:inline distB="114300" distT="114300" distL="114300" distR="114300">
            <wp:extent cx="5731200" cy="1079500"/>
            <wp:effectExtent b="12700" l="12700" r="12700" t="127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conforme os filtros utilizados, o sistema exibirá o resultado da pesquisa. Para prosseguir, selecione o movimento de caixa que deseja conferir e 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Editar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jc w:val="both"/>
        <w:rPr/>
      </w:pPr>
      <w:bookmarkStart w:colFirst="0" w:colLast="0" w:name="_gd60hfd1vuum" w:id="9"/>
      <w:bookmarkEnd w:id="9"/>
      <w:r w:rsidDel="00000000" w:rsidR="00000000" w:rsidRPr="00000000">
        <w:rPr/>
        <w:drawing>
          <wp:inline distB="114300" distT="114300" distL="114300" distR="114300">
            <wp:extent cx="5731200" cy="863600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tela de edição você terá à disposição as informações sobre o fechamento de caixa, área de lançamento para declarar o valor de cada forma de pagamento e as abas de resumo de movimentação: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Forma de pagamento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resumo de movimento por finalizadora;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Geral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resumo geral de todas as operações no caixa.</w:t>
      </w:r>
    </w:p>
    <w:p w:rsidR="00000000" w:rsidDel="00000000" w:rsidP="00000000" w:rsidRDefault="00000000" w:rsidRPr="00000000" w14:paraId="00000060">
      <w:pPr>
        <w:pStyle w:val="Title"/>
        <w:jc w:val="both"/>
        <w:rPr/>
      </w:pPr>
      <w:bookmarkStart w:colFirst="0" w:colLast="0" w:name="_o3sgq2i42p2o" w:id="10"/>
      <w:bookmarkEnd w:id="10"/>
      <w:r w:rsidDel="00000000" w:rsidR="00000000" w:rsidRPr="00000000">
        <w:rPr/>
        <w:drawing>
          <wp:inline distB="114300" distT="114300" distL="114300" distR="114300">
            <wp:extent cx="5731200" cy="2400300"/>
            <wp:effectExtent b="12700" l="12700" r="12700" t="1270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jc w:val="both"/>
        <w:rPr>
          <w:rFonts w:ascii="Arial" w:cs="Arial" w:eastAsia="Arial" w:hAnsi="Arial"/>
          <w:b w:val="0"/>
          <w:color w:val="000000"/>
          <w:sz w:val="24"/>
          <w:szCs w:val="24"/>
          <w:highlight w:val="white"/>
        </w:rPr>
      </w:pPr>
      <w:bookmarkStart w:colFirst="0" w:colLast="0" w:name="_he25xu404xn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p5mu7niwphc5" w:id="12"/>
      <w:bookmarkEnd w:id="12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Para realizar a conferência dos valores das formas de pagamento, clique no botão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Adicionar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Title"/>
        <w:jc w:val="both"/>
        <w:rPr/>
      </w:pPr>
      <w:bookmarkStart w:colFirst="0" w:colLast="0" w:name="_w48cuuoi0p5g" w:id="13"/>
      <w:bookmarkEnd w:id="13"/>
      <w:r w:rsidDel="00000000" w:rsidR="00000000" w:rsidRPr="00000000">
        <w:rPr/>
        <w:drawing>
          <wp:inline distB="114300" distT="114300" distL="114300" distR="114300">
            <wp:extent cx="5731200" cy="1333500"/>
            <wp:effectExtent b="12700" l="12700" r="12700" t="127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informe os valores recebidos. Para isso, selecione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forma de pagamento, digite o valor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confirme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Title"/>
        <w:jc w:val="both"/>
        <w:rPr>
          <w:sz w:val="24"/>
          <w:szCs w:val="24"/>
        </w:rPr>
      </w:pPr>
      <w:bookmarkStart w:colFirst="0" w:colLast="0" w:name="_9r6kr4pq5yk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Title"/>
        <w:jc w:val="both"/>
        <w:rPr/>
      </w:pPr>
      <w:bookmarkStart w:colFirst="0" w:colLast="0" w:name="_k32pjotrok2m" w:id="15"/>
      <w:bookmarkEnd w:id="15"/>
      <w:r w:rsidDel="00000000" w:rsidR="00000000" w:rsidRPr="00000000">
        <w:rPr/>
        <w:drawing>
          <wp:inline distB="114300" distT="114300" distL="114300" distR="114300">
            <wp:extent cx="5731200" cy="1765300"/>
            <wp:effectExtent b="12700" l="12700" r="12700" t="1270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repita esse procedimento para as demais formas de pagamento até conferir todas as que foram utilizadas no movimento de caixa do operador.</w:t>
      </w:r>
    </w:p>
    <w:p w:rsidR="00000000" w:rsidDel="00000000" w:rsidP="00000000" w:rsidRDefault="00000000" w:rsidRPr="00000000" w14:paraId="00000069">
      <w:pPr>
        <w:pStyle w:val="Title"/>
        <w:jc w:val="both"/>
        <w:rPr/>
      </w:pPr>
      <w:bookmarkStart w:colFirst="0" w:colLast="0" w:name="_d2mkouvnup6b" w:id="16"/>
      <w:bookmarkEnd w:id="16"/>
      <w:r w:rsidDel="00000000" w:rsidR="00000000" w:rsidRPr="00000000">
        <w:rPr/>
        <w:drawing>
          <wp:inline distB="114300" distT="114300" distL="114300" distR="114300">
            <wp:extent cx="5731200" cy="1752600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Title"/>
        <w:jc w:val="both"/>
        <w:rPr>
          <w:sz w:val="24"/>
          <w:szCs w:val="24"/>
        </w:rPr>
      </w:pPr>
      <w:bookmarkStart w:colFirst="0" w:colLast="0" w:name="_399acx5yqakc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Nesse momento, o varejofacil irá calcular os valores apurados pelo sistema e realizar um comparativo com os valores lançados. Caso ocorra divergência, será apresentada a diferença que poderá ser uma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Quebra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(falta) ou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Sobra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Title"/>
        <w:jc w:val="both"/>
        <w:rPr/>
      </w:pPr>
      <w:bookmarkStart w:colFirst="0" w:colLast="0" w:name="_3m6g1l64zkhz" w:id="18"/>
      <w:bookmarkEnd w:id="18"/>
      <w:r w:rsidDel="00000000" w:rsidR="00000000" w:rsidRPr="00000000">
        <w:rPr/>
        <w:drawing>
          <wp:inline distB="114300" distT="114300" distL="114300" distR="114300">
            <wp:extent cx="5731200" cy="1295400"/>
            <wp:effectExtent b="12700" l="12700" r="12700" t="127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r346mhsp6h77" w:id="19"/>
      <w:bookmarkEnd w:id="19"/>
      <w:r w:rsidDel="00000000" w:rsidR="00000000" w:rsidRPr="00000000">
        <w:rPr>
          <w:color w:val="002850"/>
          <w:sz w:val="26"/>
          <w:szCs w:val="26"/>
          <w:rtl w:val="0"/>
        </w:rPr>
        <w:t xml:space="preserve">Quebra: 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diferença com sinal negativo, ou seja, com base no exemplo acima, está faltando R$0,47 na forma de pagamento “dinheiro”.</w:t>
      </w:r>
    </w:p>
    <w:p w:rsidR="00000000" w:rsidDel="00000000" w:rsidP="00000000" w:rsidRDefault="00000000" w:rsidRPr="00000000" w14:paraId="0000006F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h1ei82jpd9i2" w:id="20"/>
      <w:bookmarkEnd w:id="20"/>
      <w:r w:rsidDel="00000000" w:rsidR="00000000" w:rsidRPr="00000000">
        <w:rPr>
          <w:color w:val="002850"/>
          <w:sz w:val="26"/>
          <w:szCs w:val="26"/>
          <w:rtl w:val="0"/>
        </w:rPr>
        <w:t xml:space="preserve">Sobra: 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diferença representada apenas pelo valor, ou seja, com base no exemplo acima, está sobrando R$1,10 na forma de pagamento “cartão de débito”.</w:t>
      </w:r>
    </w:p>
    <w:p w:rsidR="00000000" w:rsidDel="00000000" w:rsidP="00000000" w:rsidRDefault="00000000" w:rsidRPr="00000000" w14:paraId="00000070">
      <w:pPr>
        <w:pStyle w:val="Title"/>
        <w:jc w:val="both"/>
        <w:rPr/>
      </w:pPr>
      <w:bookmarkStart w:colFirst="0" w:colLast="0" w:name="_99a0mop0pkhh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6a883pqp5026" w:id="22"/>
      <w:bookmarkEnd w:id="22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Para alterar ou remover os valores lançados, utilize os botões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editar 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e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excluir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, conforme a imagem a seguir.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Title"/>
        <w:jc w:val="both"/>
        <w:rPr/>
      </w:pPr>
      <w:bookmarkStart w:colFirst="0" w:colLast="0" w:name="_fmqnpzlwddof" w:id="23"/>
      <w:bookmarkEnd w:id="23"/>
      <w:r w:rsidDel="00000000" w:rsidR="00000000" w:rsidRPr="00000000">
        <w:rPr/>
        <w:drawing>
          <wp:inline distB="114300" distT="114300" distL="114300" distR="114300">
            <wp:extent cx="5731200" cy="1244600"/>
            <wp:effectExtent b="12700" l="12700" r="12700" t="1270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pqsyegwt94j4" w:id="24"/>
      <w:bookmarkEnd w:id="24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Observe que a medida em que os valores vão sendo lançados, o sistema vai alimentando os valores da aba forma de pagamento e indicando se existe alguma diferença ou não no fechamento de caixa.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12700" l="12700" r="12700" t="1270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Title"/>
        <w:jc w:val="both"/>
        <w:rPr>
          <w:sz w:val="24"/>
          <w:szCs w:val="24"/>
        </w:rPr>
      </w:pPr>
      <w:bookmarkStart w:colFirst="0" w:colLast="0" w:name="_t7viaoj044yz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Estando de acordo com os valores apresentados, finalize o caixa geral clicando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819400"/>
            <wp:effectExtent b="12700" l="12700" r="12700" t="127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Title"/>
        <w:jc w:val="both"/>
        <w:rPr>
          <w:rFonts w:ascii="Arial" w:cs="Arial" w:eastAsia="Arial" w:hAnsi="Arial"/>
          <w:b w:val="0"/>
          <w:color w:val="000000"/>
          <w:sz w:val="24"/>
          <w:szCs w:val="24"/>
          <w:highlight w:val="white"/>
        </w:rPr>
      </w:pPr>
      <w:bookmarkStart w:colFirst="0" w:colLast="0" w:name="_iggpqlowhtbl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fn170db4gk6i" w:id="27"/>
      <w:bookmarkEnd w:id="27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Caso haja diferença, o sistema irá avisar e perguntar se deseja encerrar a operação dessa forma. Clique em “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Não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” para retornar a conferência e corrija os valores ou clique em “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Sim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” para prosseguir.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Title"/>
        <w:jc w:val="both"/>
        <w:rPr/>
      </w:pPr>
      <w:bookmarkStart w:colFirst="0" w:colLast="0" w:name="_lq59u5r9ipao" w:id="28"/>
      <w:bookmarkEnd w:id="28"/>
      <w:r w:rsidDel="00000000" w:rsidR="00000000" w:rsidRPr="00000000">
        <w:rPr/>
        <w:drawing>
          <wp:inline distB="114300" distT="114300" distL="114300" distR="114300">
            <wp:extent cx="3786188" cy="1549901"/>
            <wp:effectExtent b="12700" l="12700" r="12700" t="127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5499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próximo passo é hora de justificar a diferença de caixa. Utilize o campo “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Informação Adicional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”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relatar o motivo da diferença e depois, confirme a operação. </w:t>
      </w:r>
    </w:p>
    <w:p w:rsidR="00000000" w:rsidDel="00000000" w:rsidP="00000000" w:rsidRDefault="00000000" w:rsidRPr="00000000" w14:paraId="0000008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Title"/>
        <w:jc w:val="both"/>
        <w:rPr/>
      </w:pPr>
      <w:bookmarkStart w:colFirst="0" w:colLast="0" w:name="_k5dtk1ozh0ss" w:id="29"/>
      <w:bookmarkEnd w:id="29"/>
      <w:r w:rsidDel="00000000" w:rsidR="00000000" w:rsidRPr="00000000">
        <w:rPr/>
        <w:drawing>
          <wp:inline distB="114300" distT="114300" distL="114300" distR="114300">
            <wp:extent cx="5447258" cy="4777662"/>
            <wp:effectExtent b="12700" l="12700" r="12700" t="1270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258" cy="47776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Seguindo o fluxo, caso haja divergência, será solicitado nova confirmação.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sim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prosseguir ou não para retornar. </w:t>
      </w:r>
    </w:p>
    <w:p w:rsidR="00000000" w:rsidDel="00000000" w:rsidP="00000000" w:rsidRDefault="00000000" w:rsidRPr="00000000" w14:paraId="0000008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662363" cy="1733006"/>
            <wp:effectExtent b="12700" l="12700" r="12700" t="127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7330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Title"/>
        <w:jc w:val="both"/>
        <w:rPr/>
      </w:pPr>
      <w:bookmarkStart w:colFirst="0" w:colLast="0" w:name="_mmvf4fly4243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Chegou a hora de enviar os valores à vista para a conta corrente de destino. Caso tenha incluído no cadastro de forma de pagamento dinheiro alguma conta corrente da loja, essa será a conta padrão exibida na tela. Se for enviar para esta conta, 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finalizar o caixa geral.</w:t>
      </w:r>
    </w:p>
    <w:p w:rsidR="00000000" w:rsidDel="00000000" w:rsidP="00000000" w:rsidRDefault="00000000" w:rsidRPr="00000000" w14:paraId="0000008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Title"/>
        <w:jc w:val="both"/>
        <w:rPr/>
      </w:pPr>
      <w:bookmarkStart w:colFirst="0" w:colLast="0" w:name="_45owvjwyttxk" w:id="31"/>
      <w:bookmarkEnd w:id="31"/>
      <w:r w:rsidDel="00000000" w:rsidR="00000000" w:rsidRPr="00000000">
        <w:rPr/>
        <w:drawing>
          <wp:inline distB="114300" distT="114300" distL="114300" distR="114300">
            <wp:extent cx="5731200" cy="2971800"/>
            <wp:effectExtent b="12700" l="12700" r="12700" t="127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vh3x3m8i5i24" w:id="32"/>
      <w:bookmarkEnd w:id="32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Ao invés de finalizar, se você decidir editar o lançamento em conta corrente, selecione a forma de pagamento e clique no botão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Editar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12700" l="12700" r="12700" t="1270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edição de lançamento você poderá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alterar a conta corrente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marcar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Conciliado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Essa opção é usada quando não há necessidade de conferir o fechamento de caixa na rotina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Conciliação Conta Corrente. 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finalizar a alteração.</w:t>
      </w:r>
    </w:p>
    <w:p w:rsidR="00000000" w:rsidDel="00000000" w:rsidP="00000000" w:rsidRDefault="00000000" w:rsidRPr="00000000" w14:paraId="00000092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12700" l="12700" r="12700" t="1270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Title"/>
        <w:jc w:val="both"/>
        <w:rPr>
          <w:sz w:val="24"/>
          <w:szCs w:val="24"/>
        </w:rPr>
      </w:pPr>
      <w:bookmarkStart w:colFirst="0" w:colLast="0" w:name="_tbrry73s8kne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nyc2xic21ty5" w:id="34"/>
      <w:bookmarkEnd w:id="34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Depois,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confirme 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novamente para finalizar o Caixa Geral.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Title"/>
        <w:jc w:val="both"/>
        <w:rPr/>
      </w:pPr>
      <w:bookmarkStart w:colFirst="0" w:colLast="0" w:name="_lm6e41v8y9uy" w:id="35"/>
      <w:bookmarkEnd w:id="35"/>
      <w:r w:rsidDel="00000000" w:rsidR="00000000" w:rsidRPr="00000000">
        <w:rPr/>
        <w:drawing>
          <wp:inline distB="114300" distT="114300" distL="114300" distR="114300">
            <wp:extent cx="5731200" cy="2959100"/>
            <wp:effectExtent b="12700" l="12700" r="12700" t="127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Title"/>
        <w:jc w:val="both"/>
        <w:rPr>
          <w:sz w:val="24"/>
          <w:szCs w:val="24"/>
        </w:rPr>
      </w:pPr>
      <w:bookmarkStart w:colFirst="0" w:colLast="0" w:name="_k5fxvhxqukjk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Pronto! Operação concluída com sucesso.</w:t>
      </w:r>
    </w:p>
    <w:p w:rsidR="00000000" w:rsidDel="00000000" w:rsidP="00000000" w:rsidRDefault="00000000" w:rsidRPr="00000000" w14:paraId="0000009A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Ao retornar para a tela inicial da rotina, perceba que o registrado assume a situação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Fechado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C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1397000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jc w:val="both"/>
        <w:rPr>
          <w:b w:val="0"/>
          <w:color w:val="002850"/>
          <w:sz w:val="26"/>
          <w:szCs w:val="26"/>
          <w:highlight w:val="white"/>
        </w:rPr>
      </w:pPr>
      <w:bookmarkStart w:colFirst="0" w:colLast="0" w:name="_3blk8ayo6aj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Title"/>
        <w:jc w:val="both"/>
        <w:rPr>
          <w:b w:val="0"/>
          <w:color w:val="002850"/>
          <w:sz w:val="26"/>
          <w:szCs w:val="26"/>
          <w:highlight w:val="white"/>
        </w:rPr>
      </w:pPr>
      <w:bookmarkStart w:colFirst="0" w:colLast="0" w:name="_gz83wq9rnac1" w:id="38"/>
      <w:bookmarkEnd w:id="38"/>
      <w:r w:rsidDel="00000000" w:rsidR="00000000" w:rsidRPr="00000000">
        <w:rPr>
          <w:b w:val="0"/>
          <w:color w:val="002850"/>
          <w:sz w:val="26"/>
          <w:szCs w:val="26"/>
          <w:highlight w:val="white"/>
          <w:rtl w:val="0"/>
        </w:rPr>
        <w:t xml:space="preserve">Para imprimir o comprovante de fechamento do caixa geral clique em </w:t>
      </w:r>
      <w:r w:rsidDel="00000000" w:rsidR="00000000" w:rsidRPr="00000000">
        <w:rPr>
          <w:color w:val="002850"/>
          <w:sz w:val="26"/>
          <w:szCs w:val="26"/>
          <w:highlight w:val="white"/>
          <w:rtl w:val="0"/>
        </w:rPr>
        <w:t xml:space="preserve">Relatório</w:t>
      </w:r>
      <w:r w:rsidDel="00000000" w:rsidR="00000000" w:rsidRPr="00000000">
        <w:rPr>
          <w:b w:val="0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0">
      <w:pPr>
        <w:pStyle w:val="Title"/>
        <w:jc w:val="both"/>
        <w:rPr>
          <w:sz w:val="24"/>
          <w:szCs w:val="24"/>
        </w:rPr>
      </w:pPr>
      <w:bookmarkStart w:colFirst="0" w:colLast="0" w:name="_xpxmtxo2ggo6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Title"/>
        <w:jc w:val="both"/>
        <w:rPr/>
      </w:pPr>
      <w:bookmarkStart w:colFirst="0" w:colLast="0" w:name="_qrhdeqggdwto" w:id="40"/>
      <w:bookmarkEnd w:id="40"/>
      <w:r w:rsidDel="00000000" w:rsidR="00000000" w:rsidRPr="00000000">
        <w:rPr/>
        <w:drawing>
          <wp:inline distB="114300" distT="114300" distL="114300" distR="114300">
            <wp:extent cx="5731200" cy="6477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3dg0p9kjxsbv" w:id="41"/>
      <w:bookmarkEnd w:id="41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Selecione as opções de filtros conforme a sua necessidade e clique em </w:t>
      </w:r>
      <w:r w:rsidDel="00000000" w:rsidR="00000000" w:rsidRPr="00000000">
        <w:rPr>
          <w:color w:val="002850"/>
          <w:sz w:val="26"/>
          <w:szCs w:val="26"/>
          <w:rtl w:val="0"/>
        </w:rPr>
        <w:t xml:space="preserve">Gerar</w:t>
      </w:r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Title"/>
        <w:jc w:val="both"/>
        <w:rPr/>
      </w:pPr>
      <w:bookmarkStart w:colFirst="0" w:colLast="0" w:name="_5omn7csewq89" w:id="42"/>
      <w:bookmarkEnd w:id="42"/>
      <w:r w:rsidDel="00000000" w:rsidR="00000000" w:rsidRPr="00000000">
        <w:rPr/>
        <w:drawing>
          <wp:inline distB="114300" distT="114300" distL="114300" distR="114300">
            <wp:extent cx="3357563" cy="1670201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6702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Title"/>
        <w:jc w:val="both"/>
        <w:rPr>
          <w:b w:val="0"/>
          <w:color w:val="002850"/>
          <w:sz w:val="26"/>
          <w:szCs w:val="26"/>
        </w:rPr>
      </w:pPr>
      <w:bookmarkStart w:colFirst="0" w:colLast="0" w:name="_iovqk795epgu" w:id="43"/>
      <w:bookmarkEnd w:id="43"/>
      <w:r w:rsidDel="00000000" w:rsidR="00000000" w:rsidRPr="00000000">
        <w:rPr>
          <w:b w:val="0"/>
          <w:color w:val="002850"/>
          <w:sz w:val="26"/>
          <w:szCs w:val="26"/>
          <w:rtl w:val="0"/>
        </w:rPr>
        <w:t xml:space="preserve">Confira os dados do relatório!</w:t>
      </w:r>
    </w:p>
    <w:p w:rsidR="00000000" w:rsidDel="00000000" w:rsidP="00000000" w:rsidRDefault="00000000" w:rsidRPr="00000000" w14:paraId="000000A6">
      <w:pPr>
        <w:pStyle w:val="Title"/>
        <w:jc w:val="both"/>
        <w:rPr>
          <w:sz w:val="24"/>
          <w:szCs w:val="24"/>
        </w:rPr>
      </w:pPr>
      <w:bookmarkStart w:colFirst="0" w:colLast="0" w:name="_duxaam6lrz4n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Title"/>
        <w:jc w:val="both"/>
        <w:rPr/>
      </w:pPr>
      <w:bookmarkStart w:colFirst="0" w:colLast="0" w:name="_mdyl572pbquq" w:id="45"/>
      <w:bookmarkEnd w:id="45"/>
      <w:r w:rsidDel="00000000" w:rsidR="00000000" w:rsidRPr="00000000">
        <w:rPr/>
        <w:drawing>
          <wp:inline distB="114300" distT="114300" distL="114300" distR="114300">
            <wp:extent cx="5731200" cy="1676400"/>
            <wp:effectExtent b="12700" l="12700" r="12700" t="127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Title"/>
        <w:jc w:val="both"/>
        <w:rPr>
          <w:b w:val="0"/>
          <w:color w:val="002850"/>
          <w:sz w:val="24"/>
          <w:szCs w:val="24"/>
        </w:rPr>
      </w:pPr>
      <w:bookmarkStart w:colFirst="0" w:colLast="0" w:name="_h30f6f9yh080" w:id="46"/>
      <w:bookmarkEnd w:id="46"/>
      <w:r w:rsidDel="00000000" w:rsidR="00000000" w:rsidRPr="00000000">
        <w:rPr>
          <w:color w:val="002850"/>
          <w:sz w:val="24"/>
          <w:szCs w:val="24"/>
          <w:shd w:fill="ff9900" w:val="clear"/>
          <w:rtl w:val="0"/>
        </w:rPr>
        <w:t xml:space="preserve">Importante!</w:t>
      </w:r>
      <w:r w:rsidDel="00000000" w:rsidR="00000000" w:rsidRPr="00000000">
        <w:rPr>
          <w:color w:val="002850"/>
          <w:sz w:val="24"/>
          <w:szCs w:val="24"/>
          <w:rtl w:val="0"/>
        </w:rPr>
        <w:t xml:space="preserve"> </w:t>
      </w:r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Caso houvesse valores de reforço de caixa, sangrias, recebimentos e pagamentos registrados, esses valores também seriam contabilizados na conferência de caixa geral.</w:t>
      </w:r>
    </w:p>
    <w:p w:rsidR="00000000" w:rsidDel="00000000" w:rsidP="00000000" w:rsidRDefault="00000000" w:rsidRPr="00000000" w14:paraId="000000A9">
      <w:pPr>
        <w:pStyle w:val="Title"/>
        <w:jc w:val="both"/>
        <w:rPr/>
      </w:pPr>
      <w:bookmarkStart w:colFirst="0" w:colLast="0" w:name="_kan2yl3mlu86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jc w:val="both"/>
        <w:rPr>
          <w:b w:val="0"/>
          <w:color w:val="002850"/>
          <w:sz w:val="24"/>
          <w:szCs w:val="24"/>
        </w:rPr>
      </w:pPr>
      <w:bookmarkStart w:colFirst="0" w:colLast="0" w:name="_5ih5o7ov2f6g" w:id="48"/>
      <w:bookmarkEnd w:id="48"/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Caso seja necessário editar os valores de um caixa geral que já se encontra com a situação “fechado”. Selecione o registro e clique no botão </w:t>
      </w:r>
      <w:r w:rsidDel="00000000" w:rsidR="00000000" w:rsidRPr="00000000">
        <w:rPr>
          <w:color w:val="002850"/>
          <w:sz w:val="24"/>
          <w:szCs w:val="24"/>
          <w:rtl w:val="0"/>
        </w:rPr>
        <w:t xml:space="preserve">Reabrir</w:t>
      </w:r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Title"/>
        <w:jc w:val="both"/>
        <w:rPr>
          <w:sz w:val="24"/>
          <w:szCs w:val="24"/>
        </w:rPr>
      </w:pPr>
      <w:bookmarkStart w:colFirst="0" w:colLast="0" w:name="_3irvlzncrdgp" w:id="49"/>
      <w:bookmarkEnd w:id="4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01700"/>
            <wp:effectExtent b="12700" l="12700" r="12700" t="1270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Title"/>
        <w:jc w:val="both"/>
        <w:rPr>
          <w:sz w:val="24"/>
          <w:szCs w:val="24"/>
        </w:rPr>
      </w:pPr>
      <w:bookmarkStart w:colFirst="0" w:colLast="0" w:name="_1ps05mccixgh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Title"/>
        <w:jc w:val="both"/>
        <w:rPr>
          <w:b w:val="0"/>
          <w:color w:val="002850"/>
          <w:sz w:val="24"/>
          <w:szCs w:val="24"/>
        </w:rPr>
      </w:pPr>
      <w:bookmarkStart w:colFirst="0" w:colLast="0" w:name="_pe8p12vzgl57" w:id="51"/>
      <w:bookmarkEnd w:id="51"/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Informe uma </w:t>
      </w:r>
      <w:r w:rsidDel="00000000" w:rsidR="00000000" w:rsidRPr="00000000">
        <w:rPr>
          <w:color w:val="002850"/>
          <w:sz w:val="24"/>
          <w:szCs w:val="24"/>
          <w:rtl w:val="0"/>
        </w:rPr>
        <w:t xml:space="preserve">justificativa </w:t>
      </w:r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de reabertura do caixa e clique em </w:t>
      </w:r>
      <w:r w:rsidDel="00000000" w:rsidR="00000000" w:rsidRPr="00000000">
        <w:rPr>
          <w:color w:val="002850"/>
          <w:sz w:val="24"/>
          <w:szCs w:val="24"/>
          <w:rtl w:val="0"/>
        </w:rPr>
        <w:t xml:space="preserve">Reabrir</w:t>
      </w:r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Title"/>
        <w:jc w:val="both"/>
        <w:rPr/>
      </w:pPr>
      <w:bookmarkStart w:colFirst="0" w:colLast="0" w:name="_pt6kb1y9846i" w:id="52"/>
      <w:bookmarkEnd w:id="52"/>
      <w:r w:rsidDel="00000000" w:rsidR="00000000" w:rsidRPr="00000000">
        <w:rPr/>
        <w:drawing>
          <wp:inline distB="114300" distT="114300" distL="114300" distR="114300">
            <wp:extent cx="4041364" cy="1985963"/>
            <wp:effectExtent b="12700" l="12700" r="12700" t="1270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364" cy="1985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Title"/>
        <w:jc w:val="both"/>
        <w:rPr>
          <w:b w:val="0"/>
          <w:color w:val="002850"/>
          <w:sz w:val="24"/>
          <w:szCs w:val="24"/>
        </w:rPr>
      </w:pPr>
      <w:bookmarkStart w:colFirst="0" w:colLast="0" w:name="_cln6m1p15xx8" w:id="53"/>
      <w:bookmarkEnd w:id="53"/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Após clicar em reabrir, o caixa assume a situação de “aberto”, porém os valores lançados anteriormente continuam gravados normalmente no sistema. Para realizar as correções, clique em </w:t>
      </w:r>
      <w:r w:rsidDel="00000000" w:rsidR="00000000" w:rsidRPr="00000000">
        <w:rPr>
          <w:color w:val="002850"/>
          <w:sz w:val="24"/>
          <w:szCs w:val="24"/>
          <w:rtl w:val="0"/>
        </w:rPr>
        <w:t xml:space="preserve">Editar</w:t>
      </w:r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Title"/>
        <w:jc w:val="both"/>
        <w:rPr>
          <w:sz w:val="24"/>
          <w:szCs w:val="24"/>
        </w:rPr>
      </w:pPr>
      <w:bookmarkStart w:colFirst="0" w:colLast="0" w:name="_dpq3d9jruqy6" w:id="54"/>
      <w:bookmarkEnd w:id="54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85800"/>
            <wp:effectExtent b="12700" l="12700" r="12700" t="1270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Title"/>
        <w:jc w:val="both"/>
        <w:rPr>
          <w:sz w:val="24"/>
          <w:szCs w:val="24"/>
        </w:rPr>
      </w:pPr>
      <w:bookmarkStart w:colFirst="0" w:colLast="0" w:name="_g8ytauxhk9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4"/>
          <w:szCs w:val="24"/>
          <w:rtl w:val="0"/>
        </w:rPr>
        <w:t xml:space="preserve">Na tela seguinte, realize as edições conforme sua necessidade e depois grave.</w:t>
      </w:r>
    </w:p>
    <w:p w:rsidR="00000000" w:rsidDel="00000000" w:rsidP="00000000" w:rsidRDefault="00000000" w:rsidRPr="00000000" w14:paraId="000000B6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4"/>
          <w:szCs w:val="24"/>
        </w:rPr>
        <w:drawing>
          <wp:inline distB="114300" distT="114300" distL="114300" distR="114300">
            <wp:extent cx="5738813" cy="2631083"/>
            <wp:effectExtent b="12700" l="12700" r="12700" t="1270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6310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Title"/>
        <w:jc w:val="both"/>
        <w:rPr/>
      </w:pPr>
      <w:bookmarkStart w:colFirst="0" w:colLast="0" w:name="_bbtz3inmirh" w:id="56"/>
      <w:bookmarkEnd w:id="56"/>
      <w:r w:rsidDel="00000000" w:rsidR="00000000" w:rsidRPr="00000000">
        <w:rPr>
          <w:rtl w:val="0"/>
        </w:rPr>
        <w:t xml:space="preserve">Informações Adicionais</w:t>
      </w:r>
    </w:p>
    <w:p w:rsidR="00000000" w:rsidDel="00000000" w:rsidP="00000000" w:rsidRDefault="00000000" w:rsidRPr="00000000" w14:paraId="000000BF">
      <w:pPr>
        <w:pStyle w:val="Title"/>
        <w:jc w:val="both"/>
        <w:rPr>
          <w:b w:val="0"/>
          <w:color w:val="002850"/>
          <w:sz w:val="24"/>
          <w:szCs w:val="24"/>
        </w:rPr>
      </w:pPr>
      <w:bookmarkStart w:colFirst="0" w:colLast="0" w:name="_ynlwbfquhm7d" w:id="57"/>
      <w:bookmarkEnd w:id="57"/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Acesse o menu </w:t>
      </w:r>
      <w:r w:rsidDel="00000000" w:rsidR="00000000" w:rsidRPr="00000000">
        <w:rPr>
          <w:color w:val="002850"/>
          <w:sz w:val="24"/>
          <w:szCs w:val="24"/>
          <w:rtl w:val="0"/>
        </w:rPr>
        <w:t xml:space="preserve">Administrativo &gt; Cadastro &gt; Parâmetros</w:t>
      </w:r>
      <w:r w:rsidDel="00000000" w:rsidR="00000000" w:rsidRPr="00000000">
        <w:rPr>
          <w:b w:val="0"/>
          <w:color w:val="002850"/>
          <w:sz w:val="24"/>
          <w:szCs w:val="24"/>
          <w:rtl w:val="0"/>
        </w:rPr>
        <w:t xml:space="preserve"> e confira os parâmetros que estão ligados ao Caixa Geral.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Title"/>
        <w:jc w:val="both"/>
        <w:rPr/>
      </w:pPr>
      <w:bookmarkStart w:colFirst="0" w:colLast="0" w:name="_pfdg1zjugs60" w:id="58"/>
      <w:bookmarkEnd w:id="58"/>
      <w:r w:rsidDel="00000000" w:rsidR="00000000" w:rsidRPr="00000000">
        <w:rPr/>
        <w:drawing>
          <wp:inline distB="114300" distT="114300" distL="114300" distR="114300">
            <wp:extent cx="5367338" cy="2933312"/>
            <wp:effectExtent b="12700" l="12700" r="12700" t="1270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9333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Lexend Deca" w:cs="Lexend Deca" w:eastAsia="Lexend Deca" w:hAnsi="Lexend Deca"/>
          <w:b w:val="1"/>
          <w:color w:val="002850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4"/>
          <w:szCs w:val="24"/>
          <w:rtl w:val="0"/>
        </w:rPr>
        <w:t xml:space="preserve">Clique na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4"/>
          <w:szCs w:val="24"/>
          <w:rtl w:val="0"/>
        </w:rPr>
        <w:t xml:space="preserve">Financeiro &gt; Caixa Geral.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5738" cy="4359932"/>
            <wp:effectExtent b="12700" l="12700" r="12700" t="127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3599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4"/>
          <w:szCs w:val="24"/>
          <w:rtl w:val="0"/>
        </w:rPr>
        <w:t xml:space="preserve">Caixa Geral realizar lançamento em Conta Corrente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43100"/>
            <wp:effectExtent b="12700" l="12700" r="12700" t="127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4"/>
          <w:szCs w:val="24"/>
          <w:rtl w:val="0"/>
        </w:rPr>
        <w:t xml:space="preserve">Reserva do valor de reforço de caixa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92300"/>
            <wp:effectExtent b="12700" l="12700" r="12700" t="127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4"/>
          <w:szCs w:val="24"/>
          <w:rtl w:val="0"/>
        </w:rPr>
        <w:t xml:space="preserve">Validação de cartão no Caixa geral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17700"/>
            <wp:effectExtent b="12700" l="12700" r="12700" t="1270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Title"/>
        <w:jc w:val="both"/>
        <w:rPr/>
      </w:pPr>
      <w:bookmarkStart w:colFirst="0" w:colLast="0" w:name="_urw3a9rla81w" w:id="59"/>
      <w:bookmarkEnd w:id="5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C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aprendeu como realizar o fechamento de Caixa geral, que tal realizar esse procedimento todos os dias e fazer o controle financeiro dos fechamentos de caixa da sua loja?</w:t>
      </w:r>
    </w:p>
    <w:p w:rsidR="00000000" w:rsidDel="00000000" w:rsidP="00000000" w:rsidRDefault="00000000" w:rsidRPr="00000000" w14:paraId="000000C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Title"/>
        <w:jc w:val="both"/>
        <w:rPr/>
      </w:pPr>
      <w:bookmarkStart w:colFirst="0" w:colLast="0" w:name="_xex8bj6zucp1" w:id="60"/>
      <w:bookmarkEnd w:id="60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46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47" w:type="default"/>
      <w:headerReference r:id="rId48" w:type="first"/>
      <w:footerReference r:id="rId49" w:type="default"/>
      <w:footerReference r:id="rId5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Lexend Dec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4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Caixa Geral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f00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15.png"/><Relationship Id="rId41" Type="http://schemas.openxmlformats.org/officeDocument/2006/relationships/image" Target="media/image25.png"/><Relationship Id="rId44" Type="http://schemas.openxmlformats.org/officeDocument/2006/relationships/image" Target="media/image16.png"/><Relationship Id="rId43" Type="http://schemas.openxmlformats.org/officeDocument/2006/relationships/image" Target="media/image13.png"/><Relationship Id="rId46" Type="http://schemas.openxmlformats.org/officeDocument/2006/relationships/hyperlink" Target="https://cursos.casamagalhaes.com.br/" TargetMode="External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header" Target="header2.xml"/><Relationship Id="rId47" Type="http://schemas.openxmlformats.org/officeDocument/2006/relationships/header" Target="header1.xm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39.png"/><Relationship Id="rId8" Type="http://schemas.openxmlformats.org/officeDocument/2006/relationships/image" Target="media/image38.png"/><Relationship Id="rId31" Type="http://schemas.openxmlformats.org/officeDocument/2006/relationships/image" Target="media/image34.png"/><Relationship Id="rId30" Type="http://schemas.openxmlformats.org/officeDocument/2006/relationships/image" Target="media/image22.png"/><Relationship Id="rId33" Type="http://schemas.openxmlformats.org/officeDocument/2006/relationships/image" Target="media/image9.png"/><Relationship Id="rId32" Type="http://schemas.openxmlformats.org/officeDocument/2006/relationships/image" Target="media/image5.png"/><Relationship Id="rId35" Type="http://schemas.openxmlformats.org/officeDocument/2006/relationships/image" Target="media/image3.png"/><Relationship Id="rId34" Type="http://schemas.openxmlformats.org/officeDocument/2006/relationships/image" Target="media/image7.png"/><Relationship Id="rId37" Type="http://schemas.openxmlformats.org/officeDocument/2006/relationships/image" Target="media/image32.png"/><Relationship Id="rId36" Type="http://schemas.openxmlformats.org/officeDocument/2006/relationships/image" Target="media/image21.png"/><Relationship Id="rId39" Type="http://schemas.openxmlformats.org/officeDocument/2006/relationships/image" Target="media/image28.png"/><Relationship Id="rId38" Type="http://schemas.openxmlformats.org/officeDocument/2006/relationships/image" Target="media/image6.png"/><Relationship Id="rId20" Type="http://schemas.openxmlformats.org/officeDocument/2006/relationships/image" Target="media/image35.png"/><Relationship Id="rId22" Type="http://schemas.openxmlformats.org/officeDocument/2006/relationships/image" Target="media/image20.png"/><Relationship Id="rId21" Type="http://schemas.openxmlformats.org/officeDocument/2006/relationships/image" Target="media/image4.png"/><Relationship Id="rId24" Type="http://schemas.openxmlformats.org/officeDocument/2006/relationships/image" Target="media/image33.png"/><Relationship Id="rId23" Type="http://schemas.openxmlformats.org/officeDocument/2006/relationships/image" Target="media/image27.png"/><Relationship Id="rId26" Type="http://schemas.openxmlformats.org/officeDocument/2006/relationships/image" Target="media/image23.png"/><Relationship Id="rId25" Type="http://schemas.openxmlformats.org/officeDocument/2006/relationships/image" Target="media/image11.png"/><Relationship Id="rId28" Type="http://schemas.openxmlformats.org/officeDocument/2006/relationships/image" Target="media/image2.png"/><Relationship Id="rId27" Type="http://schemas.openxmlformats.org/officeDocument/2006/relationships/image" Target="media/image30.png"/><Relationship Id="rId29" Type="http://schemas.openxmlformats.org/officeDocument/2006/relationships/image" Target="media/image17.png"/><Relationship Id="rId50" Type="http://schemas.openxmlformats.org/officeDocument/2006/relationships/footer" Target="footer2.xml"/><Relationship Id="rId11" Type="http://schemas.openxmlformats.org/officeDocument/2006/relationships/image" Target="media/image37.png"/><Relationship Id="rId10" Type="http://schemas.openxmlformats.org/officeDocument/2006/relationships/image" Target="media/image40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36.png"/><Relationship Id="rId15" Type="http://schemas.openxmlformats.org/officeDocument/2006/relationships/image" Target="media/image26.png"/><Relationship Id="rId14" Type="http://schemas.openxmlformats.org/officeDocument/2006/relationships/image" Target="media/image29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image" Target="media/image18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LexendDeca-regular.ttf"/><Relationship Id="rId6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