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1028700</wp:posOffset>
            </wp:positionV>
            <wp:extent cx="2512516" cy="985838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2516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 Deca" w:cs="Lexend Deca" w:eastAsia="Lexend Deca" w:hAnsi="Lexend Deca"/>
          <w:b w:val="1"/>
          <w:color w:val="00f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466.062992125984"/>
        <w:rPr>
          <w:rFonts w:ascii="Lexend Deca" w:cs="Lexend Deca" w:eastAsia="Lexend Deca" w:hAnsi="Lexend Deca"/>
          <w:color w:val="00f50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00f500"/>
          <w:sz w:val="38"/>
          <w:szCs w:val="38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Lexend Deca" w:cs="Lexend Deca" w:eastAsia="Lexend Deca" w:hAnsi="Lexend Deca"/>
          <w:color w:val="00f500"/>
          <w:sz w:val="26"/>
          <w:szCs w:val="26"/>
          <w:rtl w:val="0"/>
        </w:rPr>
        <w:t xml:space="preserve">Agosto 2023</w:t>
      </w:r>
    </w:p>
    <w:p w:rsidR="00000000" w:rsidDel="00000000" w:rsidP="00000000" w:rsidRDefault="00000000" w:rsidRPr="00000000" w14:paraId="00000006">
      <w:pPr>
        <w:rPr>
          <w:rFonts w:ascii="Lexend Deca" w:cs="Lexend Deca" w:eastAsia="Lexend Deca" w:hAnsi="Lexend Deca"/>
          <w:b w:val="1"/>
          <w:color w:val="00f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 Deca" w:cs="Lexend Deca" w:eastAsia="Lexend Deca" w:hAnsi="Lexend Deca"/>
          <w:b w:val="1"/>
          <w:color w:val="00f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 Deca" w:cs="Lexend Deca" w:eastAsia="Lexend Deca" w:hAnsi="Lexend Deca"/>
          <w:b w:val="1"/>
          <w:color w:val="00f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 Deca" w:cs="Lexend Deca" w:eastAsia="Lexend Deca" w:hAnsi="Lexend Deca"/>
          <w:b w:val="1"/>
          <w:color w:val="00f5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 Deca" w:cs="Lexend Deca" w:eastAsia="Lexend Deca" w:hAnsi="Lexend Deca"/>
          <w:b w:val="1"/>
          <w:color w:val="002850"/>
          <w:sz w:val="38"/>
          <w:szCs w:val="38"/>
          <w:shd w:fill="00f500" w:val="clear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00f500"/>
          <w:sz w:val="38"/>
          <w:szCs w:val="38"/>
          <w:rtl w:val="0"/>
        </w:rPr>
        <w:t xml:space="preserve">Conteúdo de Apoio</w:t>
      </w:r>
      <w:r w:rsidDel="00000000" w:rsidR="00000000" w:rsidRPr="00000000">
        <w:rPr>
          <w:rFonts w:ascii="Lexend Deca" w:cs="Lexend Deca" w:eastAsia="Lexend Deca" w:hAnsi="Lexend Deca"/>
          <w:color w:val="00f500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Lexend Deca" w:cs="Lexend Deca" w:eastAsia="Lexend Deca" w:hAnsi="Lexend Deca"/>
          <w:color w:val="00f500"/>
          <w:sz w:val="38"/>
          <w:szCs w:val="38"/>
          <w:shd w:fill="00f500" w:val="clear"/>
          <w:rtl w:val="0"/>
        </w:rPr>
        <w:t xml:space="preserve"> 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38"/>
          <w:szCs w:val="38"/>
          <w:shd w:fill="00f500" w:val="clear"/>
          <w:rtl w:val="0"/>
        </w:rPr>
        <w:t xml:space="preserve">varejofacil </w:t>
      </w:r>
    </w:p>
    <w:p w:rsidR="00000000" w:rsidDel="00000000" w:rsidP="00000000" w:rsidRDefault="00000000" w:rsidRPr="00000000" w14:paraId="0000000B">
      <w:pPr>
        <w:spacing w:line="240" w:lineRule="auto"/>
        <w:ind w:right="2226.8503937007877"/>
        <w:rPr>
          <w:rFonts w:ascii="Lexend Deca" w:cs="Lexend Deca" w:eastAsia="Lexend Deca" w:hAnsi="Lexend Deca"/>
          <w:b w:val="1"/>
          <w:color w:val="002850"/>
          <w:sz w:val="100"/>
          <w:szCs w:val="100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100"/>
          <w:szCs w:val="100"/>
          <w:rtl w:val="0"/>
        </w:rPr>
        <w:t xml:space="preserve">Cadastro de contador</w:t>
      </w:r>
    </w:p>
    <w:p w:rsidR="00000000" w:rsidDel="00000000" w:rsidP="00000000" w:rsidRDefault="00000000" w:rsidRPr="00000000" w14:paraId="0000000C">
      <w:pPr>
        <w:rPr>
          <w:rFonts w:ascii="Lexend Deca" w:cs="Lexend Deca" w:eastAsia="Lexend Deca" w:hAnsi="Lexend Deca"/>
          <w:b w:val="1"/>
          <w:color w:val="002850"/>
          <w:sz w:val="98"/>
          <w:szCs w:val="98"/>
        </w:rPr>
      </w:pPr>
      <w:r w:rsidDel="00000000" w:rsidR="00000000" w:rsidRPr="00000000">
        <w:rPr>
          <w:rFonts w:ascii="Lexend Deca" w:cs="Lexend Deca" w:eastAsia="Lexend Deca" w:hAnsi="Lexend Deca"/>
          <w:color w:val="00f500"/>
          <w:sz w:val="26"/>
          <w:szCs w:val="26"/>
          <w:rtl w:val="0"/>
        </w:rPr>
        <w:t xml:space="preserve">v.1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 Deca" w:cs="Lexend Deca" w:eastAsia="Lexend Deca" w:hAnsi="Lexend Deca"/>
          <w:color w:val="00285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-10948</wp:posOffset>
                </wp:positionH>
                <wp:positionV relativeFrom="page">
                  <wp:posOffset>6786750</wp:posOffset>
                </wp:positionV>
                <wp:extent cx="7577138" cy="4277926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7425" y="1641025"/>
                          <a:ext cx="7577138" cy="4277926"/>
                          <a:chOff x="1557425" y="1641025"/>
                          <a:chExt cx="7577150" cy="4277950"/>
                        </a:xfrm>
                      </wpg:grpSpPr>
                      <wpg:grpSp>
                        <wpg:cNvGrpSpPr/>
                        <wpg:grpSpPr>
                          <a:xfrm>
                            <a:off x="1557431" y="1641037"/>
                            <a:ext cx="7577138" cy="4277926"/>
                            <a:chOff x="0" y="228600"/>
                            <a:chExt cx="9144000" cy="5143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28600"/>
                              <a:ext cx="9144000" cy="514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28600"/>
                              <a:ext cx="9144000" cy="51434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-10948</wp:posOffset>
                </wp:positionH>
                <wp:positionV relativeFrom="page">
                  <wp:posOffset>6786750</wp:posOffset>
                </wp:positionV>
                <wp:extent cx="7577138" cy="4277926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7138" cy="4277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-925348</wp:posOffset>
            </wp:positionH>
            <wp:positionV relativeFrom="margin">
              <wp:posOffset>-900111</wp:posOffset>
            </wp:positionV>
            <wp:extent cx="7600950" cy="1069657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69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firstLine="0"/>
        <w:rPr>
          <w:rFonts w:ascii="Lexend Deca" w:cs="Lexend Deca" w:eastAsia="Lexend Deca" w:hAnsi="Lexend Deca"/>
          <w:b w:val="1"/>
          <w:color w:val="00f500"/>
          <w:sz w:val="28"/>
          <w:szCs w:val="28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00f500"/>
          <w:sz w:val="70"/>
          <w:szCs w:val="70"/>
          <w:rtl w:val="0"/>
        </w:rPr>
        <w:t xml:space="preserve">Índice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283.46456692913375" w:hanging="360"/>
        <w:rPr>
          <w:rFonts w:ascii="Lexend Deca" w:cs="Lexend Deca" w:eastAsia="Lexend Deca" w:hAnsi="Lexend Deca"/>
          <w:sz w:val="38"/>
          <w:szCs w:val="38"/>
        </w:rPr>
      </w:pPr>
      <w:r w:rsidDel="00000000" w:rsidR="00000000" w:rsidRPr="00000000">
        <w:rPr>
          <w:rFonts w:ascii="Lexend Deca" w:cs="Lexend Deca" w:eastAsia="Lexend Deca" w:hAnsi="Lexend Deca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exend Deca" w:cs="Lexend Deca" w:eastAsia="Lexend Deca" w:hAnsi="Lexend Deca"/>
          <w:color w:val="ffffff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283.46456692913375" w:hanging="360"/>
        <w:rPr>
          <w:rFonts w:ascii="Lexend Deca" w:cs="Lexend Deca" w:eastAsia="Lexend Deca" w:hAnsi="Lexend Deca"/>
          <w:sz w:val="38"/>
          <w:szCs w:val="38"/>
        </w:rPr>
      </w:pPr>
      <w:r w:rsidDel="00000000" w:rsidR="00000000" w:rsidRPr="00000000">
        <w:rPr>
          <w:rFonts w:ascii="Lexend Deca" w:cs="Lexend Deca" w:eastAsia="Lexend Deca" w:hAnsi="Lexend Deca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exend Deca" w:cs="Lexend Deca" w:eastAsia="Lexend Deca" w:hAnsi="Lexend Deca"/>
          <w:color w:val="ffffff"/>
          <w:sz w:val="28"/>
          <w:szCs w:val="28"/>
          <w:rtl w:val="0"/>
        </w:rPr>
        <w:t xml:space="preserve">Tipos de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283.46456692913375" w:hanging="360"/>
        <w:rPr>
          <w:rFonts w:ascii="Lexend Deca" w:cs="Lexend Deca" w:eastAsia="Lexend Deca" w:hAnsi="Lexend Deca"/>
          <w:sz w:val="38"/>
          <w:szCs w:val="38"/>
        </w:rPr>
      </w:pPr>
      <w:r w:rsidDel="00000000" w:rsidR="00000000" w:rsidRPr="00000000">
        <w:rPr>
          <w:rFonts w:ascii="Lexend Deca" w:cs="Lexend Deca" w:eastAsia="Lexend Deca" w:hAnsi="Lexend Deca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exend Deca" w:cs="Lexend Deca" w:eastAsia="Lexend Deca" w:hAnsi="Lexend Deca"/>
          <w:color w:val="ffffff"/>
          <w:sz w:val="28"/>
          <w:szCs w:val="28"/>
          <w:rtl w:val="0"/>
        </w:rPr>
        <w:t xml:space="preserve">Cadastrando o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283.46456692913375" w:hanging="360"/>
        <w:rPr>
          <w:rFonts w:ascii="Lexend Deca" w:cs="Lexend Deca" w:eastAsia="Lexend Deca" w:hAnsi="Lexend Deca"/>
          <w:sz w:val="38"/>
          <w:szCs w:val="38"/>
        </w:rPr>
      </w:pPr>
      <w:r w:rsidDel="00000000" w:rsidR="00000000" w:rsidRPr="00000000">
        <w:rPr>
          <w:rFonts w:ascii="Lexend Deca" w:cs="Lexend Deca" w:eastAsia="Lexend Deca" w:hAnsi="Lexend Deca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exend Deca" w:cs="Lexend Deca" w:eastAsia="Lexend Deca" w:hAnsi="Lexend Deca"/>
          <w:color w:val="ffffff"/>
          <w:sz w:val="28"/>
          <w:szCs w:val="28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283.46456692913375" w:hanging="360"/>
        <w:rPr>
          <w:rFonts w:ascii="Lexend Deca" w:cs="Lexend Deca" w:eastAsia="Lexend Deca" w:hAnsi="Lexend Deca"/>
          <w:sz w:val="38"/>
          <w:szCs w:val="38"/>
        </w:rPr>
      </w:pPr>
      <w:r w:rsidDel="00000000" w:rsidR="00000000" w:rsidRPr="00000000">
        <w:rPr>
          <w:rFonts w:ascii="Lexend Deca" w:cs="Lexend Deca" w:eastAsia="Lexend Deca" w:hAnsi="Lexend Deca"/>
          <w:color w:val="ffffff"/>
          <w:sz w:val="28"/>
          <w:szCs w:val="28"/>
          <w:rtl w:val="0"/>
        </w:rPr>
        <w:t xml:space="preserve"> Saiba 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Lexend Deca" w:cs="Lexend Deca" w:eastAsia="Lexend Deca" w:hAnsi="Lexend Deca"/>
          <w:b w:val="1"/>
          <w:color w:val="00f500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406400</wp:posOffset>
                </wp:positionV>
                <wp:extent cx="2599348" cy="23304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46325" y="2614775"/>
                          <a:ext cx="2599348" cy="2330450"/>
                          <a:chOff x="4046325" y="2614775"/>
                          <a:chExt cx="2599350" cy="2330450"/>
                        </a:xfrm>
                      </wpg:grpSpPr>
                      <wpg:grpSp>
                        <wpg:cNvGrpSpPr/>
                        <wpg:grpSpPr>
                          <a:xfrm>
                            <a:off x="4046326" y="2614775"/>
                            <a:ext cx="2599348" cy="2330450"/>
                            <a:chOff x="1045250" y="1241375"/>
                            <a:chExt cx="3597000" cy="3227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045250" y="1241375"/>
                              <a:ext cx="3597000" cy="322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retrato-de-mulher-no-trabalho-com-videochamada.jpg" id="4" name="Shape 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18613" r="0" t="0"/>
                            <a:stretch/>
                          </pic:blipFill>
                          <pic:spPr>
                            <a:xfrm>
                              <a:off x="1045250" y="1241375"/>
                              <a:ext cx="3597000" cy="3227700"/>
                            </a:xfrm>
                            <a:prstGeom prst="roundRect">
                              <a:avLst>
                                <a:gd fmla="val 5743" name="adj"/>
                              </a:avLst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406400</wp:posOffset>
                </wp:positionV>
                <wp:extent cx="2599348" cy="233045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9348" cy="233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ind w:left="3401.5748031496064" w:firstLine="992.125984251968"/>
        <w:rPr>
          <w:rFonts w:ascii="Lexend Deca" w:cs="Lexend Deca" w:eastAsia="Lexend Deca" w:hAnsi="Lexend Deca"/>
          <w:b w:val="1"/>
          <w:color w:val="00f500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146530</wp:posOffset>
            </wp:positionV>
            <wp:extent cx="604838" cy="232089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232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left="3401.5748031496064" w:firstLine="992.125984251968"/>
        <w:rPr>
          <w:rFonts w:ascii="Lexend Deca" w:cs="Lexend Deca" w:eastAsia="Lexend Deca" w:hAnsi="Lexend Deca"/>
          <w:b w:val="1"/>
          <w:color w:val="00f5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401.5748031496064" w:firstLine="992.125984251968"/>
        <w:rPr>
          <w:rFonts w:ascii="Lexend Deca" w:cs="Lexend Deca" w:eastAsia="Lexend Deca" w:hAnsi="Lexend Deca"/>
          <w:b w:val="1"/>
          <w:color w:val="ffffff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ffffff"/>
          <w:sz w:val="36"/>
          <w:szCs w:val="36"/>
          <w:rtl w:val="0"/>
        </w:rPr>
        <w:t xml:space="preserve">Para acessar</w:t>
      </w:r>
    </w:p>
    <w:p w:rsidR="00000000" w:rsidDel="00000000" w:rsidP="00000000" w:rsidRDefault="00000000" w:rsidRPr="00000000" w14:paraId="00000031">
      <w:pPr>
        <w:ind w:left="3401.5748031496064" w:firstLine="992.125984251968"/>
        <w:rPr>
          <w:rFonts w:ascii="Lexend Deca" w:cs="Lexend Deca" w:eastAsia="Lexend Deca" w:hAnsi="Lexend Deca"/>
          <w:b w:val="1"/>
          <w:color w:val="ffffff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ffffff"/>
          <w:sz w:val="36"/>
          <w:szCs w:val="36"/>
          <w:rtl w:val="0"/>
        </w:rPr>
        <w:t xml:space="preserve">outros conteúdos,</w:t>
      </w:r>
    </w:p>
    <w:p w:rsidR="00000000" w:rsidDel="00000000" w:rsidP="00000000" w:rsidRDefault="00000000" w:rsidRPr="00000000" w14:paraId="00000032">
      <w:pPr>
        <w:ind w:left="3401.5748031496064" w:firstLine="992.125984251968"/>
        <w:rPr>
          <w:rFonts w:ascii="Lexend Deca" w:cs="Lexend Deca" w:eastAsia="Lexend Deca" w:hAnsi="Lexend Deca"/>
          <w:b w:val="1"/>
          <w:color w:val="ffffff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ffffff"/>
          <w:sz w:val="36"/>
          <w:szCs w:val="36"/>
          <w:rtl w:val="0"/>
        </w:rPr>
        <w:t xml:space="preserve">acesse também</w:t>
      </w:r>
    </w:p>
    <w:p w:rsidR="00000000" w:rsidDel="00000000" w:rsidP="00000000" w:rsidRDefault="00000000" w:rsidRPr="00000000" w14:paraId="00000033">
      <w:pPr>
        <w:ind w:left="3401.5748031496064" w:firstLine="992.125984251968"/>
        <w:rPr>
          <w:rFonts w:ascii="Lexend Deca" w:cs="Lexend Deca" w:eastAsia="Lexend Deca" w:hAnsi="Lexend Deca"/>
          <w:b w:val="1"/>
          <w:color w:val="00f500"/>
          <w:sz w:val="40"/>
          <w:szCs w:val="40"/>
          <w:u w:val="single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ffffff"/>
          <w:sz w:val="36"/>
          <w:szCs w:val="36"/>
          <w:rtl w:val="0"/>
        </w:rPr>
        <w:t xml:space="preserve">nossa</w:t>
      </w:r>
      <w:r w:rsidDel="00000000" w:rsidR="00000000" w:rsidRPr="00000000">
        <w:rPr>
          <w:rFonts w:ascii="Lexend Deca" w:cs="Lexend Deca" w:eastAsia="Lexend Deca" w:hAnsi="Lexend Deca"/>
          <w:b w:val="1"/>
          <w:color w:val="00f5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Lexend Deca" w:cs="Lexend Deca" w:eastAsia="Lexend Deca" w:hAnsi="Lexend Deca"/>
          <w:b w:val="1"/>
          <w:color w:val="00f500"/>
          <w:sz w:val="40"/>
          <w:szCs w:val="40"/>
          <w:u w:val="single"/>
          <w:rtl w:val="0"/>
        </w:rPr>
        <w:t xml:space="preserve">Central de Ajuda</w:t>
        <w:br w:type="textWrapping"/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Lexend Deca" w:cs="Lexend Deca" w:eastAsia="Lexend Deca" w:hAnsi="Lexend Deca"/>
          <w:color w:val="32f032"/>
          <w:sz w:val="30"/>
          <w:szCs w:val="30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32f032"/>
          <w:sz w:val="48"/>
          <w:szCs w:val="4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Lexend Deca" w:cs="Lexend Deca" w:eastAsia="Lexend Deca" w:hAnsi="Lexend Deca"/>
          <w:color w:val="0028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b w:val="1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O contador 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é o profissional que cuida das questões tributárias, econômicas de uma empresa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No varejofacil o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s dados do cadastro de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contador 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precisam ser preenchidos de forma correta com todas as informações necessárias, pois esses dados serão enviados nos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arquivos fiscais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 gerados pelo varejofacil, pois o cadastro do contador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é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obrigatório para geração do arquivo fiscal.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32f032"/>
          <w:sz w:val="48"/>
          <w:szCs w:val="48"/>
          <w:rtl w:val="0"/>
        </w:rPr>
        <w:t xml:space="preserve">Tipos de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331.2" w:lineRule="auto"/>
        <w:jc w:val="both"/>
        <w:rPr>
          <w:rFonts w:ascii="Lexend Deca" w:cs="Lexend Deca" w:eastAsia="Lexend Deca" w:hAnsi="Lexend Deca"/>
          <w:b w:val="1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No varejofacil é possível cadastrar o contador com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CPF 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ou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CNPJ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Em casos de clientes que usam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CNPJ 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no cadastro do contador ( </w:t>
      </w:r>
      <w:r w:rsidDel="00000000" w:rsidR="00000000" w:rsidRPr="00000000">
        <w:rPr>
          <w:rFonts w:ascii="Lexend Deca" w:cs="Lexend Deca" w:eastAsia="Lexend Deca" w:hAnsi="Lexend Deca"/>
          <w:i w:val="1"/>
          <w:color w:val="002850"/>
          <w:sz w:val="26"/>
          <w:szCs w:val="26"/>
          <w:rtl w:val="0"/>
        </w:rPr>
        <w:t xml:space="preserve">Isso acontece quando o cliente contrata uma empresa de contabilidade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) devemos reforçar que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na geração do SPED será obrigatório informar o CPF no validador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 ( </w:t>
      </w:r>
      <w:r w:rsidDel="00000000" w:rsidR="00000000" w:rsidRPr="00000000">
        <w:rPr>
          <w:rFonts w:ascii="Lexend Deca" w:cs="Lexend Deca" w:eastAsia="Lexend Deca" w:hAnsi="Lexend Deca"/>
          <w:i w:val="1"/>
          <w:color w:val="002850"/>
          <w:sz w:val="26"/>
          <w:szCs w:val="26"/>
          <w:rtl w:val="0"/>
        </w:rPr>
        <w:t xml:space="preserve">O Validador é o programa que a contabilidade utiliza para ler o SPED gerado pelo cliente 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) desta forma o cliente varejofacil 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gera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 o SPED normalmente com o CNPJ no cadastro do contador e envia a contabilidade, que por sua vez quando for ler o SPED gerado em seu validador deve adicionar manualmente o CPF do contador responsável pela validação do arquivo.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line="331.2" w:lineRule="auto"/>
        <w:jc w:val="both"/>
        <w:rPr>
          <w:color w:val="4a86e8"/>
        </w:rPr>
      </w:pPr>
      <w:bookmarkStart w:colFirst="0" w:colLast="0" w:name="_cgex0xv1ucnk" w:id="0"/>
      <w:bookmarkEnd w:id="0"/>
      <w:r w:rsidDel="00000000" w:rsidR="00000000" w:rsidRPr="00000000">
        <w:rPr>
          <w:rFonts w:ascii="Lexend Deca" w:cs="Lexend Deca" w:eastAsia="Lexend Deca" w:hAnsi="Lexend Deca"/>
          <w:b w:val="1"/>
          <w:color w:val="32f032"/>
          <w:sz w:val="48"/>
          <w:szCs w:val="48"/>
          <w:rtl w:val="0"/>
        </w:rPr>
        <w:t xml:space="preserve">Cadastrando o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Acesse o módulo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Pessoa &gt; Terceiros &gt; Contador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 e clique em Incluir.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</w:rPr>
        <w:drawing>
          <wp:inline distB="114300" distT="114300" distL="114300" distR="114300">
            <wp:extent cx="5731200" cy="838200"/>
            <wp:effectExtent b="12700" l="12700" r="12700" t="127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 w="12700">
                      <a:solidFill>
                        <a:srgbClr val="32F03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Na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aba Principal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 informe todos os dados cadastrais do contabilista.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</w:rPr>
        <w:drawing>
          <wp:inline distB="114300" distT="114300" distL="114300" distR="114300">
            <wp:extent cx="5731200" cy="28575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 w="12700">
                      <a:solidFill>
                        <a:srgbClr val="32F03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i w:val="1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i w:val="1"/>
          <w:color w:val="002850"/>
          <w:sz w:val="26"/>
          <w:szCs w:val="26"/>
          <w:rtl w:val="0"/>
        </w:rPr>
        <w:t xml:space="preserve">Todos os campos que contém um </w:t>
      </w:r>
      <w:r w:rsidDel="00000000" w:rsidR="00000000" w:rsidRPr="00000000">
        <w:rPr>
          <w:rFonts w:ascii="Lexend Deca" w:cs="Lexend Deca" w:eastAsia="Lexend Deca" w:hAnsi="Lexend Deca"/>
          <w:b w:val="1"/>
          <w:i w:val="1"/>
          <w:color w:val="002850"/>
          <w:sz w:val="26"/>
          <w:szCs w:val="26"/>
          <w:rtl w:val="0"/>
        </w:rPr>
        <w:t xml:space="preserve">asterisco vermelho,</w:t>
      </w:r>
      <w:r w:rsidDel="00000000" w:rsidR="00000000" w:rsidRPr="00000000">
        <w:rPr>
          <w:rFonts w:ascii="Lexend Deca" w:cs="Lexend Deca" w:eastAsia="Lexend Deca" w:hAnsi="Lexend Deca"/>
          <w:i w:val="1"/>
          <w:color w:val="002850"/>
          <w:sz w:val="26"/>
          <w:szCs w:val="26"/>
          <w:rtl w:val="0"/>
        </w:rPr>
        <w:t xml:space="preserve"> são campos obrigatórios, </w:t>
      </w:r>
      <w:r w:rsidDel="00000000" w:rsidR="00000000" w:rsidRPr="00000000">
        <w:rPr>
          <w:rFonts w:ascii="Lexend Deca" w:cs="Lexend Deca" w:eastAsia="Lexend Deca" w:hAnsi="Lexend Deca"/>
          <w:i w:val="1"/>
          <w:color w:val="002850"/>
          <w:sz w:val="26"/>
          <w:szCs w:val="26"/>
          <w:rtl w:val="0"/>
        </w:rPr>
        <w:t xml:space="preserve">preencha</w:t>
      </w:r>
      <w:r w:rsidDel="00000000" w:rsidR="00000000" w:rsidRPr="00000000">
        <w:rPr>
          <w:rFonts w:ascii="Lexend Deca" w:cs="Lexend Deca" w:eastAsia="Lexend Deca" w:hAnsi="Lexend Deca"/>
          <w:i w:val="1"/>
          <w:color w:val="002850"/>
          <w:sz w:val="26"/>
          <w:szCs w:val="26"/>
          <w:rtl w:val="0"/>
        </w:rPr>
        <w:t xml:space="preserve"> de acordo com os dados informados pela contabilidade.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Na aba Complemento,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 informe o CRC do contador.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</w:rPr>
        <w:drawing>
          <wp:inline distB="114300" distT="114300" distL="114300" distR="114300">
            <wp:extent cx="5731200" cy="1003300"/>
            <wp:effectExtent b="12700" l="12700" r="12700" t="127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 w="12700">
                      <a:solidFill>
                        <a:srgbClr val="32F03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Na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aba Lojas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, adicione todas as lojas na qual o contador é responsável.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color w:val="002850"/>
          <w:sz w:val="26"/>
          <w:szCs w:val="26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</w:rPr>
        <w:drawing>
          <wp:inline distB="114300" distT="114300" distL="114300" distR="114300">
            <wp:extent cx="5731200" cy="22987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 w="12700">
                      <a:solidFill>
                        <a:srgbClr val="32F03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Finalize o cadastro clicando em </w:t>
      </w:r>
      <w:r w:rsidDel="00000000" w:rsidR="00000000" w:rsidRPr="00000000">
        <w:rPr>
          <w:rFonts w:ascii="Lexend Deca" w:cs="Lexend Deca" w:eastAsia="Lexend Deca" w:hAnsi="Lexend Deca"/>
          <w:b w:val="1"/>
          <w:color w:val="002850"/>
          <w:sz w:val="26"/>
          <w:szCs w:val="26"/>
          <w:rtl w:val="0"/>
        </w:rPr>
        <w:t xml:space="preserve">Gravar</w:t>
      </w: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31.2" w:lineRule="auto"/>
        <w:jc w:val="both"/>
        <w:rPr>
          <w:rFonts w:ascii="Lexend Deca" w:cs="Lexend Deca" w:eastAsia="Lexend Deca" w:hAnsi="Lexend De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jc w:val="both"/>
        <w:rPr>
          <w:rFonts w:ascii="Lexend Deca" w:cs="Lexend Deca" w:eastAsia="Lexend Deca" w:hAnsi="Lexend Deca"/>
          <w:b w:val="1"/>
          <w:color w:val="32f032"/>
          <w:sz w:val="48"/>
          <w:szCs w:val="48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32f032"/>
          <w:sz w:val="48"/>
          <w:szCs w:val="48"/>
          <w:rtl w:val="0"/>
        </w:rPr>
        <w:t xml:space="preserve">Conclusão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Agora que você já conhece a rotina de cadastro de contador no varejofacil, você está pronto para colocar esse conhecimento em prática.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Lexend Deca" w:cs="Lexend Deca" w:eastAsia="Lexend Deca" w:hAnsi="Lexend Deca"/>
          <w:b w:val="1"/>
          <w:color w:val="32f032"/>
          <w:sz w:val="48"/>
          <w:szCs w:val="48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32f032"/>
          <w:sz w:val="48"/>
          <w:szCs w:val="48"/>
          <w:rtl w:val="0"/>
        </w:rPr>
        <w:t xml:space="preserve">Saiba Mais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Lexend Deca" w:cs="Lexend Deca" w:eastAsia="Lexend Deca" w:hAnsi="Lexend Deca"/>
          <w:b w:val="1"/>
          <w:color w:val="32f032"/>
          <w:sz w:val="48"/>
          <w:szCs w:val="48"/>
        </w:rPr>
      </w:pPr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Para aprofundar seus conhecimentos, acesse a </w:t>
      </w:r>
      <w:hyperlink r:id="rId17">
        <w:r w:rsidDel="00000000" w:rsidR="00000000" w:rsidRPr="00000000">
          <w:rPr>
            <w:rFonts w:ascii="Lexend Deca" w:cs="Lexend Deca" w:eastAsia="Lexend Deca" w:hAnsi="Lexend Deca"/>
            <w:color w:val="1155cc"/>
            <w:sz w:val="26"/>
            <w:szCs w:val="26"/>
            <w:u w:val="single"/>
            <w:rtl w:val="0"/>
          </w:rPr>
          <w:t xml:space="preserve">Academia CM (ACM)</w:t>
        </w:r>
      </w:hyperlink>
      <w:r w:rsidDel="00000000" w:rsidR="00000000" w:rsidRPr="00000000">
        <w:rPr>
          <w:rFonts w:ascii="Lexend Deca" w:cs="Lexend Deca" w:eastAsia="Lexend Deca" w:hAnsi="Lexend Deca"/>
          <w:color w:val="002850"/>
          <w:sz w:val="26"/>
          <w:szCs w:val="26"/>
          <w:rtl w:val="0"/>
        </w:rPr>
        <w:t xml:space="preserve">. Lá, você encontrará informações detalhadas sobre esses procedimentos e poderá aprimorar suas habilidades.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loo 2">
    <w:embedRegular w:fontKey="{00000000-0000-0000-0000-000000000000}" r:id="rId1" w:subsetted="0"/>
    <w:embedBold w:fontKey="{00000000-0000-0000-0000-000000000000}" r:id="rId2" w:subsetted="0"/>
  </w:font>
  <w:font w:name="Lexend Dec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center"/>
      <w:rPr>
        <w:rFonts w:ascii="Lexend Deca" w:cs="Lexend Deca" w:eastAsia="Lexend Deca" w:hAnsi="Lexend Deca"/>
        <w:b w:val="1"/>
        <w:color w:val="32f032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Lexend Deca" w:cs="Lexend Deca" w:eastAsia="Lexend Deca" w:hAnsi="Lexend Deca"/>
        <w:b w:val="1"/>
        <w:color w:val="32f032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Fonts w:ascii="Lexend Deca" w:cs="Lexend Deca" w:eastAsia="Lexend Deca" w:hAnsi="Lexend Deca"/>
        <w:b w:val="1"/>
        <w:color w:val="999999"/>
        <w:sz w:val="28"/>
        <w:szCs w:val="28"/>
        <w:rtl w:val="0"/>
      </w:rPr>
      <w:t xml:space="preserve">Cadastro de </w:t>
    </w:r>
    <w:r w:rsidDel="00000000" w:rsidR="00000000" w:rsidRPr="00000000">
      <w:rPr>
        <w:rFonts w:ascii="Lexend Deca" w:cs="Lexend Deca" w:eastAsia="Lexend Deca" w:hAnsi="Lexend Deca"/>
        <w:b w:val="1"/>
        <w:color w:val="999999"/>
        <w:sz w:val="28"/>
        <w:szCs w:val="2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5426400</wp:posOffset>
          </wp:positionH>
          <wp:positionV relativeFrom="page">
            <wp:posOffset>338325</wp:posOffset>
          </wp:positionV>
          <wp:extent cx="1214438" cy="377242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37724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Lexend Deca" w:cs="Lexend Deca" w:eastAsia="Lexend Deca" w:hAnsi="Lexend Deca"/>
        <w:b w:val="1"/>
        <w:color w:val="999999"/>
        <w:sz w:val="28"/>
        <w:szCs w:val="28"/>
        <w:rtl w:val="0"/>
      </w:rPr>
      <w:t xml:space="preserve">Contador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rFonts w:ascii="Baloo 2" w:cs="Baloo 2" w:eastAsia="Baloo 2" w:hAnsi="Baloo 2"/>
        <w:b w:val="1"/>
        <w:color w:val="00f500"/>
        <w:sz w:val="34"/>
        <w:szCs w:val="3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Lexend Deca" w:cs="Lexend Deca" w:eastAsia="Lexend Deca" w:hAnsi="Lexend Deca"/>
      <w:color w:val="0028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Lexend Deca" w:cs="Lexend Deca" w:eastAsia="Lexend Deca" w:hAnsi="Lexend Deca"/>
      <w:b w:val="1"/>
      <w:color w:val="32f03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Lexend Deca" w:cs="Lexend Deca" w:eastAsia="Lexend Deca" w:hAnsi="Lexend Deca"/>
      <w:b w:val="1"/>
      <w:color w:val="00285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11.jp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hyperlink" Target="https://cursos.casamagalhaes.com.br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eader" Target="header2.xml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2-regular.ttf"/><Relationship Id="rId2" Type="http://schemas.openxmlformats.org/officeDocument/2006/relationships/font" Target="fonts/Baloo2-bold.ttf"/><Relationship Id="rId3" Type="http://schemas.openxmlformats.org/officeDocument/2006/relationships/font" Target="fonts/LexendDeca-regular.ttf"/><Relationship Id="rId4" Type="http://schemas.openxmlformats.org/officeDocument/2006/relationships/font" Target="fonts/LexendDec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