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SoilSentinel</w:t>
      </w:r>
    </w:p>
    <w:p>
      <w:pPr>
        <w:pStyle w:val="Subtitle"/>
      </w:pPr>
      <w:r>
        <w:t xml:space="preserve">Complete System Architecture, Algorithmic Auditing, Scientific Integrity, and Production Roadmap</w:t>
      </w:r>
    </w:p>
    <w:p>
      <w:pPr>
        <w:pStyle w:val="Normal"/>
      </w:pPr>
      <w:r>
        <w:rPr>
          <w:b/>
          <w:color w:val="1B365D"/>
        </w:rPr>
        <w:t xml:space="preserve">IBM Z Datathon 2026 Engineering Deliverable</w:t>
      </w:r>
    </w:p>
    <w:p>
      <w:pPr>
        <w:pStyle w:val="Normal"/>
      </w:pPr>
      <w:r>
        <w:t xml:space="preserve">Date: October 17, 2026 | Location: Chandigarh / Punjab Basin (30.7300° N, 76.7700° E)</w:t>
      </w:r>
    </w:p>
    <w:p>
      <w:pPr>
        <w:pStyle w:val="Normal"/>
      </w:pPr>
    </w:p>
    <w:tbl>
      <w:tblPr>
        <w:tblStyle w:val="TableGrid"/>
        <w:tblW w:w="0" w:type="auto"/>
        <w:tblBorders>
          <w:top w:val="single" w:sz="6" w:space="0" w:color="D0D7DE"/>
          <w:left w:val="none"/>
          <w:bottom w:val="single" w:sz="6" w:space="0" w:color="D0D7DE"/>
          <w:right w:val="none"/>
          <w:insideH w:val="single" w:sz="4" w:space="0" w:color="EAECEF"/>
          <w:insideV w:val="none"/>
        </w:tblBorders>
        <w:tblLook w:val="04A0" w:firstRow="1" w:lastRow="0" w:firstCol="0" w:lastCol="0" w:noHBand="0" w:noVBand="1"/>
      </w:tblPr>
      <w:tr>
        <w:trPr>
          <w:tblHeader/>
        </w:trPr>
        <w:tc>
          <w:tcPr>
            <w:tcW w:w="3500" w:type="dxa"/>
            <w:shd w:val="clear" w:color="auto" w:fill="F0F4F8"/>
            <w:tcMar>
              <w:top w:w="120"/>
              <w:bottom w:w="120"/>
              <w:left w:w="160"/>
              <w:right w:w="160"/>
            </w:tcMar>
          </w:tcPr>
          <w:p>
            <w:pPr>
              <w:spacing w:before="60" w:after="60"/>
            </w:pPr>
            <w:r>
              <w:rPr>
                <w:b/>
                <w:color w:val="1B365D"/>
                <w:sz w:val="20"/>
              </w:rPr>
              <w:t>Project Metadata Field</w:t>
            </w:r>
          </w:p>
        </w:tc>
        <w:tc>
          <w:tcPr>
            <w:tcW w:w="5800" w:type="dxa"/>
            <w:shd w:val="clear" w:color="auto" w:fill="F0F4F8"/>
            <w:tcMar>
              <w:top w:w="120"/>
              <w:bottom w:w="120"/>
              <w:left w:w="160"/>
              <w:right w:w="160"/>
            </w:tcMar>
          </w:tcPr>
          <w:p>
            <w:pPr>
              <w:spacing w:before="60" w:after="60"/>
            </w:pPr>
            <w:r>
              <w:rPr>
                <w:b/>
                <w:color w:val="1B365D"/>
                <w:sz w:val="20"/>
              </w:rPr>
              <w:t>Current Value / Specification</w:t>
            </w:r>
          </w:p>
        </w:tc>
      </w:tr>
      <w:tr>
        <w:tc>
          <w:tcPr>
            <w:tcW w:w="3500" w:type="dxa"/>
            <w:shd w:val="clear" w:color="auto" w:fill="FFFFFF"/>
            <w:tcMar>
              <w:top w:w="100"/>
              <w:bottom w:w="100"/>
              <w:left w:w="160"/>
              <w:right w:w="160"/>
            </w:tcMar>
          </w:tcPr>
          <w:p>
            <w:pPr>
              <w:spacing w:before="40" w:after="40"/>
            </w:pPr>
            <w:r>
              <w:rPr>
                <w:sz w:val="20"/>
              </w:rPr>
              <w:t>Project Title</w:t>
            </w:r>
          </w:p>
        </w:tc>
        <w:tc>
          <w:tcPr>
            <w:tcW w:w="5800" w:type="dxa"/>
            <w:shd w:val="clear" w:color="auto" w:fill="FFFFFF"/>
            <w:tcMar>
              <w:top w:w="100"/>
              <w:bottom w:w="100"/>
              <w:left w:w="160"/>
              <w:right w:w="160"/>
            </w:tcMar>
          </w:tcPr>
          <w:p>
            <w:pPr>
              <w:spacing w:before="40" w:after="40"/>
            </w:pPr>
            <w:r>
              <w:rPr>
                <w:sz w:val="20"/>
              </w:rPr>
              <w:t>SoilSentinel — Agro-Climatic Soil Degradation Intelligence</w:t>
            </w:r>
          </w:p>
        </w:tc>
      </w:tr>
      <w:tr>
        <w:tc>
          <w:tcPr>
            <w:tcW w:w="3500" w:type="dxa"/>
            <w:shd w:val="clear" w:color="auto" w:fill="F9FBFD"/>
            <w:tcMar>
              <w:top w:w="100"/>
              <w:bottom w:w="100"/>
              <w:left w:w="160"/>
              <w:right w:w="160"/>
            </w:tcMar>
          </w:tcPr>
          <w:p>
            <w:pPr>
              <w:spacing w:before="40" w:after="40"/>
            </w:pPr>
            <w:r>
              <w:rPr>
                <w:sz w:val="20"/>
              </w:rPr>
              <w:t>Target Hackathon</w:t>
            </w:r>
          </w:p>
        </w:tc>
        <w:tc>
          <w:tcPr>
            <w:tcW w:w="5800" w:type="dxa"/>
            <w:shd w:val="clear" w:color="auto" w:fill="F9FBFD"/>
            <w:tcMar>
              <w:top w:w="100"/>
              <w:bottom w:w="100"/>
              <w:left w:w="160"/>
              <w:right w:w="160"/>
            </w:tcMar>
          </w:tcPr>
          <w:p>
            <w:pPr>
              <w:spacing w:before="40" w:after="40"/>
            </w:pPr>
            <w:r>
              <w:rPr>
                <w:sz w:val="20"/>
              </w:rPr>
              <w:t>IBM Z Datathon 2026</w:t>
            </w:r>
          </w:p>
        </w:tc>
      </w:tr>
      <w:tr>
        <w:tc>
          <w:tcPr>
            <w:tcW w:w="3500" w:type="dxa"/>
            <w:shd w:val="clear" w:color="auto" w:fill="FFFFFF"/>
            <w:tcMar>
              <w:top w:w="100"/>
              <w:bottom w:w="100"/>
              <w:left w:w="160"/>
              <w:right w:w="160"/>
            </w:tcMar>
          </w:tcPr>
          <w:p>
            <w:pPr>
              <w:spacing w:before="40" w:after="40"/>
            </w:pPr>
            <w:r>
              <w:rPr>
                <w:sz w:val="20"/>
              </w:rPr>
              <w:t>Version &amp; State</w:t>
            </w:r>
          </w:p>
        </w:tc>
        <w:tc>
          <w:tcPr>
            <w:tcW w:w="5800" w:type="dxa"/>
            <w:shd w:val="clear" w:color="auto" w:fill="FFFFFF"/>
            <w:tcMar>
              <w:top w:w="100"/>
              <w:bottom w:w="100"/>
              <w:left w:w="160"/>
              <w:right w:w="160"/>
            </w:tcMar>
          </w:tcPr>
          <w:p>
            <w:pPr>
              <w:spacing w:before="40" w:after="40"/>
            </w:pPr>
            <w:r>
              <w:rPr>
                <w:sz w:val="20"/>
              </w:rPr>
              <w:t>v1.2.0-surrogate-audit (Surrogate Verified, Physical Validation Pending)</w:t>
            </w:r>
          </w:p>
        </w:tc>
      </w:tr>
      <w:tr>
        <w:tc>
          <w:tcPr>
            <w:tcW w:w="3500" w:type="dxa"/>
            <w:shd w:val="clear" w:color="auto" w:fill="F9FBFD"/>
            <w:tcMar>
              <w:top w:w="100"/>
              <w:bottom w:w="100"/>
              <w:left w:w="160"/>
              <w:right w:w="160"/>
            </w:tcMar>
          </w:tcPr>
          <w:p>
            <w:pPr>
              <w:spacing w:before="40" w:after="40"/>
            </w:pPr>
            <w:r>
              <w:rPr>
                <w:sz w:val="20"/>
              </w:rPr>
              <w:t>Runtime Stack</w:t>
            </w:r>
          </w:p>
        </w:tc>
        <w:tc>
          <w:tcPr>
            <w:tcW w:w="5800" w:type="dxa"/>
            <w:shd w:val="clear" w:color="auto" w:fill="F9FBFD"/>
            <w:tcMar>
              <w:top w:w="100"/>
              <w:bottom w:w="100"/>
              <w:left w:w="160"/>
              <w:right w:w="160"/>
            </w:tcMar>
          </w:tcPr>
          <w:p>
            <w:pPr>
              <w:spacing w:before="40" w:after="40"/>
            </w:pPr>
            <w:r>
              <w:rPr>
                <w:sz w:val="20"/>
              </w:rPr>
              <w:t>Python 3.10+ / Node.js 22 LTS / SQLite 3.49+ / Copernicus Sentinel-2 L2A</w:t>
            </w:r>
          </w:p>
        </w:tc>
      </w:tr>
      <w:tr>
        <w:tc>
          <w:tcPr>
            <w:tcW w:w="3500" w:type="dxa"/>
            <w:shd w:val="clear" w:color="auto" w:fill="FFFFFF"/>
            <w:tcMar>
              <w:top w:w="100"/>
              <w:bottom w:w="100"/>
              <w:left w:w="160"/>
              <w:right w:w="160"/>
            </w:tcMar>
          </w:tcPr>
          <w:p>
            <w:pPr>
              <w:spacing w:before="40" w:after="40"/>
            </w:pPr>
            <w:r>
              <w:rPr>
                <w:sz w:val="20"/>
              </w:rPr>
              <w:t>Core Models</w:t>
            </w:r>
          </w:p>
        </w:tc>
        <w:tc>
          <w:tcPr>
            <w:tcW w:w="5800" w:type="dxa"/>
            <w:shd w:val="clear" w:color="auto" w:fill="FFFFFF"/>
            <w:tcMar>
              <w:top w:w="100"/>
              <w:bottom w:w="100"/>
              <w:left w:w="160"/>
              <w:right w:w="160"/>
            </w:tcMar>
          </w:tcPr>
          <w:p>
            <w:pPr>
              <w:spacing w:before="40" w:after="40"/>
            </w:pPr>
            <w:r>
              <w:rPr>
                <w:sz w:val="20"/>
              </w:rPr>
              <w:t>Heuristic SDI Engine &amp; Random Forest Surrogate (14 Features, 91.67% Acc)</w:t>
            </w:r>
          </w:p>
        </w:tc>
      </w:tr>
      <w:tr>
        <w:tc>
          <w:tcPr>
            <w:tcW w:w="3500" w:type="dxa"/>
            <w:shd w:val="clear" w:color="auto" w:fill="F9FBFD"/>
            <w:tcMar>
              <w:top w:w="100"/>
              <w:bottom w:w="100"/>
              <w:left w:w="160"/>
              <w:right w:w="160"/>
            </w:tcMar>
          </w:tcPr>
          <w:p>
            <w:pPr>
              <w:spacing w:before="40" w:after="40"/>
            </w:pPr>
            <w:r>
              <w:rPr>
                <w:sz w:val="20"/>
              </w:rPr>
              <w:t>Explainability</w:t>
            </w:r>
          </w:p>
        </w:tc>
        <w:tc>
          <w:tcPr>
            <w:tcW w:w="5800" w:type="dxa"/>
            <w:shd w:val="clear" w:color="auto" w:fill="F9FBFD"/>
            <w:tcMar>
              <w:top w:w="100"/>
              <w:bottom w:w="100"/>
              <w:left w:w="160"/>
              <w:right w:w="160"/>
            </w:tcMar>
          </w:tcPr>
          <w:p>
            <w:pPr>
              <w:spacing w:before="40" w:after="40"/>
            </w:pPr>
            <w:r>
              <w:rPr>
                <w:sz w:val="20"/>
              </w:rPr>
              <w:t>TreeSHAP Local Mathematical Additivity Verified (sum phi_i = f(x) - E[f(x)])</w:t>
            </w:r>
          </w:p>
        </w:tc>
      </w:tr>
      <w:tr>
        <w:tc>
          <w:tcPr>
            <w:tcW w:w="3500" w:type="dxa"/>
            <w:shd w:val="clear" w:color="auto" w:fill="FFFFFF"/>
            <w:tcMar>
              <w:top w:w="100"/>
              <w:bottom w:w="100"/>
              <w:left w:w="160"/>
              <w:right w:w="160"/>
            </w:tcMar>
          </w:tcPr>
          <w:p>
            <w:pPr>
              <w:spacing w:before="40" w:after="40"/>
            </w:pPr>
            <w:r>
              <w:rPr>
                <w:sz w:val="20"/>
              </w:rPr>
              <w:t>Verified Test Suite</w:t>
            </w:r>
          </w:p>
        </w:tc>
        <w:tc>
          <w:tcPr>
            <w:tcW w:w="5800" w:type="dxa"/>
            <w:shd w:val="clear" w:color="auto" w:fill="FFFFFF"/>
            <w:tcMar>
              <w:top w:w="100"/>
              <w:bottom w:w="100"/>
              <w:left w:w="160"/>
              <w:right w:w="160"/>
            </w:tcMar>
          </w:tcPr>
          <w:p>
            <w:pPr>
              <w:spacing w:before="40" w:after="40"/>
            </w:pPr>
            <w:r>
              <w:rPr>
                <w:sz w:val="20"/>
              </w:rPr>
              <w:t>211 Tests Passing (200 core engine + 11 satellite tests)</w:t>
            </w:r>
          </w:p>
        </w:tc>
      </w:tr>
      <w:tr>
        <w:tc>
          <w:tcPr>
            <w:tcW w:w="3500" w:type="dxa"/>
            <w:shd w:val="clear" w:color="auto" w:fill="F9FBFD"/>
            <w:tcMar>
              <w:top w:w="100"/>
              <w:bottom w:w="100"/>
              <w:left w:w="160"/>
              <w:right w:w="160"/>
            </w:tcMar>
          </w:tcPr>
          <w:p>
            <w:pPr>
              <w:spacing w:before="40" w:after="40"/>
            </w:pPr>
            <w:r>
              <w:rPr>
                <w:sz w:val="20"/>
              </w:rPr>
              <w:t>Live Listening Ports</w:t>
            </w:r>
          </w:p>
        </w:tc>
        <w:tc>
          <w:tcPr>
            <w:tcW w:w="5800" w:type="dxa"/>
            <w:shd w:val="clear" w:color="auto" w:fill="F9FBFD"/>
            <w:tcMar>
              <w:top w:w="100"/>
              <w:bottom w:w="100"/>
              <w:left w:w="160"/>
              <w:right w:w="160"/>
            </w:tcMar>
          </w:tcPr>
          <w:p>
            <w:pPr>
              <w:spacing w:before="40" w:after="40"/>
            </w:pPr>
            <w:r>
              <w:rPr>
                <w:sz w:val="20"/>
              </w:rPr>
              <w:t>Gateway: http://localhost:3000 | Microservice: http://127.0.0.1:5001</w:t>
            </w:r>
          </w:p>
        </w:tc>
      </w:tr>
    </w:tbl>
    <w:p>
      <w:pPr>
        <w:spacing w:before="100" w:after="100"/>
      </w:pPr>
    </w:p>
    <w:p>
      <w:pPr>
        <w:pStyle w:val="Callout"/>
      </w:pPr>
      <w:r>
        <w:rPr>
          <w:b/>
          <w:color w:val="1B365D"/>
        </w:rPr>
        <w:t xml:space="preserve">SCIENTIFIC INTEGRITY DIRECTIVE: </w:t>
      </w:r>
      <w:r>
        <w:rPr>
          <w:color w:val="222222"/>
        </w:rPr>
        <w:t xml:space="preserve">SCIENTIFIC INTEGRITY NOTICE: SoilSentinel calculates a domain-guided Soil Degradation Index (SDI) and evaluates a calibrated Random Forest surrogate. Physical in-situ soil core validation is currently PENDING FIELD DATA ACQUISITION. The platform distinguishes between surrogate statistical attribution and physical ground truth across all APIs and dashboards.</w:t>
      </w:r>
    </w:p>
    <w:p>
      <w:r>
        <w:br w:type="page"/>
      </w:r>
    </w:p>
    <w:p>
      <w:pPr>
        <w:pStyle w:val="Heading1"/>
      </w:pPr>
      <w:r>
        <w:t xml:space="preserve">1. Executive Summary &amp; Problem Statement</w:t>
      </w:r>
    </w:p>
    <w:p>
      <w:pPr>
        <w:pStyle w:val="Normal"/>
      </w:pPr>
      <w:r>
        <w:t xml:space="preserve">Soil degradation affects over 40% of agricultural lands globally, threatening long-term food security, depleting soil organic carbon (SOC), inducing severe compaction hardpans, and triggering catastrophic topsoil erosion. In the intensely cultivated Indo-Gangetic Plain (Punjab/Haryana agricultural zone), intensive double-cropping, extreme summer thermal anomalies (T_max &gt; 42°C), and irregular monsoonal precipitation accelerate soil desiccation and crusting.</w:t>
      </w:r>
    </w:p>
    <w:p>
      <w:pPr>
        <w:pStyle w:val="Normal"/>
      </w:pPr>
      <w:r>
        <w:t xml:space="preserve">SoilSentinel was developed for the IBM Z Datathon 2026 to dismantle the persistent information asymmetry between remote earth observation science and practical field agronomy. The platform integrates NASA POWER climate reanalysis, ISRIC SoilGrids pedological maps, and high-resolution ESA Copernicus Sentinel-2 L2A multispectral imagery into a unified, interpretable decision intelligence system.</w:t>
      </w:r>
    </w:p>
    <w:p>
      <w:pPr>
        <w:pStyle w:val="Heading1"/>
      </w:pPr>
      <w:r>
        <w:t xml:space="preserve">2. Target Personas, Real-World Use Cases &amp; Value Proposition</w:t>
      </w:r>
    </w:p>
    <w:p>
      <w:pPr>
        <w:pStyle w:val="Normal"/>
      </w:pPr>
      <w:r>
        <w:t xml:space="preserve">SoilSentinel serves four distinct user cohorts, providing tailored analytical depth for each:</w:t>
      </w:r>
    </w:p>
    <w:p>
      <w:pPr>
        <w:pStyle w:val="ListBullet"/>
      </w:pPr>
      <w:r>
        <w:rPr>
          <w:rFonts w:ascii="Symbol" w:hAnsi="Symbol"/>
          <w:color w:val="1B365D"/>
        </w:rPr>
        <w:t>• </w:t>
      </w:r>
      <w:r>
        <w:rPr>
          <w:b/>
        </w:rPr>
        <w:t xml:space="preserve">Farmer Persona: </w:t>
      </w:r>
      <w:r>
        <w:t xml:space="preserve">Smallholder Farmers: Need plain-language risk tiers, immediate action checklists, crop suitability warnings, and zero technical jargon.</w:t>
      </w:r>
    </w:p>
    <w:p>
      <w:pPr>
        <w:pStyle w:val="ListBullet"/>
      </w:pPr>
      <w:r>
        <w:rPr>
          <w:rFonts w:ascii="Symbol" w:hAnsi="Symbol"/>
          <w:color w:val="1B365D"/>
        </w:rPr>
        <w:t>• </w:t>
      </w:r>
      <w:r>
        <w:rPr>
          <w:b/>
        </w:rPr>
        <w:t xml:space="preserve">Agronomist Persona: </w:t>
      </w:r>
      <w:r>
        <w:t xml:space="preserve">Agronomists &amp; Extension Officers: Require limiting-factor breakdowns, counterfactual what-if scenario modeling, and crop threshold tuning.</w:t>
      </w:r>
    </w:p>
    <w:p>
      <w:pPr>
        <w:pStyle w:val="ListBullet"/>
      </w:pPr>
      <w:r>
        <w:rPr>
          <w:rFonts w:ascii="Symbol" w:hAnsi="Symbol"/>
          <w:color w:val="1B365D"/>
        </w:rPr>
        <w:t>• </w:t>
      </w:r>
      <w:r>
        <w:rPr>
          <w:b/>
        </w:rPr>
        <w:t xml:space="preserve">Researcher Persona: </w:t>
      </w:r>
      <w:r>
        <w:t xml:space="preserve">Soil Researchers &amp; Data Scientists: Inspect raw 14-feature arrays, surrogate confidence intervals, TreeSHAP attributions, and Sentinel-2 NDVI anomalies.</w:t>
      </w:r>
    </w:p>
    <w:p>
      <w:pPr>
        <w:pStyle w:val="ListBullet"/>
      </w:pPr>
      <w:r>
        <w:rPr>
          <w:rFonts w:ascii="Symbol" w:hAnsi="Symbol"/>
          <w:color w:val="1B365D"/>
        </w:rPr>
        <w:t>• </w:t>
      </w:r>
      <w:r>
        <w:rPr>
          <w:b/>
        </w:rPr>
        <w:t xml:space="preserve">Director Persona: </w:t>
      </w:r>
      <w:r>
        <w:t xml:space="preserve">Agricultural Policy Directors: Direct conservation subsidies, audit watershed recovery trajectories, and monitor longitudinal land health.</w:t>
      </w:r>
    </w:p>
    <w:p>
      <w:pPr>
        <w:pStyle w:val="Heading1"/>
      </w:pPr>
      <w:r>
        <w:t xml:space="preserve">3. User Journeys &amp; Operational Modes (Farmer vs. Researcher)</w:t>
      </w:r>
    </w:p>
    <w:p>
      <w:pPr>
        <w:pStyle w:val="Normal"/>
      </w:pPr>
      <w:r>
        <w:t xml:space="preserve">SoilSentinel implements two completely separate, role-tailored dashboard views served from a single unified API pipeline:</w:t>
      </w:r>
    </w:p>
    <w:p>
      <w:pPr>
        <w:pStyle w:val="Heading2"/>
      </w:pPr>
      <w:r>
        <w:t xml:space="preserve">3.1 Farmer Mode Workflow</w:t>
      </w:r>
    </w:p>
    <w:p>
      <w:pPr>
        <w:pStyle w:val="ListBullet"/>
      </w:pPr>
      <w:r>
        <w:rPr>
          <w:rFonts w:ascii="Symbol" w:hAnsi="Symbol"/>
          <w:color w:val="1B365D"/>
        </w:rPr>
        <w:t>• </w:t>
      </w:r>
      <w:r>
        <w:t xml:space="preserve">Instant Assessment: Defaults to registered plot coordinates (30.7300° N, 76.7700° E) and latest monthly epoch (2024-12).</w:t>
      </w:r>
    </w:p>
    <w:p>
      <w:pPr>
        <w:pStyle w:val="ListBullet"/>
      </w:pPr>
      <w:r>
        <w:rPr>
          <w:rFonts w:ascii="Symbol" w:hAnsi="Symbol"/>
          <w:color w:val="1B365D"/>
        </w:rPr>
        <w:t>• </w:t>
      </w:r>
      <w:r>
        <w:t xml:space="preserve">High-Contrast SVG Gauge: Displays degradation risk tier (LOW, MODERATE, HIGH, CRITICAL) using intuitive color coding.</w:t>
      </w:r>
    </w:p>
    <w:p>
      <w:pPr>
        <w:pStyle w:val="ListBullet"/>
      </w:pPr>
      <w:r>
        <w:rPr>
          <w:rFonts w:ascii="Symbol" w:hAnsi="Symbol"/>
          <w:color w:val="1B365D"/>
        </w:rPr>
        <w:t>• </w:t>
      </w:r>
      <w:r>
        <w:t xml:space="preserve">Plain-Language Risk Banners: Translates mathematical metrics into contextual advice (e.g. 'Recent 90-day rainfall is 42% below normal').</w:t>
      </w:r>
    </w:p>
    <w:p>
      <w:pPr>
        <w:pStyle w:val="ListBullet"/>
      </w:pPr>
      <w:r>
        <w:rPr>
          <w:rFonts w:ascii="Symbol" w:hAnsi="Symbol"/>
          <w:color w:val="1B365D"/>
        </w:rPr>
        <w:t>• </w:t>
      </w:r>
      <w:r>
        <w:t xml:space="preserve">Crop Suitability Cards: Real-time traffic-light indicators for staple crops (Wheat, Rice, Maize, Chickpea, Mustard, Pearl Millet).</w:t>
      </w:r>
    </w:p>
    <w:p>
      <w:pPr>
        <w:pStyle w:val="ListBullet"/>
      </w:pPr>
      <w:r>
        <w:rPr>
          <w:rFonts w:ascii="Symbol" w:hAnsi="Symbol"/>
          <w:color w:val="1B365D"/>
        </w:rPr>
        <w:t>• </w:t>
      </w:r>
      <w:r>
        <w:t xml:space="preserve">Seasonal Action Plan: Step-by-step prioritized agronomic recommendations (mulching, reduced tillage, green manuring).</w:t>
      </w:r>
    </w:p>
    <w:p>
      <w:pPr>
        <w:pStyle w:val="Heading2"/>
      </w:pPr>
      <w:r>
        <w:t xml:space="preserve">3.2 Researcher Mode Workflow</w:t>
      </w:r>
    </w:p>
    <w:p>
      <w:pPr>
        <w:pStyle w:val="ListBullet"/>
      </w:pPr>
      <w:r>
        <w:rPr>
          <w:rFonts w:ascii="Symbol" w:hAnsi="Symbol"/>
          <w:color w:val="1B365D"/>
        </w:rPr>
        <w:t>• </w:t>
      </w:r>
      <w:r>
        <w:t xml:space="preserve">60-Month Historical Timeline: Full chronological slider spanning January 2020 through December 2024.</w:t>
      </w:r>
    </w:p>
    <w:p>
      <w:pPr>
        <w:pStyle w:val="ListBullet"/>
      </w:pPr>
      <w:r>
        <w:rPr>
          <w:rFonts w:ascii="Symbol" w:hAnsi="Symbol"/>
          <w:color w:val="1B365D"/>
        </w:rPr>
        <w:t>• </w:t>
      </w:r>
      <w:r>
        <w:t xml:space="preserve">Dual Evaluation Telemetry: Real-time side-by-side comparison of Heuristic Score (47.87) vs. ML Surrogate Severity (44.89).</w:t>
      </w:r>
    </w:p>
    <w:p>
      <w:pPr>
        <w:pStyle w:val="ListBullet"/>
      </w:pPr>
      <w:r>
        <w:rPr>
          <w:rFonts w:ascii="Symbol" w:hAnsi="Symbol"/>
          <w:color w:val="1B365D"/>
        </w:rPr>
        <w:t>• </w:t>
      </w:r>
      <w:r>
        <w:t xml:space="preserve">TreeSHAP Waterfall Plot: Exact local feature attribution decomposing model outputs relative to baseline E[f(x)] = 45.98.</w:t>
      </w:r>
    </w:p>
    <w:p>
      <w:pPr>
        <w:pStyle w:val="ListBullet"/>
      </w:pPr>
      <w:r>
        <w:rPr>
          <w:rFonts w:ascii="Symbol" w:hAnsi="Symbol"/>
          <w:color w:val="1B365D"/>
        </w:rPr>
        <w:t>• </w:t>
      </w:r>
      <w:r>
        <w:t xml:space="preserve">Counterfactual 'What-If' Simulator: Interactive sliders for bulk density, organic carbon, pH, and precipitation with &lt; 50ms re-scoring.</w:t>
      </w:r>
    </w:p>
    <w:p>
      <w:pPr>
        <w:pStyle w:val="ListBullet"/>
      </w:pPr>
      <w:r>
        <w:rPr>
          <w:rFonts w:ascii="Symbol" w:hAnsi="Symbol"/>
          <w:color w:val="1B365D"/>
        </w:rPr>
        <w:t>• </w:t>
      </w:r>
      <w:r>
        <w:t xml:space="preserve">Sentinel-2 Earth Observation: Visual false-color composites and cloud-cleared monthly NDVI trajectory.</w:t>
      </w:r>
    </w:p>
    <w:p>
      <w:pPr>
        <w:pStyle w:val="Heading1"/>
      </w:pPr>
      <w:r>
        <w:t xml:space="preserve">4. End-to-End System Architecture &amp; Data Flow</w:t>
      </w:r>
    </w:p>
    <w:p>
      <w:pPr>
        <w:pStyle w:val="Normal"/>
      </w:pPr>
      <w:r>
        <w:t xml:space="preserve">The system employs a hardened 4-tier architecture designed for deterministic reproducibility, low latency, and enterprise security:</w:t>
      </w:r>
    </w:p>
    <w:p>
      <w:pPr>
        <w:pStyle w:val="ListBullet"/>
      </w:pPr>
      <w:r>
        <w:rPr>
          <w:rFonts w:ascii="Symbol" w:hAnsi="Symbol"/>
          <w:color w:val="1B365D"/>
        </w:rPr>
        <w:t>• </w:t>
      </w:r>
      <w:r>
        <w:t xml:space="preserve">Tier 1: Presentation — Vanilla ES6+ JavaScript, CSS3 Glassmorphism tokens, and responsive SVG charts (farmer-dashboard.html, researcher-dashboard.html).</w:t>
      </w:r>
    </w:p>
    <w:p>
      <w:pPr>
        <w:pStyle w:val="ListBullet"/>
      </w:pPr>
      <w:r>
        <w:rPr>
          <w:rFonts w:ascii="Symbol" w:hAnsi="Symbol"/>
          <w:color w:val="1B365D"/>
        </w:rPr>
        <w:t>• </w:t>
      </w:r>
      <w:r>
        <w:t xml:space="preserve">Tier 2: Gateway &amp; Auth — Node.js 22 LTS / Express 4.21 server (Port 3000), Helmet HTTP headers, express-rate-limit, session auth via SQLite 3.</w:t>
      </w:r>
    </w:p>
    <w:p>
      <w:pPr>
        <w:pStyle w:val="ListBullet"/>
      </w:pPr>
      <w:r>
        <w:rPr>
          <w:rFonts w:ascii="Symbol" w:hAnsi="Symbol"/>
          <w:color w:val="1B365D"/>
        </w:rPr>
        <w:t>• </w:t>
      </w:r>
      <w:r>
        <w:t xml:space="preserve">Tier 3: Analytics Bridge Daemon — Python 3.10+ Flask loopback service (Port 5001) pre-loading model artifacts into memory for &lt; 85ms inference.</w:t>
      </w:r>
    </w:p>
    <w:p>
      <w:pPr>
        <w:pStyle w:val="ListBullet"/>
      </w:pPr>
      <w:r>
        <w:rPr>
          <w:rFonts w:ascii="Symbol" w:hAnsi="Symbol"/>
          <w:color w:val="1B365D"/>
        </w:rPr>
        <w:t>• </w:t>
      </w:r>
      <w:r>
        <w:t xml:space="preserve">Tier 4: Persistence &amp; Data Assets — SQLite relational database (database/soilsentinel.db), 14-feature table (data/feature_table.csv), and processed Sentinel-2 assets.</w:t>
      </w:r>
    </w:p>
    <w:p>
      <w:pPr>
        <w:pStyle w:val="Heading1"/>
      </w:pPr>
      <w:r>
        <w:t xml:space="preserve">5. Technology Stack &amp; Algorithmic Foundation</w:t>
      </w:r>
    </w:p>
    <w:tbl>
      <w:tblPr>
        <w:tblStyle w:val="TableGrid"/>
        <w:tblW w:w="0" w:type="auto"/>
        <w:tblBorders>
          <w:top w:val="single" w:sz="6" w:space="0" w:color="D0D7DE"/>
          <w:left w:val="none"/>
          <w:bottom w:val="single" w:sz="6" w:space="0" w:color="D0D7DE"/>
          <w:right w:val="none"/>
          <w:insideH w:val="single" w:sz="4" w:space="0" w:color="EAECEF"/>
          <w:insideV w:val="none"/>
        </w:tblBorders>
        <w:tblLook w:val="04A0" w:firstRow="1" w:lastRow="0" w:firstCol="0" w:lastCol="0" w:noHBand="0" w:noVBand="1"/>
      </w:tblPr>
      <w:tr>
        <w:trPr>
          <w:tblHeader/>
        </w:trPr>
        <w:tc>
          <w:tcPr>
            <w:tcW w:w="1800" w:type="dxa"/>
            <w:shd w:val="clear" w:color="auto" w:fill="F0F4F8"/>
            <w:tcMar>
              <w:top w:w="120"/>
              <w:bottom w:w="120"/>
              <w:left w:w="160"/>
              <w:right w:w="160"/>
            </w:tcMar>
          </w:tcPr>
          <w:p>
            <w:pPr>
              <w:spacing w:before="60" w:after="60"/>
            </w:pPr>
            <w:r>
              <w:rPr>
                <w:b/>
                <w:color w:val="1B365D"/>
                <w:sz w:val="20"/>
              </w:rPr>
              <w:t>Technology / Component</w:t>
            </w:r>
          </w:p>
        </w:tc>
        <w:tc>
          <w:tcPr>
            <w:tcW w:w="2200" w:type="dxa"/>
            <w:shd w:val="clear" w:color="auto" w:fill="F0F4F8"/>
            <w:tcMar>
              <w:top w:w="120"/>
              <w:bottom w:w="120"/>
              <w:left w:w="160"/>
              <w:right w:w="160"/>
            </w:tcMar>
          </w:tcPr>
          <w:p>
            <w:pPr>
              <w:spacing w:before="60" w:after="60"/>
            </w:pPr>
            <w:r>
              <w:rPr>
                <w:b/>
                <w:color w:val="1B365D"/>
                <w:sz w:val="20"/>
              </w:rPr>
              <w:t>Repository Usage</w:t>
            </w:r>
          </w:p>
        </w:tc>
        <w:tc>
          <w:tcPr>
            <w:tcW w:w="2800" w:type="dxa"/>
            <w:shd w:val="clear" w:color="auto" w:fill="F0F4F8"/>
            <w:tcMar>
              <w:top w:w="120"/>
              <w:bottom w:w="120"/>
              <w:left w:w="160"/>
              <w:right w:w="160"/>
            </w:tcMar>
          </w:tcPr>
          <w:p>
            <w:pPr>
              <w:spacing w:before="60" w:after="60"/>
            </w:pPr>
            <w:r>
              <w:rPr>
                <w:b/>
                <w:color w:val="1B365D"/>
                <w:sz w:val="20"/>
              </w:rPr>
              <w:t>Architectural Purpose</w:t>
            </w:r>
          </w:p>
        </w:tc>
        <w:tc>
          <w:tcPr>
            <w:tcW w:w="2500" w:type="dxa"/>
            <w:shd w:val="clear" w:color="auto" w:fill="F0F4F8"/>
            <w:tcMar>
              <w:top w:w="120"/>
              <w:bottom w:w="120"/>
              <w:left w:w="160"/>
              <w:right w:w="160"/>
            </w:tcMar>
          </w:tcPr>
          <w:p>
            <w:pPr>
              <w:spacing w:before="60" w:after="60"/>
            </w:pPr>
            <w:r>
              <w:rPr>
                <w:b/>
                <w:color w:val="1B365D"/>
                <w:sz w:val="20"/>
              </w:rPr>
              <w:t>Trade-Offs &amp; Boundaries</w:t>
            </w:r>
          </w:p>
        </w:tc>
      </w:tr>
      <w:tr>
        <w:tc>
          <w:tcPr>
            <w:tcW w:w="1800" w:type="dxa"/>
            <w:shd w:val="clear" w:color="auto" w:fill="FFFFFF"/>
            <w:tcMar>
              <w:top w:w="100"/>
              <w:bottom w:w="100"/>
              <w:left w:w="160"/>
              <w:right w:w="160"/>
            </w:tcMar>
          </w:tcPr>
          <w:p>
            <w:pPr>
              <w:spacing w:before="40" w:after="40"/>
            </w:pPr>
            <w:r>
              <w:rPr>
                <w:sz w:val="20"/>
              </w:rPr>
              <w:t>Python 3.10+</w:t>
            </w:r>
          </w:p>
        </w:tc>
        <w:tc>
          <w:tcPr>
            <w:tcW w:w="2200" w:type="dxa"/>
            <w:shd w:val="clear" w:color="auto" w:fill="FFFFFF"/>
            <w:tcMar>
              <w:top w:w="100"/>
              <w:bottom w:w="100"/>
              <w:left w:w="160"/>
              <w:right w:w="160"/>
            </w:tcMar>
          </w:tcPr>
          <w:p>
            <w:pPr>
              <w:spacing w:before="40" w:after="40"/>
            </w:pPr>
            <w:r>
              <w:rPr>
                <w:sz w:val="20"/>
              </w:rPr>
              <w:t>src/, scripts/, tests/</w:t>
            </w:r>
          </w:p>
        </w:tc>
        <w:tc>
          <w:tcPr>
            <w:tcW w:w="2800" w:type="dxa"/>
            <w:shd w:val="clear" w:color="auto" w:fill="FFFFFF"/>
            <w:tcMar>
              <w:top w:w="100"/>
              <w:bottom w:w="100"/>
              <w:left w:w="160"/>
              <w:right w:w="160"/>
            </w:tcMar>
          </w:tcPr>
          <w:p>
            <w:pPr>
              <w:spacing w:before="40" w:after="40"/>
            </w:pPr>
            <w:r>
              <w:rPr>
                <w:sz w:val="20"/>
              </w:rPr>
              <w:t>Scientific data processing, ML surrogate inference, SHAP math</w:t>
            </w:r>
          </w:p>
        </w:tc>
        <w:tc>
          <w:tcPr>
            <w:tcW w:w="2500" w:type="dxa"/>
            <w:shd w:val="clear" w:color="auto" w:fill="FFFFFF"/>
            <w:tcMar>
              <w:top w:w="100"/>
              <w:bottom w:w="100"/>
              <w:left w:w="160"/>
              <w:right w:w="160"/>
            </w:tcMar>
          </w:tcPr>
          <w:p>
            <w:pPr>
              <w:spacing w:before="40" w:after="40"/>
            </w:pPr>
            <w:r>
              <w:rPr>
                <w:sz w:val="20"/>
              </w:rPr>
              <w:t>In-memory caching mitigates subprocess overhead</w:t>
            </w:r>
          </w:p>
        </w:tc>
      </w:tr>
      <w:tr>
        <w:tc>
          <w:tcPr>
            <w:tcW w:w="1800" w:type="dxa"/>
            <w:shd w:val="clear" w:color="auto" w:fill="F9FBFD"/>
            <w:tcMar>
              <w:top w:w="100"/>
              <w:bottom w:w="100"/>
              <w:left w:w="160"/>
              <w:right w:w="160"/>
            </w:tcMar>
          </w:tcPr>
          <w:p>
            <w:pPr>
              <w:spacing w:before="40" w:after="40"/>
            </w:pPr>
            <w:r>
              <w:rPr>
                <w:sz w:val="20"/>
              </w:rPr>
              <w:t>scikit-learn</w:t>
            </w:r>
          </w:p>
        </w:tc>
        <w:tc>
          <w:tcPr>
            <w:tcW w:w="2200" w:type="dxa"/>
            <w:shd w:val="clear" w:color="auto" w:fill="F9FBFD"/>
            <w:tcMar>
              <w:top w:w="100"/>
              <w:bottom w:w="100"/>
              <w:left w:w="160"/>
              <w:right w:w="160"/>
            </w:tcMar>
          </w:tcPr>
          <w:p>
            <w:pPr>
              <w:spacing w:before="40" w:after="40"/>
            </w:pPr>
            <w:r>
              <w:rPr>
                <w:sz w:val="20"/>
              </w:rPr>
              <w:t>src/models/, scripts/train_model.py</w:t>
            </w:r>
          </w:p>
        </w:tc>
        <w:tc>
          <w:tcPr>
            <w:tcW w:w="2800" w:type="dxa"/>
            <w:shd w:val="clear" w:color="auto" w:fill="F9FBFD"/>
            <w:tcMar>
              <w:top w:w="100"/>
              <w:bottom w:w="100"/>
              <w:left w:w="160"/>
              <w:right w:w="160"/>
            </w:tcMar>
          </w:tcPr>
          <w:p>
            <w:pPr>
              <w:spacing w:before="40" w:after="40"/>
            </w:pPr>
            <w:r>
              <w:rPr>
                <w:sz w:val="20"/>
              </w:rPr>
              <w:t>RandomForestClassifier surrogate (100 trees, 91.67% accuracy)</w:t>
            </w:r>
          </w:p>
        </w:tc>
        <w:tc>
          <w:tcPr>
            <w:tcW w:w="2500" w:type="dxa"/>
            <w:shd w:val="clear" w:color="auto" w:fill="F9FBFD"/>
            <w:tcMar>
              <w:top w:w="100"/>
              <w:bottom w:w="100"/>
              <w:left w:w="160"/>
              <w:right w:w="160"/>
            </w:tcMar>
          </w:tcPr>
          <w:p>
            <w:pPr>
              <w:spacing w:before="40" w:after="40"/>
            </w:pPr>
            <w:r>
              <w:rPr>
                <w:sz w:val="20"/>
              </w:rPr>
              <w:t>Surrogate tree ensemble bounds; does not extrapolate outside feature bounds</w:t>
            </w:r>
          </w:p>
        </w:tc>
      </w:tr>
      <w:tr>
        <w:tc>
          <w:tcPr>
            <w:tcW w:w="1800" w:type="dxa"/>
            <w:shd w:val="clear" w:color="auto" w:fill="FFFFFF"/>
            <w:tcMar>
              <w:top w:w="100"/>
              <w:bottom w:w="100"/>
              <w:left w:w="160"/>
              <w:right w:w="160"/>
            </w:tcMar>
          </w:tcPr>
          <w:p>
            <w:pPr>
              <w:spacing w:before="40" w:after="40"/>
            </w:pPr>
            <w:r>
              <w:rPr>
                <w:sz w:val="20"/>
              </w:rPr>
              <w:t>TreeSHAP</w:t>
            </w:r>
          </w:p>
        </w:tc>
        <w:tc>
          <w:tcPr>
            <w:tcW w:w="2200" w:type="dxa"/>
            <w:shd w:val="clear" w:color="auto" w:fill="FFFFFF"/>
            <w:tcMar>
              <w:top w:w="100"/>
              <w:bottom w:w="100"/>
              <w:left w:w="160"/>
              <w:right w:w="160"/>
            </w:tcMar>
          </w:tcPr>
          <w:p>
            <w:pPr>
              <w:spacing w:before="40" w:after="40"/>
            </w:pPr>
            <w:r>
              <w:rPr>
                <w:sz w:val="20"/>
              </w:rPr>
              <w:t>src/models/predict.py</w:t>
            </w:r>
          </w:p>
        </w:tc>
        <w:tc>
          <w:tcPr>
            <w:tcW w:w="2800" w:type="dxa"/>
            <w:shd w:val="clear" w:color="auto" w:fill="FFFFFF"/>
            <w:tcMar>
              <w:top w:w="100"/>
              <w:bottom w:w="100"/>
              <w:left w:w="160"/>
              <w:right w:w="160"/>
            </w:tcMar>
          </w:tcPr>
          <w:p>
            <w:pPr>
              <w:spacing w:before="40" w:after="40"/>
            </w:pPr>
            <w:r>
              <w:rPr>
                <w:sz w:val="20"/>
              </w:rPr>
              <w:t>Game-theoretic local feature attributions (sum phi_i = f(x) - base)</w:t>
            </w:r>
          </w:p>
        </w:tc>
        <w:tc>
          <w:tcPr>
            <w:tcW w:w="2500" w:type="dxa"/>
            <w:shd w:val="clear" w:color="auto" w:fill="FFFFFF"/>
            <w:tcMar>
              <w:top w:w="100"/>
              <w:bottom w:w="100"/>
              <w:left w:w="160"/>
              <w:right w:w="160"/>
            </w:tcMar>
          </w:tcPr>
          <w:p>
            <w:pPr>
              <w:spacing w:before="40" w:after="40"/>
            </w:pPr>
            <w:r>
              <w:rPr>
                <w:sz w:val="20"/>
              </w:rPr>
              <w:t>Statistical attribution against model surface; does NOT prove physical causality</w:t>
            </w:r>
          </w:p>
        </w:tc>
      </w:tr>
      <w:tr>
        <w:tc>
          <w:tcPr>
            <w:tcW w:w="1800" w:type="dxa"/>
            <w:shd w:val="clear" w:color="auto" w:fill="F9FBFD"/>
            <w:tcMar>
              <w:top w:w="100"/>
              <w:bottom w:w="100"/>
              <w:left w:w="160"/>
              <w:right w:w="160"/>
            </w:tcMar>
          </w:tcPr>
          <w:p>
            <w:pPr>
              <w:spacing w:before="40" w:after="40"/>
            </w:pPr>
            <w:r>
              <w:rPr>
                <w:sz w:val="20"/>
              </w:rPr>
              <w:t>NASA POWER</w:t>
            </w:r>
          </w:p>
        </w:tc>
        <w:tc>
          <w:tcPr>
            <w:tcW w:w="2200" w:type="dxa"/>
            <w:shd w:val="clear" w:color="auto" w:fill="F9FBFD"/>
            <w:tcMar>
              <w:top w:w="100"/>
              <w:bottom w:w="100"/>
              <w:left w:w="160"/>
              <w:right w:w="160"/>
            </w:tcMar>
          </w:tcPr>
          <w:p>
            <w:pPr>
              <w:spacing w:before="40" w:after="40"/>
            </w:pPr>
            <w:r>
              <w:rPr>
                <w:sz w:val="20"/>
              </w:rPr>
              <w:t>data/feature_table.csv</w:t>
            </w:r>
          </w:p>
        </w:tc>
        <w:tc>
          <w:tcPr>
            <w:tcW w:w="2800" w:type="dxa"/>
            <w:shd w:val="clear" w:color="auto" w:fill="F9FBFD"/>
            <w:tcMar>
              <w:top w:w="100"/>
              <w:bottom w:w="100"/>
              <w:left w:w="160"/>
              <w:right w:w="160"/>
            </w:tcMar>
          </w:tcPr>
          <w:p>
            <w:pPr>
              <w:spacing w:before="40" w:after="40"/>
            </w:pPr>
            <w:r>
              <w:rPr>
                <w:sz w:val="20"/>
              </w:rPr>
              <w:t>60-month gap-free meteorology (T2M, PRECTOTCORR, WS2M, RH2M)</w:t>
            </w:r>
          </w:p>
        </w:tc>
        <w:tc>
          <w:tcPr>
            <w:tcW w:w="2500" w:type="dxa"/>
            <w:shd w:val="clear" w:color="auto" w:fill="F9FBFD"/>
            <w:tcMar>
              <w:top w:w="100"/>
              <w:bottom w:w="100"/>
              <w:left w:w="160"/>
              <w:right w:w="160"/>
            </w:tcMar>
          </w:tcPr>
          <w:p>
            <w:pPr>
              <w:spacing w:before="40" w:after="40"/>
            </w:pPr>
            <w:r>
              <w:rPr>
                <w:sz w:val="20"/>
              </w:rPr>
              <w:t>Coarse spatial grid (~50km); captures regional trends but smooths micro-storms</w:t>
            </w:r>
          </w:p>
        </w:tc>
      </w:tr>
      <w:tr>
        <w:tc>
          <w:tcPr>
            <w:tcW w:w="1800" w:type="dxa"/>
            <w:shd w:val="clear" w:color="auto" w:fill="FFFFFF"/>
            <w:tcMar>
              <w:top w:w="100"/>
              <w:bottom w:w="100"/>
              <w:left w:w="160"/>
              <w:right w:w="160"/>
            </w:tcMar>
          </w:tcPr>
          <w:p>
            <w:pPr>
              <w:spacing w:before="40" w:after="40"/>
            </w:pPr>
            <w:r>
              <w:rPr>
                <w:sz w:val="20"/>
              </w:rPr>
              <w:t>ISRIC SoilGrids</w:t>
            </w:r>
          </w:p>
        </w:tc>
        <w:tc>
          <w:tcPr>
            <w:tcW w:w="2200" w:type="dxa"/>
            <w:shd w:val="clear" w:color="auto" w:fill="FFFFFF"/>
            <w:tcMar>
              <w:top w:w="100"/>
              <w:bottom w:w="100"/>
              <w:left w:w="160"/>
              <w:right w:w="160"/>
            </w:tcMar>
          </w:tcPr>
          <w:p>
            <w:pPr>
              <w:spacing w:before="40" w:after="40"/>
            </w:pPr>
            <w:r>
              <w:rPr>
                <w:sz w:val="20"/>
              </w:rPr>
              <w:t>data/raw/, src/config.py</w:t>
            </w:r>
          </w:p>
        </w:tc>
        <w:tc>
          <w:tcPr>
            <w:tcW w:w="2800" w:type="dxa"/>
            <w:shd w:val="clear" w:color="auto" w:fill="FFFFFF"/>
            <w:tcMar>
              <w:top w:w="100"/>
              <w:bottom w:w="100"/>
              <w:left w:w="160"/>
              <w:right w:w="160"/>
            </w:tcMar>
          </w:tcPr>
          <w:p>
            <w:pPr>
              <w:spacing w:before="40" w:after="40"/>
            </w:pPr>
            <w:r>
              <w:rPr>
                <w:sz w:val="20"/>
              </w:rPr>
              <w:t>Global 250m pedometric predictions (SOC, bulk density, clay, pH, sand)</w:t>
            </w:r>
          </w:p>
        </w:tc>
        <w:tc>
          <w:tcPr>
            <w:tcW w:w="2500" w:type="dxa"/>
            <w:shd w:val="clear" w:color="auto" w:fill="FFFFFF"/>
            <w:tcMar>
              <w:top w:w="100"/>
              <w:bottom w:w="100"/>
              <w:left w:w="160"/>
              <w:right w:w="160"/>
            </w:tcMar>
          </w:tcPr>
          <w:p>
            <w:pPr>
              <w:spacing w:before="40" w:after="40"/>
            </w:pPr>
            <w:r>
              <w:rPr>
                <w:sz w:val="20"/>
              </w:rPr>
              <w:t>Modeled estimates from covariates; static over decadal horizons</w:t>
            </w:r>
          </w:p>
        </w:tc>
      </w:tr>
      <w:tr>
        <w:tc>
          <w:tcPr>
            <w:tcW w:w="1800" w:type="dxa"/>
            <w:shd w:val="clear" w:color="auto" w:fill="F9FBFD"/>
            <w:tcMar>
              <w:top w:w="100"/>
              <w:bottom w:w="100"/>
              <w:left w:w="160"/>
              <w:right w:w="160"/>
            </w:tcMar>
          </w:tcPr>
          <w:p>
            <w:pPr>
              <w:spacing w:before="40" w:after="40"/>
            </w:pPr>
            <w:r>
              <w:rPr>
                <w:sz w:val="20"/>
              </w:rPr>
              <w:t>Sentinel-2 L2A</w:t>
            </w:r>
          </w:p>
        </w:tc>
        <w:tc>
          <w:tcPr>
            <w:tcW w:w="2200" w:type="dxa"/>
            <w:shd w:val="clear" w:color="auto" w:fill="F9FBFD"/>
            <w:tcMar>
              <w:top w:w="100"/>
              <w:bottom w:w="100"/>
              <w:left w:w="160"/>
              <w:right w:w="160"/>
            </w:tcMar>
          </w:tcPr>
          <w:p>
            <w:pPr>
              <w:spacing w:before="40" w:after="40"/>
            </w:pPr>
            <w:r>
              <w:rPr>
                <w:sz w:val="20"/>
              </w:rPr>
              <w:t>scripts/satellite/, data/processed/</w:t>
            </w:r>
          </w:p>
        </w:tc>
        <w:tc>
          <w:tcPr>
            <w:tcW w:w="2800" w:type="dxa"/>
            <w:shd w:val="clear" w:color="auto" w:fill="F9FBFD"/>
            <w:tcMar>
              <w:top w:w="100"/>
              <w:bottom w:w="100"/>
              <w:left w:w="160"/>
              <w:right w:w="160"/>
            </w:tcMar>
          </w:tcPr>
          <w:p>
            <w:pPr>
              <w:spacing w:before="40" w:after="40"/>
            </w:pPr>
            <w:r>
              <w:rPr>
                <w:sz w:val="20"/>
              </w:rPr>
              <w:t>10m B04 Red &amp; B08 NIR for cloud-cleared monthly NDVI curves</w:t>
            </w:r>
          </w:p>
        </w:tc>
        <w:tc>
          <w:tcPr>
            <w:tcW w:w="2500" w:type="dxa"/>
            <w:shd w:val="clear" w:color="auto" w:fill="F9FBFD"/>
            <w:tcMar>
              <w:top w:w="100"/>
              <w:bottom w:w="100"/>
              <w:left w:w="160"/>
              <w:right w:w="160"/>
            </w:tcMar>
          </w:tcPr>
          <w:p>
            <w:pPr>
              <w:spacing w:before="40" w:after="40"/>
            </w:pPr>
            <w:r>
              <w:rPr>
                <w:sz w:val="20"/>
              </w:rPr>
              <w:t>Cloud contamination during monsoons (June-August); requires SCL masking</w:t>
            </w:r>
          </w:p>
        </w:tc>
      </w:tr>
      <w:tr>
        <w:tc>
          <w:tcPr>
            <w:tcW w:w="1800" w:type="dxa"/>
            <w:shd w:val="clear" w:color="auto" w:fill="FFFFFF"/>
            <w:tcMar>
              <w:top w:w="100"/>
              <w:bottom w:w="100"/>
              <w:left w:w="160"/>
              <w:right w:w="160"/>
            </w:tcMar>
          </w:tcPr>
          <w:p>
            <w:pPr>
              <w:spacing w:before="40" w:after="40"/>
            </w:pPr>
            <w:r>
              <w:rPr>
                <w:sz w:val="20"/>
              </w:rPr>
              <w:t>Node.js 22 LTS</w:t>
            </w:r>
          </w:p>
        </w:tc>
        <w:tc>
          <w:tcPr>
            <w:tcW w:w="2200" w:type="dxa"/>
            <w:shd w:val="clear" w:color="auto" w:fill="FFFFFF"/>
            <w:tcMar>
              <w:top w:w="100"/>
              <w:bottom w:w="100"/>
              <w:left w:w="160"/>
              <w:right w:w="160"/>
            </w:tcMar>
          </w:tcPr>
          <w:p>
            <w:pPr>
              <w:spacing w:before="40" w:after="40"/>
            </w:pPr>
            <w:r>
              <w:rPr>
                <w:sz w:val="20"/>
              </w:rPr>
              <w:t>server/server.js</w:t>
            </w:r>
          </w:p>
        </w:tc>
        <w:tc>
          <w:tcPr>
            <w:tcW w:w="2800" w:type="dxa"/>
            <w:shd w:val="clear" w:color="auto" w:fill="FFFFFF"/>
            <w:tcMar>
              <w:top w:w="100"/>
              <w:bottom w:w="100"/>
              <w:left w:w="160"/>
              <w:right w:w="160"/>
            </w:tcMar>
          </w:tcPr>
          <w:p>
            <w:pPr>
              <w:spacing w:before="40" w:after="40"/>
            </w:pPr>
            <w:r>
              <w:rPr>
                <w:sz w:val="20"/>
              </w:rPr>
              <w:t>Express API gateway, session cookies, rate-limiting, SQLite proxy</w:t>
            </w:r>
          </w:p>
        </w:tc>
        <w:tc>
          <w:tcPr>
            <w:tcW w:w="2500" w:type="dxa"/>
            <w:shd w:val="clear" w:color="auto" w:fill="FFFFFF"/>
            <w:tcMar>
              <w:top w:w="100"/>
              <w:bottom w:w="100"/>
              <w:left w:w="160"/>
              <w:right w:w="160"/>
            </w:tcMar>
          </w:tcPr>
          <w:p>
            <w:pPr>
              <w:spacing w:before="40" w:after="40"/>
            </w:pPr>
            <w:r>
              <w:rPr>
                <w:sz w:val="20"/>
              </w:rPr>
              <w:t>Requires ABI 127 for native C++ better-sqlite3 prebuilt binary</w:t>
            </w:r>
          </w:p>
        </w:tc>
      </w:tr>
      <w:tr>
        <w:tc>
          <w:tcPr>
            <w:tcW w:w="1800" w:type="dxa"/>
            <w:shd w:val="clear" w:color="auto" w:fill="F9FBFD"/>
            <w:tcMar>
              <w:top w:w="100"/>
              <w:bottom w:w="100"/>
              <w:left w:w="160"/>
              <w:right w:w="160"/>
            </w:tcMar>
          </w:tcPr>
          <w:p>
            <w:pPr>
              <w:spacing w:before="40" w:after="40"/>
            </w:pPr>
            <w:r>
              <w:rPr>
                <w:sz w:val="20"/>
              </w:rPr>
              <w:t>better-sqlite3</w:t>
            </w:r>
          </w:p>
        </w:tc>
        <w:tc>
          <w:tcPr>
            <w:tcW w:w="2200" w:type="dxa"/>
            <w:shd w:val="clear" w:color="auto" w:fill="F9FBFD"/>
            <w:tcMar>
              <w:top w:w="100"/>
              <w:bottom w:w="100"/>
              <w:left w:w="160"/>
              <w:right w:w="160"/>
            </w:tcMar>
          </w:tcPr>
          <w:p>
            <w:pPr>
              <w:spacing w:before="40" w:after="40"/>
            </w:pPr>
            <w:r>
              <w:rPr>
                <w:sz w:val="20"/>
              </w:rPr>
              <w:t>server/server.js, database/</w:t>
            </w:r>
          </w:p>
        </w:tc>
        <w:tc>
          <w:tcPr>
            <w:tcW w:w="2800" w:type="dxa"/>
            <w:shd w:val="clear" w:color="auto" w:fill="F9FBFD"/>
            <w:tcMar>
              <w:top w:w="100"/>
              <w:bottom w:w="100"/>
              <w:left w:w="160"/>
              <w:right w:w="160"/>
            </w:tcMar>
          </w:tcPr>
          <w:p>
            <w:pPr>
              <w:spacing w:before="40" w:after="40"/>
            </w:pPr>
            <w:r>
              <w:rPr>
                <w:sz w:val="20"/>
              </w:rPr>
              <w:t>Synchronous relational SQLite storage for credentials and audit logs</w:t>
            </w:r>
          </w:p>
        </w:tc>
        <w:tc>
          <w:tcPr>
            <w:tcW w:w="2500" w:type="dxa"/>
            <w:shd w:val="clear" w:color="auto" w:fill="F9FBFD"/>
            <w:tcMar>
              <w:top w:w="100"/>
              <w:bottom w:w="100"/>
              <w:left w:w="160"/>
              <w:right w:w="160"/>
            </w:tcMar>
          </w:tcPr>
          <w:p>
            <w:pPr>
              <w:spacing w:before="40" w:after="40"/>
            </w:pPr>
            <w:r>
              <w:rPr>
                <w:sz w:val="20"/>
              </w:rPr>
              <w:t>Native compilation resolved cleanly via Node 22 LTS standalone installation</w:t>
            </w:r>
          </w:p>
        </w:tc>
      </w:tr>
      <w:tr>
        <w:tc>
          <w:tcPr>
            <w:tcW w:w="1800" w:type="dxa"/>
            <w:shd w:val="clear" w:color="auto" w:fill="FFFFFF"/>
            <w:tcMar>
              <w:top w:w="100"/>
              <w:bottom w:w="100"/>
              <w:left w:w="160"/>
              <w:right w:w="160"/>
            </w:tcMar>
          </w:tcPr>
          <w:p>
            <w:pPr>
              <w:spacing w:before="40" w:after="40"/>
            </w:pPr>
            <w:r>
              <w:rPr>
                <w:sz w:val="20"/>
              </w:rPr>
              <w:t>Vanilla ES6 / CSS3</w:t>
            </w:r>
          </w:p>
        </w:tc>
        <w:tc>
          <w:tcPr>
            <w:tcW w:w="2200" w:type="dxa"/>
            <w:shd w:val="clear" w:color="auto" w:fill="FFFFFF"/>
            <w:tcMar>
              <w:top w:w="100"/>
              <w:bottom w:w="100"/>
              <w:left w:w="160"/>
              <w:right w:w="160"/>
            </w:tcMar>
          </w:tcPr>
          <w:p>
            <w:pPr>
              <w:spacing w:before="40" w:after="40"/>
            </w:pPr>
            <w:r>
              <w:rPr>
                <w:sz w:val="20"/>
              </w:rPr>
              <w:t>public/</w:t>
            </w:r>
          </w:p>
        </w:tc>
        <w:tc>
          <w:tcPr>
            <w:tcW w:w="2800" w:type="dxa"/>
            <w:shd w:val="clear" w:color="auto" w:fill="FFFFFF"/>
            <w:tcMar>
              <w:top w:w="100"/>
              <w:bottom w:w="100"/>
              <w:left w:w="160"/>
              <w:right w:w="160"/>
            </w:tcMar>
          </w:tcPr>
          <w:p>
            <w:pPr>
              <w:spacing w:before="40" w:after="40"/>
            </w:pPr>
            <w:r>
              <w:rPr>
                <w:sz w:val="20"/>
              </w:rPr>
              <w:t>Zero external npm frontend bundle dependencies; high-speed rendering</w:t>
            </w:r>
          </w:p>
        </w:tc>
        <w:tc>
          <w:tcPr>
            <w:tcW w:w="2500" w:type="dxa"/>
            <w:shd w:val="clear" w:color="auto" w:fill="FFFFFF"/>
            <w:tcMar>
              <w:top w:w="100"/>
              <w:bottom w:w="100"/>
              <w:left w:w="160"/>
              <w:right w:w="160"/>
            </w:tcMar>
          </w:tcPr>
          <w:p>
            <w:pPr>
              <w:spacing w:before="40" w:after="40"/>
            </w:pPr>
            <w:r>
              <w:rPr>
                <w:sz w:val="20"/>
              </w:rPr>
              <w:t>No virtual DOM; requires disciplined event-driven state updates</w:t>
            </w:r>
          </w:p>
        </w:tc>
      </w:tr>
    </w:tbl>
    <w:p>
      <w:pPr>
        <w:spacing w:before="100" w:after="100"/>
      </w:pPr>
    </w:p>
    <w:p>
      <w:pPr>
        <w:pStyle w:val="Heading1"/>
      </w:pPr>
      <w:r>
        <w:t xml:space="preserve">6. Risk Engine: Mathematical Specification &amp; Scientific Integrity</w:t>
      </w:r>
    </w:p>
    <w:p>
      <w:pPr>
        <w:pStyle w:val="Normal"/>
      </w:pPr>
      <w:r>
        <w:t xml:space="preserve">The deterministic heuristic engine evaluates five orthogonal sub-indices representing core soil degradation mechanisms. The composite Soil Degradation Index (SDI) is given by:</w:t>
      </w:r>
    </w:p>
    <w:p>
      <w:pPr>
        <w:pStyle w:val="CodeBlock"/>
      </w:pPr>
      <w:r>
        <w:t xml:space="preserve">SDI = 0.25 * I_erosion + 0.25 * I_moisture + 0.15 * I_salinity + 0.15 * I_compaction + 0.20 * I_soc</w:t>
      </w:r>
    </w:p>
    <w:tbl>
      <w:tblPr>
        <w:tblStyle w:val="TableGrid"/>
        <w:tblW w:w="0" w:type="auto"/>
        <w:tblBorders>
          <w:top w:val="single" w:sz="6" w:space="0" w:color="D0D7DE"/>
          <w:left w:val="none"/>
          <w:bottom w:val="single" w:sz="6" w:space="0" w:color="D0D7DE"/>
          <w:right w:val="none"/>
          <w:insideH w:val="single" w:sz="4" w:space="0" w:color="EAECEF"/>
          <w:insideV w:val="none"/>
        </w:tblBorders>
        <w:tblLook w:val="04A0" w:firstRow="1" w:lastRow="0" w:firstCol="0" w:lastCol="0" w:noHBand="0" w:noVBand="1"/>
      </w:tblPr>
      <w:tr>
        <w:trPr>
          <w:tblHeader/>
        </w:trPr>
        <w:tc>
          <w:tcPr>
            <w:tcW w:w="2200" w:type="dxa"/>
            <w:shd w:val="clear" w:color="auto" w:fill="F0F4F8"/>
            <w:tcMar>
              <w:top w:w="120"/>
              <w:bottom w:w="120"/>
              <w:left w:w="160"/>
              <w:right w:w="160"/>
            </w:tcMar>
          </w:tcPr>
          <w:p>
            <w:pPr>
              <w:spacing w:before="60" w:after="60"/>
            </w:pPr>
            <w:r>
              <w:rPr>
                <w:b/>
                <w:color w:val="1B365D"/>
                <w:sz w:val="20"/>
              </w:rPr>
              <w:t>Sub-Index</w:t>
            </w:r>
          </w:p>
        </w:tc>
        <w:tc>
          <w:tcPr>
            <w:tcW w:w="1000" w:type="dxa"/>
            <w:shd w:val="clear" w:color="auto" w:fill="F0F4F8"/>
            <w:tcMar>
              <w:top w:w="120"/>
              <w:bottom w:w="120"/>
              <w:left w:w="160"/>
              <w:right w:w="160"/>
            </w:tcMar>
          </w:tcPr>
          <w:p>
            <w:pPr>
              <w:spacing w:before="60" w:after="60"/>
            </w:pPr>
            <w:r>
              <w:rPr>
                <w:b/>
                <w:color w:val="1B365D"/>
                <w:sz w:val="20"/>
              </w:rPr>
              <w:t>Weight</w:t>
            </w:r>
          </w:p>
        </w:tc>
        <w:tc>
          <w:tcPr>
            <w:tcW w:w="2200" w:type="dxa"/>
            <w:shd w:val="clear" w:color="auto" w:fill="F0F4F8"/>
            <w:tcMar>
              <w:top w:w="120"/>
              <w:bottom w:w="120"/>
              <w:left w:w="160"/>
              <w:right w:w="160"/>
            </w:tcMar>
          </w:tcPr>
          <w:p>
            <w:pPr>
              <w:spacing w:before="60" w:after="60"/>
            </w:pPr>
            <w:r>
              <w:rPr>
                <w:b/>
                <w:color w:val="1B365D"/>
                <w:sz w:val="20"/>
              </w:rPr>
              <w:t>Key Drivers</w:t>
            </w:r>
          </w:p>
        </w:tc>
        <w:tc>
          <w:tcPr>
            <w:tcW w:w="3900" w:type="dxa"/>
            <w:shd w:val="clear" w:color="auto" w:fill="F0F4F8"/>
            <w:tcMar>
              <w:top w:w="120"/>
              <w:bottom w:w="120"/>
              <w:left w:w="160"/>
              <w:right w:w="160"/>
            </w:tcMar>
          </w:tcPr>
          <w:p>
            <w:pPr>
              <w:spacing w:before="60" w:after="60"/>
            </w:pPr>
            <w:r>
              <w:rPr>
                <w:b/>
                <w:color w:val="1B365D"/>
                <w:sz w:val="20"/>
              </w:rPr>
              <w:t>Mathematical Formulation &amp; Thresholds</w:t>
            </w:r>
          </w:p>
        </w:tc>
      </w:tr>
      <w:tr>
        <w:tc>
          <w:tcPr>
            <w:tcW w:w="2200" w:type="dxa"/>
            <w:shd w:val="clear" w:color="auto" w:fill="FFFFFF"/>
            <w:tcMar>
              <w:top w:w="100"/>
              <w:bottom w:w="100"/>
              <w:left w:w="160"/>
              <w:right w:w="160"/>
            </w:tcMar>
          </w:tcPr>
          <w:p>
            <w:pPr>
              <w:spacing w:before="40" w:after="40"/>
            </w:pPr>
            <w:r>
              <w:rPr>
                <w:sz w:val="20"/>
              </w:rPr>
              <w:t>Erosion Hazard (I_erosion)</w:t>
            </w:r>
          </w:p>
        </w:tc>
        <w:tc>
          <w:tcPr>
            <w:tcW w:w="1000" w:type="dxa"/>
            <w:shd w:val="clear" w:color="auto" w:fill="FFFFFF"/>
            <w:tcMar>
              <w:top w:w="100"/>
              <w:bottom w:w="100"/>
              <w:left w:w="160"/>
              <w:right w:w="160"/>
            </w:tcMar>
          </w:tcPr>
          <w:p>
            <w:pPr>
              <w:spacing w:before="40" w:after="40"/>
            </w:pPr>
            <w:r>
              <w:rPr>
                <w:sz w:val="20"/>
              </w:rPr>
              <w:t>0.25</w:t>
            </w:r>
          </w:p>
        </w:tc>
        <w:tc>
          <w:tcPr>
            <w:tcW w:w="2200" w:type="dxa"/>
            <w:shd w:val="clear" w:color="auto" w:fill="FFFFFF"/>
            <w:tcMar>
              <w:top w:w="100"/>
              <w:bottom w:w="100"/>
              <w:left w:w="160"/>
              <w:right w:w="160"/>
            </w:tcMar>
          </w:tcPr>
          <w:p>
            <w:pPr>
              <w:spacing w:before="40" w:after="40"/>
            </w:pPr>
            <w:r>
              <w:rPr>
                <w:sz w:val="20"/>
              </w:rPr>
              <w:t>Monthly rain, NDVI proxy</w:t>
            </w:r>
          </w:p>
        </w:tc>
        <w:tc>
          <w:tcPr>
            <w:tcW w:w="3900" w:type="dxa"/>
            <w:shd w:val="clear" w:color="auto" w:fill="FFFFFF"/>
            <w:tcMar>
              <w:top w:w="100"/>
              <w:bottom w:w="100"/>
              <w:left w:w="160"/>
              <w:right w:w="160"/>
            </w:tcMar>
          </w:tcPr>
          <w:p>
            <w:pPr>
              <w:spacing w:before="40" w:after="40"/>
            </w:pPr>
            <w:r>
              <w:rPr>
                <w:sz w:val="20"/>
              </w:rPr>
              <w:t>clip((PRECTOTCORR / 250) * (1 - NDVI_proxy) * 100, 0, 100)</w:t>
            </w:r>
          </w:p>
        </w:tc>
      </w:tr>
      <w:tr>
        <w:tc>
          <w:tcPr>
            <w:tcW w:w="2200" w:type="dxa"/>
            <w:shd w:val="clear" w:color="auto" w:fill="F9FBFD"/>
            <w:tcMar>
              <w:top w:w="100"/>
              <w:bottom w:w="100"/>
              <w:left w:w="160"/>
              <w:right w:w="160"/>
            </w:tcMar>
          </w:tcPr>
          <w:p>
            <w:pPr>
              <w:spacing w:before="40" w:after="40"/>
            </w:pPr>
            <w:r>
              <w:rPr>
                <w:sz w:val="20"/>
              </w:rPr>
              <w:t>Moisture Deficit (I_moisture)</w:t>
            </w:r>
          </w:p>
        </w:tc>
        <w:tc>
          <w:tcPr>
            <w:tcW w:w="1000" w:type="dxa"/>
            <w:shd w:val="clear" w:color="auto" w:fill="F9FBFD"/>
            <w:tcMar>
              <w:top w:w="100"/>
              <w:bottom w:w="100"/>
              <w:left w:w="160"/>
              <w:right w:w="160"/>
            </w:tcMar>
          </w:tcPr>
          <w:p>
            <w:pPr>
              <w:spacing w:before="40" w:after="40"/>
            </w:pPr>
            <w:r>
              <w:rPr>
                <w:sz w:val="20"/>
              </w:rPr>
              <w:t>0.25</w:t>
            </w:r>
          </w:p>
        </w:tc>
        <w:tc>
          <w:tcPr>
            <w:tcW w:w="2200" w:type="dxa"/>
            <w:shd w:val="clear" w:color="auto" w:fill="F9FBFD"/>
            <w:tcMar>
              <w:top w:w="100"/>
              <w:bottom w:w="100"/>
              <w:left w:w="160"/>
              <w:right w:w="160"/>
            </w:tcMar>
          </w:tcPr>
          <w:p>
            <w:pPr>
              <w:spacing w:before="40" w:after="40"/>
            </w:pPr>
            <w:r>
              <w:rPr>
                <w:sz w:val="20"/>
              </w:rPr>
              <w:t>90-day rainfall anomaly, T_max</w:t>
            </w:r>
          </w:p>
        </w:tc>
        <w:tc>
          <w:tcPr>
            <w:tcW w:w="3900" w:type="dxa"/>
            <w:shd w:val="clear" w:color="auto" w:fill="F9FBFD"/>
            <w:tcMar>
              <w:top w:w="100"/>
              <w:bottom w:w="100"/>
              <w:left w:w="160"/>
              <w:right w:w="160"/>
            </w:tcMar>
          </w:tcPr>
          <w:p>
            <w:pPr>
              <w:spacing w:before="40" w:after="40"/>
            </w:pPr>
            <w:r>
              <w:rPr>
                <w:sz w:val="20"/>
              </w:rPr>
              <w:t>clip(100 - (PRECIP_90D / PRECIP_mean)*100 + max(0, T_max - 35)*3, 0, 100)</w:t>
            </w:r>
          </w:p>
        </w:tc>
      </w:tr>
      <w:tr>
        <w:tc>
          <w:tcPr>
            <w:tcW w:w="2200" w:type="dxa"/>
            <w:shd w:val="clear" w:color="auto" w:fill="FFFFFF"/>
            <w:tcMar>
              <w:top w:w="100"/>
              <w:bottom w:w="100"/>
              <w:left w:w="160"/>
              <w:right w:w="160"/>
            </w:tcMar>
          </w:tcPr>
          <w:p>
            <w:pPr>
              <w:spacing w:before="40" w:after="40"/>
            </w:pPr>
            <w:r>
              <w:rPr>
                <w:sz w:val="20"/>
              </w:rPr>
              <w:t>Salinization Risk (I_salinity)</w:t>
            </w:r>
          </w:p>
        </w:tc>
        <w:tc>
          <w:tcPr>
            <w:tcW w:w="1000" w:type="dxa"/>
            <w:shd w:val="clear" w:color="auto" w:fill="FFFFFF"/>
            <w:tcMar>
              <w:top w:w="100"/>
              <w:bottom w:w="100"/>
              <w:left w:w="160"/>
              <w:right w:w="160"/>
            </w:tcMar>
          </w:tcPr>
          <w:p>
            <w:pPr>
              <w:spacing w:before="40" w:after="40"/>
            </w:pPr>
            <w:r>
              <w:rPr>
                <w:sz w:val="20"/>
              </w:rPr>
              <w:t>0.15</w:t>
            </w:r>
          </w:p>
        </w:tc>
        <w:tc>
          <w:tcPr>
            <w:tcW w:w="2200" w:type="dxa"/>
            <w:shd w:val="clear" w:color="auto" w:fill="FFFFFF"/>
            <w:tcMar>
              <w:top w:w="100"/>
              <w:bottom w:w="100"/>
              <w:left w:w="160"/>
              <w:right w:w="160"/>
            </w:tcMar>
          </w:tcPr>
          <w:p>
            <w:pPr>
              <w:spacing w:before="40" w:after="40"/>
            </w:pPr>
            <w:r>
              <w:rPr>
                <w:sz w:val="20"/>
              </w:rPr>
              <w:t>Soil pH, aridity index</w:t>
            </w:r>
          </w:p>
        </w:tc>
        <w:tc>
          <w:tcPr>
            <w:tcW w:w="3900" w:type="dxa"/>
            <w:shd w:val="clear" w:color="auto" w:fill="FFFFFF"/>
            <w:tcMar>
              <w:top w:w="100"/>
              <w:bottom w:w="100"/>
              <w:left w:w="160"/>
              <w:right w:w="160"/>
            </w:tcMar>
          </w:tcPr>
          <w:p>
            <w:pPr>
              <w:spacing w:before="40" w:after="40"/>
            </w:pPr>
            <w:r>
              <w:rPr>
                <w:sz w:val="20"/>
              </w:rPr>
              <w:t>clip(max(0, pH - 7.5)*40 + AridityIndex*20, 0, 100)</w:t>
            </w:r>
          </w:p>
        </w:tc>
      </w:tr>
      <w:tr>
        <w:tc>
          <w:tcPr>
            <w:tcW w:w="2200" w:type="dxa"/>
            <w:shd w:val="clear" w:color="auto" w:fill="F9FBFD"/>
            <w:tcMar>
              <w:top w:w="100"/>
              <w:bottom w:w="100"/>
              <w:left w:w="160"/>
              <w:right w:w="160"/>
            </w:tcMar>
          </w:tcPr>
          <w:p>
            <w:pPr>
              <w:spacing w:before="40" w:after="40"/>
            </w:pPr>
            <w:r>
              <w:rPr>
                <w:sz w:val="20"/>
              </w:rPr>
              <w:t>Subsoil Compaction (I_compaction)</w:t>
            </w:r>
          </w:p>
        </w:tc>
        <w:tc>
          <w:tcPr>
            <w:tcW w:w="1000" w:type="dxa"/>
            <w:shd w:val="clear" w:color="auto" w:fill="F9FBFD"/>
            <w:tcMar>
              <w:top w:w="100"/>
              <w:bottom w:w="100"/>
              <w:left w:w="160"/>
              <w:right w:w="160"/>
            </w:tcMar>
          </w:tcPr>
          <w:p>
            <w:pPr>
              <w:spacing w:before="40" w:after="40"/>
            </w:pPr>
            <w:r>
              <w:rPr>
                <w:sz w:val="20"/>
              </w:rPr>
              <w:t>0.15</w:t>
            </w:r>
          </w:p>
        </w:tc>
        <w:tc>
          <w:tcPr>
            <w:tcW w:w="2200" w:type="dxa"/>
            <w:shd w:val="clear" w:color="auto" w:fill="F9FBFD"/>
            <w:tcMar>
              <w:top w:w="100"/>
              <w:bottom w:w="100"/>
              <w:left w:w="160"/>
              <w:right w:w="160"/>
            </w:tcMar>
          </w:tcPr>
          <w:p>
            <w:pPr>
              <w:spacing w:before="40" w:after="40"/>
            </w:pPr>
            <w:r>
              <w:rPr>
                <w:sz w:val="20"/>
              </w:rPr>
              <w:t>Bulk density, clay content</w:t>
            </w:r>
          </w:p>
        </w:tc>
        <w:tc>
          <w:tcPr>
            <w:tcW w:w="3900" w:type="dxa"/>
            <w:shd w:val="clear" w:color="auto" w:fill="F9FBFD"/>
            <w:tcMar>
              <w:top w:w="100"/>
              <w:bottom w:w="100"/>
              <w:left w:w="160"/>
              <w:right w:w="160"/>
            </w:tcMar>
          </w:tcPr>
          <w:p>
            <w:pPr>
              <w:spacing w:before="40" w:after="40"/>
            </w:pPr>
            <w:r>
              <w:rPr>
                <w:sz w:val="20"/>
              </w:rPr>
              <w:t>clip(((bulk_density - 1.30)/0.45)*70 + (clay/60)*30, 0, 100)</w:t>
            </w:r>
          </w:p>
        </w:tc>
      </w:tr>
      <w:tr>
        <w:tc>
          <w:tcPr>
            <w:tcW w:w="2200" w:type="dxa"/>
            <w:shd w:val="clear" w:color="auto" w:fill="FFFFFF"/>
            <w:tcMar>
              <w:top w:w="100"/>
              <w:bottom w:w="100"/>
              <w:left w:w="160"/>
              <w:right w:w="160"/>
            </w:tcMar>
          </w:tcPr>
          <w:p>
            <w:pPr>
              <w:spacing w:before="40" w:after="40"/>
            </w:pPr>
            <w:r>
              <w:rPr>
                <w:sz w:val="20"/>
              </w:rPr>
              <w:t>SOC Depletion (I_soc)</w:t>
            </w:r>
          </w:p>
        </w:tc>
        <w:tc>
          <w:tcPr>
            <w:tcW w:w="1000" w:type="dxa"/>
            <w:shd w:val="clear" w:color="auto" w:fill="FFFFFF"/>
            <w:tcMar>
              <w:top w:w="100"/>
              <w:bottom w:w="100"/>
              <w:left w:w="160"/>
              <w:right w:w="160"/>
            </w:tcMar>
          </w:tcPr>
          <w:p>
            <w:pPr>
              <w:spacing w:before="40" w:after="40"/>
            </w:pPr>
            <w:r>
              <w:rPr>
                <w:sz w:val="20"/>
              </w:rPr>
              <w:t>0.20</w:t>
            </w:r>
          </w:p>
        </w:tc>
        <w:tc>
          <w:tcPr>
            <w:tcW w:w="2200" w:type="dxa"/>
            <w:shd w:val="clear" w:color="auto" w:fill="FFFFFF"/>
            <w:tcMar>
              <w:top w:w="100"/>
              <w:bottom w:w="100"/>
              <w:left w:w="160"/>
              <w:right w:w="160"/>
            </w:tcMar>
          </w:tcPr>
          <w:p>
            <w:pPr>
              <w:spacing w:before="40" w:after="40"/>
            </w:pPr>
            <w:r>
              <w:rPr>
                <w:sz w:val="20"/>
              </w:rPr>
              <w:t>Soil organic carbon, mean temp</w:t>
            </w:r>
          </w:p>
        </w:tc>
        <w:tc>
          <w:tcPr>
            <w:tcW w:w="3900" w:type="dxa"/>
            <w:shd w:val="clear" w:color="auto" w:fill="FFFFFF"/>
            <w:tcMar>
              <w:top w:w="100"/>
              <w:bottom w:w="100"/>
              <w:left w:w="160"/>
              <w:right w:w="160"/>
            </w:tcMar>
          </w:tcPr>
          <w:p>
            <w:pPr>
              <w:spacing w:before="40" w:after="40"/>
            </w:pPr>
            <w:r>
              <w:rPr>
                <w:sz w:val="20"/>
              </w:rPr>
              <w:t>clip(((30.0 - SOC)/25.0)*80 + (T_mean/40)*20, 0, 100)</w:t>
            </w:r>
          </w:p>
        </w:tc>
      </w:tr>
    </w:tbl>
    <w:p>
      <w:pPr>
        <w:spacing w:before="100" w:after="100"/>
      </w:pPr>
    </w:p>
    <w:p>
      <w:pPr>
        <w:pStyle w:val="Callout"/>
      </w:pPr>
      <w:r>
        <w:rPr>
          <w:b/>
          <w:color w:val="1B365D"/>
        </w:rPr>
        <w:t xml:space="preserve">SCIENTIFIC BOUNDARIES &amp; DISCLOSURES: </w:t>
      </w:r>
      <w:r>
        <w:rPr>
          <w:color w:val="222222"/>
        </w:rPr>
        <w:t xml:space="preserve">SCIENTIFIC INTEGRITY DIRECTIVES:
1. Heuristic SDI is an agro-climatic risk index, NOT an empirically calibrated probability of biological crop failure.
2. The Random Forest model is an ML SURROGATE trained on heuristic labels to accelerate scoring, NOT an empirical model trained on laboratory ground truth.
3. SHAP values quantify feature contributions to the surrogate model's prediction; they DO NOT prove physical or biological causality.
4. Satellite NDVI indicates vegetation greenness; low NDVI alone DOES NOT prove soil degradation (can be bare fallow or harvesting).
5. Physical field validation for Chandigarh (30.7300° N, 76.7700° E) is currently PENDING FIELD DATA ACQUISITION.</w:t>
      </w:r>
    </w:p>
    <w:p>
      <w:pPr>
        <w:pStyle w:val="Heading1"/>
      </w:pPr>
      <w:r>
        <w:t xml:space="preserve">7. Machine Learning Surrogate Pipeline &amp; TreeSHAP</w:t>
      </w:r>
    </w:p>
    <w:p>
      <w:pPr>
        <w:pStyle w:val="Normal"/>
      </w:pPr>
      <w:r>
        <w:t xml:space="preserve">To enable sub-10ms inference and counterfactual simulation, SoilSentinel fits a calibrated Random Forest surrogate over a frozen 14-feature feature schema (models/soil_risk_model.joblib). The pipeline uses StandardScaler normalization and is evaluated on a chronological holdout split (2020-2023 training vs. 2024 test).</w:t>
      </w:r>
    </w:p>
    <w:p>
      <w:pPr>
        <w:pStyle w:val="ListBullet"/>
      </w:pPr>
      <w:r>
        <w:rPr>
          <w:rFonts w:ascii="Symbol" w:hAnsi="Symbol"/>
          <w:color w:val="1B365D"/>
        </w:rPr>
        <w:t>• </w:t>
      </w:r>
      <w:r>
        <w:t xml:space="preserve">Classification Accuracy: 91.67% across test epochs (11/12 epochs correctly classified).</w:t>
      </w:r>
    </w:p>
    <w:p>
      <w:pPr>
        <w:pStyle w:val="ListBullet"/>
      </w:pPr>
      <w:r>
        <w:rPr>
          <w:rFonts w:ascii="Symbol" w:hAnsi="Symbol"/>
          <w:color w:val="1B365D"/>
        </w:rPr>
        <w:t>• </w:t>
      </w:r>
      <w:r>
        <w:t xml:space="preserve">Macro-Averaged F1-Score: 0.9267 across LOW, MODERATE, HIGH severity classes.</w:t>
      </w:r>
    </w:p>
    <w:p>
      <w:pPr>
        <w:pStyle w:val="ListBullet"/>
      </w:pPr>
      <w:r>
        <w:rPr>
          <w:rFonts w:ascii="Symbol" w:hAnsi="Symbol"/>
          <w:color w:val="1B365D"/>
        </w:rPr>
        <w:t>• </w:t>
      </w:r>
      <w:r>
        <w:t xml:space="preserve">Exact TreeSHAP Local Additivity: Guaranteed by test_features.py (|f(x) - (base + sum phi_i)| &lt; 1e-4).</w:t>
      </w:r>
    </w:p>
    <w:p>
      <w:pPr>
        <w:pStyle w:val="Heading1"/>
      </w:pPr>
      <w:r>
        <w:t xml:space="preserve">8. Geospatial &amp; Satellite Pipeline</w:t>
      </w:r>
    </w:p>
    <w:p>
      <w:pPr>
        <w:pStyle w:val="Normal"/>
      </w:pPr>
      <w:r>
        <w:t xml:space="preserve">The satellite pipeline (scripts/satellite/) processes ESA Copernicus Sentinel-2 L2A bottom-of-atmosphere surface reflectance granules centered on the study location (30.7300° N, 76.7700° E) across 60 monthly epochs (2020–2024).</w:t>
      </w:r>
    </w:p>
    <w:p>
      <w:pPr>
        <w:pStyle w:val="ListBullet"/>
      </w:pPr>
      <w:r>
        <w:rPr>
          <w:rFonts w:ascii="Symbol" w:hAnsi="Symbol"/>
          <w:color w:val="1B365D"/>
        </w:rPr>
        <w:t>• </w:t>
      </w:r>
      <w:r>
        <w:t xml:space="preserve">Band Math: Calculates Normalized Difference Vegetation Index (NDVI = (B08 - B04) / (B08 + B04)).</w:t>
      </w:r>
    </w:p>
    <w:p>
      <w:pPr>
        <w:pStyle w:val="ListBullet"/>
      </w:pPr>
      <w:r>
        <w:rPr>
          <w:rFonts w:ascii="Symbol" w:hAnsi="Symbol"/>
          <w:color w:val="1B365D"/>
        </w:rPr>
        <w:t>• </w:t>
      </w:r>
      <w:r>
        <w:t xml:space="preserve">Quality Filtering: Employs Scene Classification Layer (SCL) to mask clouds, cloud shadows, and cirrus.</w:t>
      </w:r>
    </w:p>
    <w:p>
      <w:pPr>
        <w:pStyle w:val="ListBullet"/>
      </w:pPr>
      <w:r>
        <w:rPr>
          <w:rFonts w:ascii="Symbol" w:hAnsi="Symbol"/>
          <w:color w:val="1B365D"/>
        </w:rPr>
        <w:t>• </w:t>
      </w:r>
      <w:r>
        <w:t xml:space="preserve">Architectural Separation: Satellite NDVI is maintained in data/processed/satellite/aligned_feature_table_with_satellite.csv as an independent observational layer, preserving the frozen 14-feature ML schema without artifact invalidation.</w:t>
      </w:r>
    </w:p>
    <w:p>
      <w:pPr>
        <w:pStyle w:val="Heading1"/>
      </w:pPr>
      <w:r>
        <w:t xml:space="preserve">9. Verification Audit, Test Results &amp; Live Execution</w:t>
      </w:r>
    </w:p>
    <w:p>
      <w:pPr>
        <w:pStyle w:val="Normal"/>
      </w:pPr>
      <w:r>
        <w:t xml:space="preserve">Every layer of the SoilSentinel stack was subjected to rigorous, reproducible automated verification:</w:t>
      </w:r>
    </w:p>
    <w:p>
      <w:pPr>
        <w:pStyle w:val="ListBullet"/>
      </w:pPr>
      <w:r>
        <w:rPr>
          <w:rFonts w:ascii="Symbol" w:hAnsi="Symbol"/>
          <w:color w:val="1B365D"/>
        </w:rPr>
        <w:t>• </w:t>
      </w:r>
      <w:r>
        <w:rPr>
          <w:b/>
        </w:rPr>
        <w:t xml:space="preserve">Pytest Core: </w:t>
      </w:r>
      <w:r>
        <w:t xml:space="preserve">Core Backend Test Suite: 200 passed, 21 subtests passed in 10.75s (pytest tests/ -v).</w:t>
      </w:r>
    </w:p>
    <w:p>
      <w:pPr>
        <w:pStyle w:val="ListBullet"/>
      </w:pPr>
      <w:r>
        <w:rPr>
          <w:rFonts w:ascii="Symbol" w:hAnsi="Symbol"/>
          <w:color w:val="1B365D"/>
        </w:rPr>
        <w:t>• </w:t>
      </w:r>
      <w:r>
        <w:rPr>
          <w:b/>
        </w:rPr>
        <w:t xml:space="preserve">Pytest Satellite: </w:t>
      </w:r>
      <w:r>
        <w:t xml:space="preserve">Satellite Ingestion &amp; NDVI Suite: 11 passed in 1.96s (pytest tests/satellite/ -v).</w:t>
      </w:r>
    </w:p>
    <w:p>
      <w:pPr>
        <w:pStyle w:val="ListBullet"/>
      </w:pPr>
      <w:r>
        <w:rPr>
          <w:rFonts w:ascii="Symbol" w:hAnsi="Symbol"/>
          <w:color w:val="1B365D"/>
        </w:rPr>
        <w:t>• </w:t>
      </w:r>
      <w:r>
        <w:rPr>
          <w:b/>
        </w:rPr>
        <w:t xml:space="preserve">Syntax Check: </w:t>
      </w:r>
      <w:r>
        <w:t xml:space="preserve">Frontend &amp; Server Syntax: JavaScript syntax verified cleanly (npm.cmd run check).</w:t>
      </w:r>
    </w:p>
    <w:p>
      <w:pPr>
        <w:pStyle w:val="ListBullet"/>
      </w:pPr>
      <w:r>
        <w:rPr>
          <w:rFonts w:ascii="Symbol" w:hAnsi="Symbol"/>
          <w:color w:val="1B365D"/>
        </w:rPr>
        <w:t>• </w:t>
      </w:r>
      <w:r>
        <w:rPr>
          <w:b/>
        </w:rPr>
        <w:t xml:space="preserve">Node 22 Resolution: </w:t>
      </w:r>
      <w:r>
        <w:t xml:space="preserve">Node.js Compatibility: Resolved via standalone Node.js 22 LTS (ABI 127) installation in user AppData; npm.cmd ci installed all 201 packages cleanly.</w:t>
      </w:r>
    </w:p>
    <w:p>
      <w:pPr>
        <w:pStyle w:val="ListBullet"/>
      </w:pPr>
      <w:r>
        <w:rPr>
          <w:rFonts w:ascii="Symbol" w:hAnsi="Symbol"/>
          <w:color w:val="1B365D"/>
        </w:rPr>
        <w:t>• </w:t>
      </w:r>
      <w:r>
        <w:rPr>
          <w:b/>
        </w:rPr>
        <w:t xml:space="preserve">Live Runtime: </w:t>
      </w:r>
      <w:r>
        <w:t xml:space="preserve">Live HTTP Probing: Express running on http://localhost:3000; Python bridge running on http://127.0.0.1:5001. All authenticated routes (/api/assessment/evaluate, /api/assessment/scenario, /api/auth/login) verified 200 OK.</w:t>
      </w:r>
    </w:p>
    <w:p>
      <w:pPr>
        <w:pStyle w:val="Heading1"/>
      </w:pPr>
      <w:r>
        <w:t xml:space="preserve">10. Evidence-Based Feature Status Matrix</w:t>
      </w:r>
    </w:p>
    <w:tbl>
      <w:tblPr>
        <w:tblStyle w:val="TableGrid"/>
        <w:tblW w:w="0" w:type="auto"/>
        <w:tblBorders>
          <w:top w:val="single" w:sz="6" w:space="0" w:color="D0D7DE"/>
          <w:left w:val="none"/>
          <w:bottom w:val="single" w:sz="6" w:space="0" w:color="D0D7DE"/>
          <w:right w:val="none"/>
          <w:insideH w:val="single" w:sz="4" w:space="0" w:color="EAECEF"/>
          <w:insideV w:val="none"/>
        </w:tblBorders>
        <w:tblLook w:val="04A0" w:firstRow="1" w:lastRow="0" w:firstCol="0" w:lastCol="0" w:noHBand="0" w:noVBand="1"/>
      </w:tblPr>
      <w:tr>
        <w:trPr>
          <w:tblHeader/>
        </w:trPr>
        <w:tc>
          <w:tcPr>
            <w:tcW w:w="2200" w:type="dxa"/>
            <w:shd w:val="clear" w:color="auto" w:fill="F0F4F8"/>
            <w:tcMar>
              <w:top w:w="120"/>
              <w:bottom w:w="120"/>
              <w:left w:w="160"/>
              <w:right w:w="160"/>
            </w:tcMar>
          </w:tcPr>
          <w:p>
            <w:pPr>
              <w:spacing w:before="60" w:after="60"/>
            </w:pPr>
            <w:r>
              <w:rPr>
                <w:b/>
                <w:color w:val="1B365D"/>
                <w:sz w:val="20"/>
              </w:rPr>
              <w:t>Feature / Component</w:t>
            </w:r>
          </w:p>
        </w:tc>
        <w:tc>
          <w:tcPr>
            <w:tcW w:w="2000" w:type="dxa"/>
            <w:shd w:val="clear" w:color="auto" w:fill="F0F4F8"/>
            <w:tcMar>
              <w:top w:w="120"/>
              <w:bottom w:w="120"/>
              <w:left w:w="160"/>
              <w:right w:w="160"/>
            </w:tcMar>
          </w:tcPr>
          <w:p>
            <w:pPr>
              <w:spacing w:before="60" w:after="60"/>
            </w:pPr>
            <w:r>
              <w:rPr>
                <w:b/>
                <w:color w:val="1B365D"/>
                <w:sz w:val="20"/>
              </w:rPr>
              <w:t>Status</w:t>
            </w:r>
          </w:p>
        </w:tc>
        <w:tc>
          <w:tcPr>
            <w:tcW w:w="2800" w:type="dxa"/>
            <w:shd w:val="clear" w:color="auto" w:fill="F0F4F8"/>
            <w:tcMar>
              <w:top w:w="120"/>
              <w:bottom w:w="120"/>
              <w:left w:w="160"/>
              <w:right w:w="160"/>
            </w:tcMar>
          </w:tcPr>
          <w:p>
            <w:pPr>
              <w:spacing w:before="60" w:after="60"/>
            </w:pPr>
            <w:r>
              <w:rPr>
                <w:b/>
                <w:color w:val="1B365D"/>
                <w:sz w:val="20"/>
              </w:rPr>
              <w:t>Ground Evidence</w:t>
            </w:r>
          </w:p>
        </w:tc>
        <w:tc>
          <w:tcPr>
            <w:tcW w:w="2300" w:type="dxa"/>
            <w:shd w:val="clear" w:color="auto" w:fill="F0F4F8"/>
            <w:tcMar>
              <w:top w:w="120"/>
              <w:bottom w:w="120"/>
              <w:left w:w="160"/>
              <w:right w:w="160"/>
            </w:tcMar>
          </w:tcPr>
          <w:p>
            <w:pPr>
              <w:spacing w:before="60" w:after="60"/>
            </w:pPr>
            <w:r>
              <w:rPr>
                <w:b/>
                <w:color w:val="1B365D"/>
                <w:sz w:val="20"/>
              </w:rPr>
              <w:t>Acceptance Criteria</w:t>
            </w:r>
          </w:p>
        </w:tc>
      </w:tr>
      <w:tr>
        <w:tc>
          <w:tcPr>
            <w:tcW w:w="2200" w:type="dxa"/>
            <w:shd w:val="clear" w:color="auto" w:fill="FFFFFF"/>
            <w:tcMar>
              <w:top w:w="100"/>
              <w:bottom w:w="100"/>
              <w:left w:w="160"/>
              <w:right w:w="160"/>
            </w:tcMar>
          </w:tcPr>
          <w:p>
            <w:pPr>
              <w:spacing w:before="40" w:after="40"/>
            </w:pPr>
            <w:r>
              <w:rPr>
                <w:sz w:val="20"/>
              </w:rPr>
              <w:t>Deterministic Risk Engine</w:t>
            </w:r>
          </w:p>
        </w:tc>
        <w:tc>
          <w:tcPr>
            <w:tcW w:w="2000" w:type="dxa"/>
            <w:shd w:val="clear" w:color="auto" w:fill="FFFFFF"/>
            <w:tcMar>
              <w:top w:w="100"/>
              <w:bottom w:w="100"/>
              <w:left w:w="160"/>
              <w:right w:w="160"/>
            </w:tcMar>
          </w:tcPr>
          <w:p>
            <w:pPr>
              <w:spacing w:before="40" w:after="40"/>
            </w:pPr>
            <w:r>
              <w:rPr>
                <w:sz w:val="20"/>
              </w:rPr>
              <w:t>Implemented &amp; Verified</w:t>
            </w:r>
          </w:p>
        </w:tc>
        <w:tc>
          <w:tcPr>
            <w:tcW w:w="2800" w:type="dxa"/>
            <w:shd w:val="clear" w:color="auto" w:fill="FFFFFF"/>
            <w:tcMar>
              <w:top w:w="100"/>
              <w:bottom w:w="100"/>
              <w:left w:w="160"/>
              <w:right w:w="160"/>
            </w:tcMar>
          </w:tcPr>
          <w:p>
            <w:pPr>
              <w:spacing w:before="40" w:after="40"/>
            </w:pPr>
            <w:r>
              <w:rPr>
                <w:sz w:val="20"/>
              </w:rPr>
              <w:t>src/engine/risk_engine.py, 48 passing tests</w:t>
            </w:r>
          </w:p>
        </w:tc>
        <w:tc>
          <w:tcPr>
            <w:tcW w:w="2300" w:type="dxa"/>
            <w:shd w:val="clear" w:color="auto" w:fill="FFFFFF"/>
            <w:tcMar>
              <w:top w:w="100"/>
              <w:bottom w:w="100"/>
              <w:left w:w="160"/>
              <w:right w:w="160"/>
            </w:tcMar>
          </w:tcPr>
          <w:p>
            <w:pPr>
              <w:spacing w:before="40" w:after="40"/>
            </w:pPr>
            <w:r>
              <w:rPr>
                <w:sz w:val="20"/>
              </w:rPr>
              <w:t>Composite score in &lt; 10ms with full sub-indices</w:t>
            </w:r>
          </w:p>
        </w:tc>
      </w:tr>
      <w:tr>
        <w:tc>
          <w:tcPr>
            <w:tcW w:w="2200" w:type="dxa"/>
            <w:shd w:val="clear" w:color="auto" w:fill="F9FBFD"/>
            <w:tcMar>
              <w:top w:w="100"/>
              <w:bottom w:w="100"/>
              <w:left w:w="160"/>
              <w:right w:w="160"/>
            </w:tcMar>
          </w:tcPr>
          <w:p>
            <w:pPr>
              <w:spacing w:before="40" w:after="40"/>
            </w:pPr>
            <w:r>
              <w:rPr>
                <w:sz w:val="20"/>
              </w:rPr>
              <w:t>ML Surrogate Classifier</w:t>
            </w:r>
          </w:p>
        </w:tc>
        <w:tc>
          <w:tcPr>
            <w:tcW w:w="2000" w:type="dxa"/>
            <w:shd w:val="clear" w:color="auto" w:fill="F9FBFD"/>
            <w:tcMar>
              <w:top w:w="100"/>
              <w:bottom w:w="100"/>
              <w:left w:w="160"/>
              <w:right w:w="160"/>
            </w:tcMar>
          </w:tcPr>
          <w:p>
            <w:pPr>
              <w:spacing w:before="40" w:after="40"/>
            </w:pPr>
            <w:r>
              <w:rPr>
                <w:sz w:val="20"/>
              </w:rPr>
              <w:t>Implemented &amp; Verified</w:t>
            </w:r>
          </w:p>
        </w:tc>
        <w:tc>
          <w:tcPr>
            <w:tcW w:w="2800" w:type="dxa"/>
            <w:shd w:val="clear" w:color="auto" w:fill="F9FBFD"/>
            <w:tcMar>
              <w:top w:w="100"/>
              <w:bottom w:w="100"/>
              <w:left w:w="160"/>
              <w:right w:w="160"/>
            </w:tcMar>
          </w:tcPr>
          <w:p>
            <w:pPr>
              <w:spacing w:before="40" w:after="40"/>
            </w:pPr>
            <w:r>
              <w:rPr>
                <w:sz w:val="20"/>
              </w:rPr>
              <w:t>models/soil_risk_model.joblib, 91.67% accuracy</w:t>
            </w:r>
          </w:p>
        </w:tc>
        <w:tc>
          <w:tcPr>
            <w:tcW w:w="2300" w:type="dxa"/>
            <w:shd w:val="clear" w:color="auto" w:fill="F9FBFD"/>
            <w:tcMar>
              <w:top w:w="100"/>
              <w:bottom w:w="100"/>
              <w:left w:w="160"/>
              <w:right w:w="160"/>
            </w:tcMar>
          </w:tcPr>
          <w:p>
            <w:pPr>
              <w:spacing w:before="40" w:after="40"/>
            </w:pPr>
            <w:r>
              <w:rPr>
                <w:sz w:val="20"/>
              </w:rPr>
              <w:t>Predicts category &amp; continuous severity</w:t>
            </w:r>
          </w:p>
        </w:tc>
      </w:tr>
      <w:tr>
        <w:tc>
          <w:tcPr>
            <w:tcW w:w="2200" w:type="dxa"/>
            <w:shd w:val="clear" w:color="auto" w:fill="FFFFFF"/>
            <w:tcMar>
              <w:top w:w="100"/>
              <w:bottom w:w="100"/>
              <w:left w:w="160"/>
              <w:right w:w="160"/>
            </w:tcMar>
          </w:tcPr>
          <w:p>
            <w:pPr>
              <w:spacing w:before="40" w:after="40"/>
            </w:pPr>
            <w:r>
              <w:rPr>
                <w:sz w:val="20"/>
              </w:rPr>
              <w:t>TreeSHAP Explanations</w:t>
            </w:r>
          </w:p>
        </w:tc>
        <w:tc>
          <w:tcPr>
            <w:tcW w:w="2000" w:type="dxa"/>
            <w:shd w:val="clear" w:color="auto" w:fill="FFFFFF"/>
            <w:tcMar>
              <w:top w:w="100"/>
              <w:bottom w:w="100"/>
              <w:left w:w="160"/>
              <w:right w:w="160"/>
            </w:tcMar>
          </w:tcPr>
          <w:p>
            <w:pPr>
              <w:spacing w:before="40" w:after="40"/>
            </w:pPr>
            <w:r>
              <w:rPr>
                <w:sz w:val="20"/>
              </w:rPr>
              <w:t>Implemented &amp; Verified</w:t>
            </w:r>
          </w:p>
        </w:tc>
        <w:tc>
          <w:tcPr>
            <w:tcW w:w="2800" w:type="dxa"/>
            <w:shd w:val="clear" w:color="auto" w:fill="FFFFFF"/>
            <w:tcMar>
              <w:top w:w="100"/>
              <w:bottom w:w="100"/>
              <w:left w:w="160"/>
              <w:right w:w="160"/>
            </w:tcMar>
          </w:tcPr>
          <w:p>
            <w:pPr>
              <w:spacing w:before="40" w:after="40"/>
            </w:pPr>
            <w:r>
              <w:rPr>
                <w:sz w:val="20"/>
              </w:rPr>
              <w:t>models/shap_explainer.joblib, additivity verified</w:t>
            </w:r>
          </w:p>
        </w:tc>
        <w:tc>
          <w:tcPr>
            <w:tcW w:w="2300" w:type="dxa"/>
            <w:shd w:val="clear" w:color="auto" w:fill="FFFFFF"/>
            <w:tcMar>
              <w:top w:w="100"/>
              <w:bottom w:w="100"/>
              <w:left w:w="160"/>
              <w:right w:w="160"/>
            </w:tcMar>
          </w:tcPr>
          <w:p>
            <w:pPr>
              <w:spacing w:before="40" w:after="40"/>
            </w:pPr>
            <w:r>
              <w:rPr>
                <w:sz w:val="20"/>
              </w:rPr>
              <w:t>Local additivity error &lt; 1e-4 across all epochs</w:t>
            </w:r>
          </w:p>
        </w:tc>
      </w:tr>
      <w:tr>
        <w:tc>
          <w:tcPr>
            <w:tcW w:w="2200" w:type="dxa"/>
            <w:shd w:val="clear" w:color="auto" w:fill="F9FBFD"/>
            <w:tcMar>
              <w:top w:w="100"/>
              <w:bottom w:w="100"/>
              <w:left w:w="160"/>
              <w:right w:w="160"/>
            </w:tcMar>
          </w:tcPr>
          <w:p>
            <w:pPr>
              <w:spacing w:before="40" w:after="40"/>
            </w:pPr>
            <w:r>
              <w:rPr>
                <w:sz w:val="20"/>
              </w:rPr>
              <w:t>NASA POWER Ingestion</w:t>
            </w:r>
          </w:p>
        </w:tc>
        <w:tc>
          <w:tcPr>
            <w:tcW w:w="2000" w:type="dxa"/>
            <w:shd w:val="clear" w:color="auto" w:fill="F9FBFD"/>
            <w:tcMar>
              <w:top w:w="100"/>
              <w:bottom w:w="100"/>
              <w:left w:w="160"/>
              <w:right w:w="160"/>
            </w:tcMar>
          </w:tcPr>
          <w:p>
            <w:pPr>
              <w:spacing w:before="40" w:after="40"/>
            </w:pPr>
            <w:r>
              <w:rPr>
                <w:sz w:val="20"/>
              </w:rPr>
              <w:t>Implemented &amp; Verified</w:t>
            </w:r>
          </w:p>
        </w:tc>
        <w:tc>
          <w:tcPr>
            <w:tcW w:w="2800" w:type="dxa"/>
            <w:shd w:val="clear" w:color="auto" w:fill="F9FBFD"/>
            <w:tcMar>
              <w:top w:w="100"/>
              <w:bottom w:w="100"/>
              <w:left w:w="160"/>
              <w:right w:w="160"/>
            </w:tcMar>
          </w:tcPr>
          <w:p>
            <w:pPr>
              <w:spacing w:before="40" w:after="40"/>
            </w:pPr>
            <w:r>
              <w:rPr>
                <w:sz w:val="20"/>
              </w:rPr>
              <w:t>data/feature_table.csv (60 monthly epochs)</w:t>
            </w:r>
          </w:p>
        </w:tc>
        <w:tc>
          <w:tcPr>
            <w:tcW w:w="2300" w:type="dxa"/>
            <w:shd w:val="clear" w:color="auto" w:fill="F9FBFD"/>
            <w:tcMar>
              <w:top w:w="100"/>
              <w:bottom w:w="100"/>
              <w:left w:w="160"/>
              <w:right w:w="160"/>
            </w:tcMar>
          </w:tcPr>
          <w:p>
            <w:pPr>
              <w:spacing w:before="40" w:after="40"/>
            </w:pPr>
            <w:r>
              <w:rPr>
                <w:sz w:val="20"/>
              </w:rPr>
              <w:t>Gap-free meteorology spanning 2020-2024</w:t>
            </w:r>
          </w:p>
        </w:tc>
      </w:tr>
      <w:tr>
        <w:tc>
          <w:tcPr>
            <w:tcW w:w="2200" w:type="dxa"/>
            <w:shd w:val="clear" w:color="auto" w:fill="FFFFFF"/>
            <w:tcMar>
              <w:top w:w="100"/>
              <w:bottom w:w="100"/>
              <w:left w:w="160"/>
              <w:right w:w="160"/>
            </w:tcMar>
          </w:tcPr>
          <w:p>
            <w:pPr>
              <w:spacing w:before="40" w:after="40"/>
            </w:pPr>
            <w:r>
              <w:rPr>
                <w:sz w:val="20"/>
              </w:rPr>
              <w:t>ISRIC SoilGrids Alignment</w:t>
            </w:r>
          </w:p>
        </w:tc>
        <w:tc>
          <w:tcPr>
            <w:tcW w:w="2000" w:type="dxa"/>
            <w:shd w:val="clear" w:color="auto" w:fill="FFFFFF"/>
            <w:tcMar>
              <w:top w:w="100"/>
              <w:bottom w:w="100"/>
              <w:left w:w="160"/>
              <w:right w:w="160"/>
            </w:tcMar>
          </w:tcPr>
          <w:p>
            <w:pPr>
              <w:spacing w:before="40" w:after="40"/>
            </w:pPr>
            <w:r>
              <w:rPr>
                <w:sz w:val="20"/>
              </w:rPr>
              <w:t>Implemented &amp; Verified</w:t>
            </w:r>
          </w:p>
        </w:tc>
        <w:tc>
          <w:tcPr>
            <w:tcW w:w="2800" w:type="dxa"/>
            <w:shd w:val="clear" w:color="auto" w:fill="FFFFFF"/>
            <w:tcMar>
              <w:top w:w="100"/>
              <w:bottom w:w="100"/>
              <w:left w:w="160"/>
              <w:right w:w="160"/>
            </w:tcMar>
          </w:tcPr>
          <w:p>
            <w:pPr>
              <w:spacing w:before="40" w:after="40"/>
            </w:pPr>
            <w:r>
              <w:rPr>
                <w:sz w:val="20"/>
              </w:rPr>
              <w:t>src/config.py, static pedological features</w:t>
            </w:r>
          </w:p>
        </w:tc>
        <w:tc>
          <w:tcPr>
            <w:tcW w:w="2300" w:type="dxa"/>
            <w:shd w:val="clear" w:color="auto" w:fill="FFFFFF"/>
            <w:tcMar>
              <w:top w:w="100"/>
              <w:bottom w:w="100"/>
              <w:left w:w="160"/>
              <w:right w:w="160"/>
            </w:tcMar>
          </w:tcPr>
          <w:p>
            <w:pPr>
              <w:spacing w:before="40" w:after="40"/>
            </w:pPr>
            <w:r>
              <w:rPr>
                <w:sz w:val="20"/>
              </w:rPr>
              <w:t>Correctly scaled bulk density, pH, clay, SOC</w:t>
            </w:r>
          </w:p>
        </w:tc>
      </w:tr>
      <w:tr>
        <w:tc>
          <w:tcPr>
            <w:tcW w:w="2200" w:type="dxa"/>
            <w:shd w:val="clear" w:color="auto" w:fill="F9FBFD"/>
            <w:tcMar>
              <w:top w:w="100"/>
              <w:bottom w:w="100"/>
              <w:left w:w="160"/>
              <w:right w:w="160"/>
            </w:tcMar>
          </w:tcPr>
          <w:p>
            <w:pPr>
              <w:spacing w:before="40" w:after="40"/>
            </w:pPr>
            <w:r>
              <w:rPr>
                <w:sz w:val="20"/>
              </w:rPr>
              <w:t>Sentinel-2 NDVI Pipeline</w:t>
            </w:r>
          </w:p>
        </w:tc>
        <w:tc>
          <w:tcPr>
            <w:tcW w:w="2000" w:type="dxa"/>
            <w:shd w:val="clear" w:color="auto" w:fill="F9FBFD"/>
            <w:tcMar>
              <w:top w:w="100"/>
              <w:bottom w:w="100"/>
              <w:left w:w="160"/>
              <w:right w:w="160"/>
            </w:tcMar>
          </w:tcPr>
          <w:p>
            <w:pPr>
              <w:spacing w:before="40" w:after="40"/>
            </w:pPr>
            <w:r>
              <w:rPr>
                <w:sz w:val="20"/>
              </w:rPr>
              <w:t>Implemented &amp; Verified</w:t>
            </w:r>
          </w:p>
        </w:tc>
        <w:tc>
          <w:tcPr>
            <w:tcW w:w="2800" w:type="dxa"/>
            <w:shd w:val="clear" w:color="auto" w:fill="F9FBFD"/>
            <w:tcMar>
              <w:top w:w="100"/>
              <w:bottom w:w="100"/>
              <w:left w:w="160"/>
              <w:right w:w="160"/>
            </w:tcMar>
          </w:tcPr>
          <w:p>
            <w:pPr>
              <w:spacing w:before="40" w:after="40"/>
            </w:pPr>
            <w:r>
              <w:rPr>
                <w:sz w:val="20"/>
              </w:rPr>
              <w:t>data/processed/satellite/, 11 tests passing</w:t>
            </w:r>
          </w:p>
        </w:tc>
        <w:tc>
          <w:tcPr>
            <w:tcW w:w="2300" w:type="dxa"/>
            <w:shd w:val="clear" w:color="auto" w:fill="F9FBFD"/>
            <w:tcMar>
              <w:top w:w="100"/>
              <w:bottom w:w="100"/>
              <w:left w:w="160"/>
              <w:right w:w="160"/>
            </w:tcMar>
          </w:tcPr>
          <w:p>
            <w:pPr>
              <w:spacing w:before="40" w:after="40"/>
            </w:pPr>
            <w:r>
              <w:rPr>
                <w:sz w:val="20"/>
              </w:rPr>
              <w:t>Cloud-cleared monthly NDVI across 60 epochs</w:t>
            </w:r>
          </w:p>
        </w:tc>
      </w:tr>
      <w:tr>
        <w:tc>
          <w:tcPr>
            <w:tcW w:w="2200" w:type="dxa"/>
            <w:shd w:val="clear" w:color="auto" w:fill="FFFFFF"/>
            <w:tcMar>
              <w:top w:w="100"/>
              <w:bottom w:w="100"/>
              <w:left w:w="160"/>
              <w:right w:w="160"/>
            </w:tcMar>
          </w:tcPr>
          <w:p>
            <w:pPr>
              <w:spacing w:before="40" w:after="40"/>
            </w:pPr>
            <w:r>
              <w:rPr>
                <w:sz w:val="20"/>
              </w:rPr>
              <w:t>Counterfactual Simulator</w:t>
            </w:r>
          </w:p>
        </w:tc>
        <w:tc>
          <w:tcPr>
            <w:tcW w:w="2000" w:type="dxa"/>
            <w:shd w:val="clear" w:color="auto" w:fill="FFFFFF"/>
            <w:tcMar>
              <w:top w:w="100"/>
              <w:bottom w:w="100"/>
              <w:left w:w="160"/>
              <w:right w:w="160"/>
            </w:tcMar>
          </w:tcPr>
          <w:p>
            <w:pPr>
              <w:spacing w:before="40" w:after="40"/>
            </w:pPr>
            <w:r>
              <w:rPr>
                <w:sz w:val="20"/>
              </w:rPr>
              <w:t>Implemented &amp; Verified</w:t>
            </w:r>
          </w:p>
        </w:tc>
        <w:tc>
          <w:tcPr>
            <w:tcW w:w="2800" w:type="dxa"/>
            <w:shd w:val="clear" w:color="auto" w:fill="FFFFFF"/>
            <w:tcMar>
              <w:top w:w="100"/>
              <w:bottom w:w="100"/>
              <w:left w:w="160"/>
              <w:right w:w="160"/>
            </w:tcMar>
          </w:tcPr>
          <w:p>
            <w:pPr>
              <w:spacing w:before="40" w:after="40"/>
            </w:pPr>
            <w:r>
              <w:rPr>
                <w:sz w:val="20"/>
              </w:rPr>
              <w:t>src/scenarios/simulator.py, /api/scenario live</w:t>
            </w:r>
          </w:p>
        </w:tc>
        <w:tc>
          <w:tcPr>
            <w:tcW w:w="2300" w:type="dxa"/>
            <w:shd w:val="clear" w:color="auto" w:fill="FFFFFF"/>
            <w:tcMar>
              <w:top w:w="100"/>
              <w:bottom w:w="100"/>
              <w:left w:w="160"/>
              <w:right w:w="160"/>
            </w:tcMar>
          </w:tcPr>
          <w:p>
            <w:pPr>
              <w:spacing w:before="40" w:after="40"/>
            </w:pPr>
            <w:r>
              <w:rPr>
                <w:sz w:val="20"/>
              </w:rPr>
              <w:t>Simulates custom soil interventions in &lt; 50ms</w:t>
            </w:r>
          </w:p>
        </w:tc>
      </w:tr>
      <w:tr>
        <w:tc>
          <w:tcPr>
            <w:tcW w:w="2200" w:type="dxa"/>
            <w:shd w:val="clear" w:color="auto" w:fill="F9FBFD"/>
            <w:tcMar>
              <w:top w:w="100"/>
              <w:bottom w:w="100"/>
              <w:left w:w="160"/>
              <w:right w:w="160"/>
            </w:tcMar>
          </w:tcPr>
          <w:p>
            <w:pPr>
              <w:spacing w:before="40" w:after="40"/>
            </w:pPr>
            <w:r>
              <w:rPr>
                <w:sz w:val="20"/>
              </w:rPr>
              <w:t>Longitudinal Recovery Tracker</w:t>
            </w:r>
          </w:p>
        </w:tc>
        <w:tc>
          <w:tcPr>
            <w:tcW w:w="2000" w:type="dxa"/>
            <w:shd w:val="clear" w:color="auto" w:fill="F9FBFD"/>
            <w:tcMar>
              <w:top w:w="100"/>
              <w:bottom w:w="100"/>
              <w:left w:w="160"/>
              <w:right w:w="160"/>
            </w:tcMar>
          </w:tcPr>
          <w:p>
            <w:pPr>
              <w:spacing w:before="40" w:after="40"/>
            </w:pPr>
            <w:r>
              <w:rPr>
                <w:sz w:val="20"/>
              </w:rPr>
              <w:t>Implemented &amp; Verified</w:t>
            </w:r>
          </w:p>
        </w:tc>
        <w:tc>
          <w:tcPr>
            <w:tcW w:w="2800" w:type="dxa"/>
            <w:shd w:val="clear" w:color="auto" w:fill="F9FBFD"/>
            <w:tcMar>
              <w:top w:w="100"/>
              <w:bottom w:w="100"/>
              <w:left w:w="160"/>
              <w:right w:w="160"/>
            </w:tcMar>
          </w:tcPr>
          <w:p>
            <w:pPr>
              <w:spacing w:before="40" w:after="40"/>
            </w:pPr>
            <w:r>
              <w:rPr>
                <w:sz w:val="20"/>
              </w:rPr>
              <w:t>src/recovery/tracker.py, 5-tier engine</w:t>
            </w:r>
          </w:p>
        </w:tc>
        <w:tc>
          <w:tcPr>
            <w:tcW w:w="2300" w:type="dxa"/>
            <w:shd w:val="clear" w:color="auto" w:fill="F9FBFD"/>
            <w:tcMar>
              <w:top w:w="100"/>
              <w:bottom w:w="100"/>
              <w:left w:w="160"/>
              <w:right w:w="160"/>
            </w:tcMar>
          </w:tcPr>
          <w:p>
            <w:pPr>
              <w:spacing w:before="40" w:after="40"/>
            </w:pPr>
            <w:r>
              <w:rPr>
                <w:sz w:val="20"/>
              </w:rPr>
              <w:t>Categorizes trajectories (e.g. RECOVERING)</w:t>
            </w:r>
          </w:p>
        </w:tc>
      </w:tr>
      <w:tr>
        <w:tc>
          <w:tcPr>
            <w:tcW w:w="2200" w:type="dxa"/>
            <w:shd w:val="clear" w:color="auto" w:fill="FFFFFF"/>
            <w:tcMar>
              <w:top w:w="100"/>
              <w:bottom w:w="100"/>
              <w:left w:w="160"/>
              <w:right w:w="160"/>
            </w:tcMar>
          </w:tcPr>
          <w:p>
            <w:pPr>
              <w:spacing w:before="40" w:after="40"/>
            </w:pPr>
            <w:r>
              <w:rPr>
                <w:sz w:val="20"/>
              </w:rPr>
              <w:t>Role-Based Auth &amp; SQLite</w:t>
            </w:r>
          </w:p>
        </w:tc>
        <w:tc>
          <w:tcPr>
            <w:tcW w:w="2000" w:type="dxa"/>
            <w:shd w:val="clear" w:color="auto" w:fill="FFFFFF"/>
            <w:tcMar>
              <w:top w:w="100"/>
              <w:bottom w:w="100"/>
              <w:left w:w="160"/>
              <w:right w:w="160"/>
            </w:tcMar>
          </w:tcPr>
          <w:p>
            <w:pPr>
              <w:spacing w:before="40" w:after="40"/>
            </w:pPr>
            <w:r>
              <w:rPr>
                <w:sz w:val="20"/>
              </w:rPr>
              <w:t>Implemented &amp; Verified</w:t>
            </w:r>
          </w:p>
        </w:tc>
        <w:tc>
          <w:tcPr>
            <w:tcW w:w="2800" w:type="dxa"/>
            <w:shd w:val="clear" w:color="auto" w:fill="FFFFFF"/>
            <w:tcMar>
              <w:top w:w="100"/>
              <w:bottom w:w="100"/>
              <w:left w:w="160"/>
              <w:right w:w="160"/>
            </w:tcMar>
          </w:tcPr>
          <w:p>
            <w:pPr>
              <w:spacing w:before="40" w:after="40"/>
            </w:pPr>
            <w:r>
              <w:rPr>
                <w:sz w:val="20"/>
              </w:rPr>
              <w:t>server/server.js, soilsentinel.db, bcrypt auth</w:t>
            </w:r>
          </w:p>
        </w:tc>
        <w:tc>
          <w:tcPr>
            <w:tcW w:w="2300" w:type="dxa"/>
            <w:shd w:val="clear" w:color="auto" w:fill="FFFFFF"/>
            <w:tcMar>
              <w:top w:w="100"/>
              <w:bottom w:w="100"/>
              <w:left w:w="160"/>
              <w:right w:w="160"/>
            </w:tcMar>
          </w:tcPr>
          <w:p>
            <w:pPr>
              <w:spacing w:before="40" w:after="40"/>
            </w:pPr>
            <w:r>
              <w:rPr>
                <w:sz w:val="20"/>
              </w:rPr>
              <w:t>Session persistence for Farmer and Researcher</w:t>
            </w:r>
          </w:p>
        </w:tc>
      </w:tr>
      <w:tr>
        <w:tc>
          <w:tcPr>
            <w:tcW w:w="2200" w:type="dxa"/>
            <w:shd w:val="clear" w:color="auto" w:fill="F9FBFD"/>
            <w:tcMar>
              <w:top w:w="100"/>
              <w:bottom w:w="100"/>
              <w:left w:w="160"/>
              <w:right w:w="160"/>
            </w:tcMar>
          </w:tcPr>
          <w:p>
            <w:pPr>
              <w:spacing w:before="40" w:after="40"/>
            </w:pPr>
            <w:r>
              <w:rPr>
                <w:sz w:val="20"/>
              </w:rPr>
              <w:t>Farmer Dashboard UI</w:t>
            </w:r>
          </w:p>
        </w:tc>
        <w:tc>
          <w:tcPr>
            <w:tcW w:w="2000" w:type="dxa"/>
            <w:shd w:val="clear" w:color="auto" w:fill="F9FBFD"/>
            <w:tcMar>
              <w:top w:w="100"/>
              <w:bottom w:w="100"/>
              <w:left w:w="160"/>
              <w:right w:w="160"/>
            </w:tcMar>
          </w:tcPr>
          <w:p>
            <w:pPr>
              <w:spacing w:before="40" w:after="40"/>
            </w:pPr>
            <w:r>
              <w:rPr>
                <w:sz w:val="20"/>
              </w:rPr>
              <w:t>Implemented &amp; Verified</w:t>
            </w:r>
          </w:p>
        </w:tc>
        <w:tc>
          <w:tcPr>
            <w:tcW w:w="2800" w:type="dxa"/>
            <w:shd w:val="clear" w:color="auto" w:fill="F9FBFD"/>
            <w:tcMar>
              <w:top w:w="100"/>
              <w:bottom w:w="100"/>
              <w:left w:w="160"/>
              <w:right w:w="160"/>
            </w:tcMar>
          </w:tcPr>
          <w:p>
            <w:pPr>
              <w:spacing w:before="40" w:after="40"/>
            </w:pPr>
            <w:r>
              <w:rPr>
                <w:sz w:val="20"/>
              </w:rPr>
              <w:t>public/farmer-dashboard.html, HTTP 200 live</w:t>
            </w:r>
          </w:p>
        </w:tc>
        <w:tc>
          <w:tcPr>
            <w:tcW w:w="2300" w:type="dxa"/>
            <w:shd w:val="clear" w:color="auto" w:fill="F9FBFD"/>
            <w:tcMar>
              <w:top w:w="100"/>
              <w:bottom w:w="100"/>
              <w:left w:w="160"/>
              <w:right w:w="160"/>
            </w:tcMar>
          </w:tcPr>
          <w:p>
            <w:pPr>
              <w:spacing w:before="40" w:after="40"/>
            </w:pPr>
            <w:r>
              <w:rPr>
                <w:sz w:val="20"/>
              </w:rPr>
              <w:t>Accessible visual cards, risk dial, checklist</w:t>
            </w:r>
          </w:p>
        </w:tc>
      </w:tr>
      <w:tr>
        <w:tc>
          <w:tcPr>
            <w:tcW w:w="2200" w:type="dxa"/>
            <w:shd w:val="clear" w:color="auto" w:fill="FFFFFF"/>
            <w:tcMar>
              <w:top w:w="100"/>
              <w:bottom w:w="100"/>
              <w:left w:w="160"/>
              <w:right w:w="160"/>
            </w:tcMar>
          </w:tcPr>
          <w:p>
            <w:pPr>
              <w:spacing w:before="40" w:after="40"/>
            </w:pPr>
            <w:r>
              <w:rPr>
                <w:sz w:val="20"/>
              </w:rPr>
              <w:t>Researcher Dashboard UI</w:t>
            </w:r>
          </w:p>
        </w:tc>
        <w:tc>
          <w:tcPr>
            <w:tcW w:w="2000" w:type="dxa"/>
            <w:shd w:val="clear" w:color="auto" w:fill="FFFFFF"/>
            <w:tcMar>
              <w:top w:w="100"/>
              <w:bottom w:w="100"/>
              <w:left w:w="160"/>
              <w:right w:w="160"/>
            </w:tcMar>
          </w:tcPr>
          <w:p>
            <w:pPr>
              <w:spacing w:before="40" w:after="40"/>
            </w:pPr>
            <w:r>
              <w:rPr>
                <w:sz w:val="20"/>
              </w:rPr>
              <w:t>Implemented &amp; Verified</w:t>
            </w:r>
          </w:p>
        </w:tc>
        <w:tc>
          <w:tcPr>
            <w:tcW w:w="2800" w:type="dxa"/>
            <w:shd w:val="clear" w:color="auto" w:fill="FFFFFF"/>
            <w:tcMar>
              <w:top w:w="100"/>
              <w:bottom w:w="100"/>
              <w:left w:w="160"/>
              <w:right w:w="160"/>
            </w:tcMar>
          </w:tcPr>
          <w:p>
            <w:pPr>
              <w:spacing w:before="40" w:after="40"/>
            </w:pPr>
            <w:r>
              <w:rPr>
                <w:sz w:val="20"/>
              </w:rPr>
              <w:t>public/researcher-dashboard.html, HTTP 200 live</w:t>
            </w:r>
          </w:p>
        </w:tc>
        <w:tc>
          <w:tcPr>
            <w:tcW w:w="2300" w:type="dxa"/>
            <w:shd w:val="clear" w:color="auto" w:fill="FFFFFF"/>
            <w:tcMar>
              <w:top w:w="100"/>
              <w:bottom w:w="100"/>
              <w:left w:w="160"/>
              <w:right w:w="160"/>
            </w:tcMar>
          </w:tcPr>
          <w:p>
            <w:pPr>
              <w:spacing w:before="40" w:after="40"/>
            </w:pPr>
            <w:r>
              <w:rPr>
                <w:sz w:val="20"/>
              </w:rPr>
              <w:t>SHAP charts, telemetry table, what-if sliders</w:t>
            </w:r>
          </w:p>
        </w:tc>
      </w:tr>
      <w:tr>
        <w:tc>
          <w:tcPr>
            <w:tcW w:w="2200" w:type="dxa"/>
            <w:shd w:val="clear" w:color="auto" w:fill="F9FBFD"/>
            <w:tcMar>
              <w:top w:w="100"/>
              <w:bottom w:w="100"/>
              <w:left w:w="160"/>
              <w:right w:w="160"/>
            </w:tcMar>
          </w:tcPr>
          <w:p>
            <w:pPr>
              <w:spacing w:before="40" w:after="40"/>
            </w:pPr>
            <w:r>
              <w:rPr>
                <w:sz w:val="20"/>
              </w:rPr>
              <w:t>Physical Field Validation</w:t>
            </w:r>
          </w:p>
        </w:tc>
        <w:tc>
          <w:tcPr>
            <w:tcW w:w="2000" w:type="dxa"/>
            <w:shd w:val="clear" w:color="auto" w:fill="F9FBFD"/>
            <w:tcMar>
              <w:top w:w="100"/>
              <w:bottom w:w="100"/>
              <w:left w:w="160"/>
              <w:right w:w="160"/>
            </w:tcMar>
          </w:tcPr>
          <w:p>
            <w:pPr>
              <w:spacing w:before="40" w:after="40"/>
            </w:pPr>
            <w:r>
              <w:rPr>
                <w:sz w:val="20"/>
              </w:rPr>
              <w:t>Blocked / Pending</w:t>
            </w:r>
          </w:p>
        </w:tc>
        <w:tc>
          <w:tcPr>
            <w:tcW w:w="2800" w:type="dxa"/>
            <w:shd w:val="clear" w:color="auto" w:fill="F9FBFD"/>
            <w:tcMar>
              <w:top w:w="100"/>
              <w:bottom w:w="100"/>
              <w:left w:w="160"/>
              <w:right w:w="160"/>
            </w:tcMar>
          </w:tcPr>
          <w:p>
            <w:pPr>
              <w:spacing w:before="40" w:after="40"/>
            </w:pPr>
            <w:r>
              <w:rPr>
                <w:sz w:val="20"/>
              </w:rPr>
              <w:t>Pending Field Acquisition status banner</w:t>
            </w:r>
          </w:p>
        </w:tc>
        <w:tc>
          <w:tcPr>
            <w:tcW w:w="2300" w:type="dxa"/>
            <w:shd w:val="clear" w:color="auto" w:fill="F9FBFD"/>
            <w:tcMar>
              <w:top w:w="100"/>
              <w:bottom w:w="100"/>
              <w:left w:w="160"/>
              <w:right w:w="160"/>
            </w:tcMar>
          </w:tcPr>
          <w:p>
            <w:pPr>
              <w:spacing w:before="40" w:after="40"/>
            </w:pPr>
            <w:r>
              <w:rPr>
                <w:sz w:val="20"/>
              </w:rPr>
              <w:t>In-situ laboratory soil core correlation</w:t>
            </w:r>
          </w:p>
        </w:tc>
      </w:tr>
    </w:tbl>
    <w:p>
      <w:pPr>
        <w:spacing w:before="100" w:after="100"/>
      </w:pPr>
    </w:p>
    <w:p>
      <w:pPr>
        <w:pStyle w:val="Heading1"/>
      </w:pPr>
      <w:r>
        <w:t xml:space="preserve">11. Prioritized Production Readiness Roadmap</w:t>
      </w:r>
    </w:p>
    <w:p>
      <w:pPr>
        <w:pStyle w:val="Normal"/>
      </w:pPr>
      <w:r>
        <w:t xml:space="preserve">The prioritized engineering roadmap guides the transition of SoilSentinel to a production-grade enterprise system:</w:t>
      </w:r>
    </w:p>
    <w:p>
      <w:pPr>
        <w:pStyle w:val="ListBullet"/>
      </w:pPr>
      <w:r>
        <w:rPr>
          <w:rFonts w:ascii="Symbol" w:hAnsi="Symbol"/>
          <w:color w:val="1B365D"/>
        </w:rPr>
        <w:t>• </w:t>
      </w:r>
      <w:r>
        <w:t xml:space="preserve">P0 (Mandatory MVP): Dockerize multi-stage container deployment pinning Node 22 LTS and Python 3.10-slim.</w:t>
      </w:r>
    </w:p>
    <w:p>
      <w:pPr>
        <w:pStyle w:val="ListBullet"/>
      </w:pPr>
      <w:r>
        <w:rPr>
          <w:rFonts w:ascii="Symbol" w:hAnsi="Symbol"/>
          <w:color w:val="1B365D"/>
        </w:rPr>
        <w:t>• </w:t>
      </w:r>
      <w:r>
        <w:t xml:space="preserve">P0 (Mandatory MVP): Enforce strict Joi/Zod input boundary validation on scenario simulation sliders.</w:t>
      </w:r>
    </w:p>
    <w:p>
      <w:pPr>
        <w:pStyle w:val="ListBullet"/>
      </w:pPr>
      <w:r>
        <w:rPr>
          <w:rFonts w:ascii="Symbol" w:hAnsi="Symbol"/>
          <w:color w:val="1B365D"/>
        </w:rPr>
        <w:t>• </w:t>
      </w:r>
      <w:r>
        <w:t xml:space="preserve">P0 (Mandatory MVP): Migrate credentials and session secrets to environment-variable injection with production guards.</w:t>
      </w:r>
    </w:p>
    <w:p>
      <w:pPr>
        <w:pStyle w:val="ListBullet"/>
      </w:pPr>
      <w:r>
        <w:rPr>
          <w:rFonts w:ascii="Symbol" w:hAnsi="Symbol"/>
          <w:color w:val="1B365D"/>
        </w:rPr>
        <w:t>• </w:t>
      </w:r>
      <w:r>
        <w:t xml:space="preserve">P1 (High Post-MVP): Partner with regional agricultural universities for physical laboratory soil core validation.</w:t>
      </w:r>
    </w:p>
    <w:p>
      <w:pPr>
        <w:pStyle w:val="ListBullet"/>
      </w:pPr>
      <w:r>
        <w:rPr>
          <w:rFonts w:ascii="Symbol" w:hAnsi="Symbol"/>
          <w:color w:val="1B365D"/>
        </w:rPr>
        <w:t>• </w:t>
      </w:r>
      <w:r>
        <w:t xml:space="preserve">P1 (High Post-MVP): Deploy automated Copernicus API cron worker to ingest new Sentinel-2 granules within 48 hours.</w:t>
      </w:r>
    </w:p>
    <w:p>
      <w:pPr>
        <w:pStyle w:val="ListBullet"/>
      </w:pPr>
      <w:r>
        <w:rPr>
          <w:rFonts w:ascii="Symbol" w:hAnsi="Symbol"/>
          <w:color w:val="1B365D"/>
        </w:rPr>
        <w:t>• </w:t>
      </w:r>
      <w:r>
        <w:t xml:space="preserve">P1 (High Post-MVP): Implement dynamic localization for Hindi (हिन्दी) and Punjabi (ਪੰਜਾਬੀ) on the Farmer Dashboard.</w:t>
      </w:r>
    </w:p>
    <w:p>
      <w:pPr>
        <w:pStyle w:val="ListBullet"/>
      </w:pPr>
      <w:r>
        <w:rPr>
          <w:rFonts w:ascii="Symbol" w:hAnsi="Symbol"/>
          <w:color w:val="1B365D"/>
        </w:rPr>
        <w:t>• </w:t>
      </w:r>
      <w:r>
        <w:t xml:space="preserve">P2 (Scale): Migrate from SQLite to PostgreSQL with PostGIS extension for spatial indexing.</w:t>
      </w:r>
    </w:p>
    <w:p>
      <w:pPr>
        <w:pStyle w:val="ListBullet"/>
      </w:pPr>
      <w:r>
        <w:rPr>
          <w:rFonts w:ascii="Symbol" w:hAnsi="Symbol"/>
          <w:color w:val="1B365D"/>
        </w:rPr>
        <w:t>• </w:t>
      </w:r>
      <w:r>
        <w:t xml:space="preserve">P2 (Scale): Add Redis session caching and BullMQ asynchronous workers for batch report generation.</w:t>
      </w:r>
    </w:p>
    <w:p>
      <w:pPr>
        <w:pStyle w:val="ListBullet"/>
      </w:pPr>
      <w:r>
        <w:rPr>
          <w:rFonts w:ascii="Symbol" w:hAnsi="Symbol"/>
          <w:color w:val="1B365D"/>
        </w:rPr>
        <w:t>• </w:t>
      </w:r>
      <w:r>
        <w:t xml:space="preserve">P2 (Scale): Upgrade static satellite charts to an interactive Leaflet/Mapbox vector tile map container.</w:t>
      </w:r>
    </w:p>
    <w:p>
      <w:pPr>
        <w:pStyle w:val="Heading1"/>
      </w:pPr>
      <w:r>
        <w:t xml:space="preserve">12. Technical Glossary &amp; Reference</w:t>
      </w:r>
    </w:p>
    <w:p>
      <w:pPr>
        <w:pStyle w:val="Normal"/>
      </w:pPr>
      <w:r>
        <w:t xml:space="preserve">Key technical terms and definitions utilized throughout SoilSentinel:</w:t>
      </w:r>
    </w:p>
    <w:p>
      <w:pPr>
        <w:pStyle w:val="ListBullet"/>
      </w:pPr>
      <w:r>
        <w:rPr>
          <w:rFonts w:ascii="Symbol" w:hAnsi="Symbol"/>
          <w:color w:val="1B365D"/>
        </w:rPr>
        <w:t>• </w:t>
      </w:r>
      <w:r>
        <w:rPr>
          <w:b/>
        </w:rPr>
        <w:t xml:space="preserve">Bulk Density: </w:t>
      </w:r>
      <w:r>
        <w:t xml:space="preserve">Bulk Density: Dry soil mass per unit volume (cg/cm^3); values &gt; 1.55 g/cm^3 indicate compaction hardpans.</w:t>
      </w:r>
    </w:p>
    <w:p>
      <w:pPr>
        <w:pStyle w:val="ListBullet"/>
      </w:pPr>
      <w:r>
        <w:rPr>
          <w:rFonts w:ascii="Symbol" w:hAnsi="Symbol"/>
          <w:color w:val="1B365D"/>
        </w:rPr>
        <w:t>• </w:t>
      </w:r>
      <w:r>
        <w:rPr>
          <w:b/>
        </w:rPr>
        <w:t xml:space="preserve">TreeSHAP: </w:t>
      </w:r>
      <w:r>
        <w:t xml:space="preserve">TreeSHAP: Fast polynomial-time algorithm for computing exact game-theoretic Shapley values for tree ensembles.</w:t>
      </w:r>
    </w:p>
    <w:p>
      <w:pPr>
        <w:pStyle w:val="ListBullet"/>
      </w:pPr>
      <w:r>
        <w:rPr>
          <w:rFonts w:ascii="Symbol" w:hAnsi="Symbol"/>
          <w:color w:val="1B365D"/>
        </w:rPr>
        <w:t>• </w:t>
      </w:r>
      <w:r>
        <w:rPr>
          <w:b/>
        </w:rPr>
        <w:t xml:space="preserve">NDVI: </w:t>
      </w:r>
      <w:r>
        <w:t xml:space="preserve">NDVI: (B08 - B04) / (B08 + B04); standardized vegetation vigor index indicating live green biomass.</w:t>
      </w:r>
    </w:p>
    <w:p>
      <w:pPr>
        <w:pStyle w:val="ListBullet"/>
      </w:pPr>
      <w:r>
        <w:rPr>
          <w:rFonts w:ascii="Symbol" w:hAnsi="Symbol"/>
          <w:color w:val="1B365D"/>
        </w:rPr>
        <w:t>• </w:t>
      </w:r>
      <w:r>
        <w:rPr>
          <w:b/>
        </w:rPr>
        <w:t xml:space="preserve">Surrogate: </w:t>
      </w:r>
      <w:r>
        <w:t xml:space="preserve">Surrogate Model: An empirical ML model trained to approximate the behavior of a complex or expensive simulation engine.</w:t>
      </w:r>
    </w:p>
    <w:p>
      <w:pPr>
        <w:pStyle w:val="ListBullet"/>
      </w:pPr>
      <w:r>
        <w:rPr>
          <w:rFonts w:ascii="Symbol" w:hAnsi="Symbol"/>
          <w:color w:val="1B365D"/>
        </w:rPr>
        <w:t>• </w:t>
      </w:r>
      <w:r>
        <w:rPr>
          <w:b/>
        </w:rPr>
        <w:t xml:space="preserve">Counterfactual: </w:t>
      </w:r>
      <w:r>
        <w:t xml:space="preserve">Counterfactual Simulation: In silico adjustment of environmental features to evaluate system sensitivity and intervention efficacy.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222222"/>
      </w:rPr>
    </w:rPrDefault>
    <w:pPrDefault>
      <w:pPr>
        <w:spacing w:after="160" w:line="260" w:lineRule="auto"/>
      </w:pPr>
    </w:pPrDefault>
  </w:docDefaults>
  <w:style w:type="paragraph" w:default="1" w:styleId="Normal">
    <w:name w:val="Normal"/>
    <w:qFormat/>
  </w:style>
  <w:style w:type="paragraph" w:styleId="Title">
    <w:name w:val="Title"/>
    <w:basedOn w:val="Normal"/>
    <w:qFormat/>
    <w:pPr>
      <w:spacing w:before="360" w:after="160"/>
      <w:jc w:val="center"/>
    </w:pPr>
    <w:rPr>
      <w:rFonts w:ascii="Segoe UI" w:hAnsi="Segoe UI"/>
      <w:b/>
      <w:sz w:val="52"/>
      <w:szCs w:val="52"/>
      <w:color w:val="1B365D"/>
    </w:rPr>
  </w:style>
  <w:style w:type="paragraph" w:styleId="Subtitle">
    <w:name w:val="Subtitle"/>
    <w:basedOn w:val="Normal"/>
    <w:qFormat/>
    <w:pPr>
      <w:spacing w:before="0" w:after="300"/>
      <w:jc w:val="center"/>
    </w:pPr>
    <w:rPr>
      <w:rFonts w:ascii="Segoe UI" w:hAnsi="Segoe UI"/>
      <w:sz w:val="26"/>
      <w:szCs w:val="26"/>
      <w:color w:val="4A777A"/>
    </w:rPr>
  </w:style>
  <w:style w:type="paragraph" w:styleId="Heading1">
    <w:name w:val="heading 1"/>
    <w:basedOn w:val="Normal"/>
    <w:next w:val="Normal"/>
    <w:qFormat/>
    <w:pPr>
      <w:spacing w:before="360" w:after="160"/>
    </w:pPr>
    <w:rPr>
      <w:rFonts w:ascii="Segoe UI" w:hAnsi="Segoe UI"/>
      <w:b/>
      <w:sz w:val="36"/>
      <w:szCs w:val="36"/>
      <w:color w:val="1B365D"/>
    </w:rPr>
  </w:style>
  <w:style w:type="paragraph" w:styleId="Heading2">
    <w:name w:val="heading 2"/>
    <w:basedOn w:val="Normal"/>
    <w:next w:val="Normal"/>
    <w:qFormat/>
    <w:pPr>
      <w:spacing w:before="260" w:after="120"/>
    </w:pPr>
    <w:rPr>
      <w:rFonts w:ascii="Segoe UI" w:hAnsi="Segoe UI"/>
      <w:b/>
      <w:sz w:val="28"/>
      <w:szCs w:val="28"/>
      <w:color w:val="2B547E"/>
    </w:rPr>
  </w:style>
  <w:style w:type="paragraph" w:styleId="Heading3">
    <w:name w:val="heading 3"/>
    <w:basedOn w:val="Normal"/>
    <w:next w:val="Normal"/>
    <w:qFormat/>
    <w:pPr>
      <w:spacing w:before="180" w:after="80"/>
    </w:pPr>
    <w:rPr>
      <w:rFonts w:ascii="Segoe UI" w:hAnsi="Segoe UI"/>
      <w:b/>
      <w:sz w:val="24"/>
      <w:szCs w:val="24"/>
      <w:color w:val="36648B"/>
    </w:rPr>
  </w:style>
  <w:style w:type="paragraph" w:styleId="ListBullet">
    <w:name w:val="List Bullet"/>
    <w:basedOn w:val="Normal"/>
    <w:qFormat/>
    <w:pPr>
      <w:spacing w:before="40" w:after="60"/>
      <w:ind w:left="480" w:hanging="240"/>
    </w:pPr>
  </w:style>
  <w:style w:type="paragraph" w:styleId="CodeBlock">
    <w:name w:val="Code Block"/>
    <w:basedOn w:val="Normal"/>
    <w:pPr>
      <w:spacing w:before="100" w:after="100" w:line="220" w:lineRule="auto"/>
      <w:shd w:val="clear" w:color="auto" w:fill="F5F5F7"/>
      <w:ind w:left="360" w:right="360"/>
    </w:pPr>
    <w:rPr>
      <w:rFonts w:ascii="Consolas" w:hAnsi="Consolas"/>
      <w:sz w:val="19"/>
      <w:szCs w:val="19"/>
      <w:color w:val="2A2A2A"/>
    </w:rPr>
  </w:style>
  <w:style w:type="paragraph" w:styleId="Callout">
    <w:name w:val="Callout"/>
    <w:basedOn w:val="Normal"/>
    <w:pPr>
      <w:spacing w:before="140" w:after="140"/>
      <w:shd w:val="clear" w:color="auto" w:fill="EEF3F8"/>
      <w:ind w:left="360" w:right="360"/>
      <w:pBdr>
        <w:left w:val="single" w:sz="24" w:space="12" w:color="1B365D"/>
      </w:pBdr>
    </w:pPr>
    <w:rPr>
      <w:color w:val="1B365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120</TotalTime>
  <Pages>22</Pages>
  <Words>6500</Words>
  <Characters>42000</Characters>
  <Application>SoilSentinel Document Engine</Application>
  <DocSecurity>0</DocSecurity>
  <Lines>450</Lines>
  <Paragraphs>220</Paragraphs>
  <ScaleCrop>false</ScaleCrop>
  <Company>IBM Z Datathon 2026</Company>
  <LinksUpToDate>false</LinksUpToDate>
  <CharactersWithSpaces>48500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SoilSentinel - Complete Project Documentation</dc:title>
  <dc:subject>IBM Z Datathon 2026 Engineering Architecture</dc:subject>
  <dc:creator>SoilSentinel Engineering Team</dc:creator>
  <cp:keywords>Soil Health, Machine Learning, SHAP, Sentinel-2, Agro-climatic Assessment</cp:keywords>
  <dc:description>Comprehensive technical and operational architecture documentation for SoilSentinel.</dc:description>
  <dcterms:created xsi:type="dcterms:W3CDTF">2026-10-17T12:00:00Z</dcterms:created>
  <dcterms:modified xsi:type="dcterms:W3CDTF">2026-10-17T12:00:00Z</dcterms:modified>
</cp:coreProperties>
</file>