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7D4E8" w14:textId="77777777" w:rsidR="0069660F" w:rsidRPr="00F22DB1" w:rsidRDefault="0069660F" w:rsidP="00BD2F36">
      <w:pPr>
        <w:spacing w:line="480" w:lineRule="auto"/>
        <w:jc w:val="both"/>
        <w:rPr>
          <w:b/>
          <w:bCs/>
        </w:rPr>
      </w:pPr>
    </w:p>
    <w:p w14:paraId="15257F06" w14:textId="77777777" w:rsidR="002D26A2" w:rsidRDefault="002D26A2" w:rsidP="00BD2F36">
      <w:pPr>
        <w:spacing w:line="480" w:lineRule="auto"/>
        <w:jc w:val="both"/>
        <w:rPr>
          <w:b/>
          <w:bCs/>
          <w:sz w:val="40"/>
          <w:szCs w:val="40"/>
        </w:rPr>
      </w:pPr>
    </w:p>
    <w:p w14:paraId="1E862F07" w14:textId="032DF53B" w:rsidR="0069660F" w:rsidRPr="002D26A2" w:rsidRDefault="0069660F" w:rsidP="00BD2F36">
      <w:pPr>
        <w:spacing w:line="480" w:lineRule="auto"/>
        <w:jc w:val="center"/>
        <w:rPr>
          <w:b/>
          <w:bCs/>
          <w:sz w:val="32"/>
          <w:szCs w:val="32"/>
        </w:rPr>
      </w:pPr>
      <w:r w:rsidRPr="002D26A2">
        <w:rPr>
          <w:b/>
          <w:bCs/>
          <w:sz w:val="32"/>
          <w:szCs w:val="32"/>
        </w:rPr>
        <w:t>DATA INNOVATORS</w:t>
      </w:r>
    </w:p>
    <w:p w14:paraId="3F9526FD" w14:textId="77777777" w:rsidR="00EC04A9" w:rsidRDefault="00EC04A9" w:rsidP="00BD2F36">
      <w:pPr>
        <w:spacing w:line="480" w:lineRule="auto"/>
        <w:jc w:val="both"/>
        <w:rPr>
          <w:b/>
          <w:bCs/>
        </w:rPr>
      </w:pPr>
    </w:p>
    <w:p w14:paraId="23A940F6" w14:textId="77777777" w:rsidR="002D26A2" w:rsidRPr="00F22DB1" w:rsidRDefault="002D26A2" w:rsidP="00BD2F36">
      <w:pPr>
        <w:spacing w:line="480" w:lineRule="auto"/>
        <w:jc w:val="both"/>
        <w:rPr>
          <w:b/>
          <w:bCs/>
        </w:rPr>
      </w:pPr>
    </w:p>
    <w:p w14:paraId="211B9B4E" w14:textId="77777777" w:rsidR="00EC04A9" w:rsidRPr="00F22DB1" w:rsidRDefault="00EC04A9" w:rsidP="00BD2F36">
      <w:pPr>
        <w:spacing w:line="480" w:lineRule="auto"/>
        <w:jc w:val="both"/>
        <w:rPr>
          <w:b/>
          <w:bCs/>
        </w:rPr>
      </w:pPr>
    </w:p>
    <w:p w14:paraId="1F3058D2" w14:textId="6846117C" w:rsidR="00DD5A95" w:rsidRPr="002D26A2" w:rsidRDefault="00EC04A9" w:rsidP="00BD2F36">
      <w:pPr>
        <w:spacing w:line="480" w:lineRule="auto"/>
        <w:jc w:val="center"/>
        <w:rPr>
          <w:b/>
          <w:bCs/>
          <w:sz w:val="40"/>
          <w:szCs w:val="40"/>
        </w:rPr>
      </w:pPr>
      <w:r w:rsidRPr="002D26A2">
        <w:rPr>
          <w:b/>
          <w:bCs/>
          <w:sz w:val="40"/>
          <w:szCs w:val="40"/>
        </w:rPr>
        <w:t xml:space="preserve">ANALYSING ENROLLMENT </w:t>
      </w:r>
      <w:r w:rsidR="002D26A2" w:rsidRPr="002D26A2">
        <w:rPr>
          <w:b/>
          <w:bCs/>
          <w:sz w:val="40"/>
          <w:szCs w:val="40"/>
        </w:rPr>
        <w:t>PATTERNS</w:t>
      </w:r>
      <w:r w:rsidRPr="002D26A2">
        <w:rPr>
          <w:b/>
          <w:bCs/>
          <w:sz w:val="40"/>
          <w:szCs w:val="40"/>
        </w:rPr>
        <w:t xml:space="preserve"> IN EDUCATION </w:t>
      </w:r>
      <w:r w:rsidR="002D26A2" w:rsidRPr="002D26A2">
        <w:rPr>
          <w:b/>
          <w:bCs/>
          <w:sz w:val="40"/>
          <w:szCs w:val="40"/>
        </w:rPr>
        <w:t>INSTITUTIONS</w:t>
      </w:r>
    </w:p>
    <w:p w14:paraId="17400274" w14:textId="77777777" w:rsidR="00EC04A9" w:rsidRPr="00F22DB1" w:rsidRDefault="00EC04A9" w:rsidP="00BD2F36">
      <w:pPr>
        <w:spacing w:line="480" w:lineRule="auto"/>
        <w:jc w:val="both"/>
        <w:rPr>
          <w:b/>
          <w:bCs/>
        </w:rPr>
      </w:pPr>
    </w:p>
    <w:p w14:paraId="2B06EB1B" w14:textId="77777777" w:rsidR="00EC04A9" w:rsidRPr="00F22DB1" w:rsidRDefault="00EC04A9" w:rsidP="00BD2F36">
      <w:pPr>
        <w:spacing w:line="480" w:lineRule="auto"/>
        <w:jc w:val="both"/>
        <w:rPr>
          <w:b/>
          <w:bCs/>
        </w:rPr>
      </w:pPr>
    </w:p>
    <w:p w14:paraId="220A8ECC" w14:textId="77777777" w:rsidR="002D26A2" w:rsidRDefault="002D26A2" w:rsidP="00BD2F36">
      <w:pPr>
        <w:spacing w:line="480" w:lineRule="auto"/>
        <w:jc w:val="both"/>
        <w:rPr>
          <w:b/>
          <w:bCs/>
        </w:rPr>
      </w:pPr>
    </w:p>
    <w:p w14:paraId="61662B0E" w14:textId="77777777" w:rsidR="002D26A2" w:rsidRDefault="002D26A2" w:rsidP="00BD2F36">
      <w:pPr>
        <w:spacing w:line="480" w:lineRule="auto"/>
        <w:jc w:val="both"/>
        <w:rPr>
          <w:b/>
          <w:bCs/>
        </w:rPr>
      </w:pPr>
    </w:p>
    <w:p w14:paraId="0C7E1A7A" w14:textId="0A14F776" w:rsidR="00FC3C18" w:rsidRPr="002D26A2" w:rsidRDefault="005172A9" w:rsidP="00BD2F36">
      <w:pPr>
        <w:spacing w:line="480" w:lineRule="auto"/>
        <w:jc w:val="center"/>
        <w:rPr>
          <w:b/>
          <w:bCs/>
          <w:u w:val="single"/>
        </w:rPr>
      </w:pPr>
      <w:r w:rsidRPr="002D26A2">
        <w:rPr>
          <w:b/>
          <w:bCs/>
          <w:u w:val="single"/>
        </w:rPr>
        <w:t>Team Members</w:t>
      </w:r>
    </w:p>
    <w:p w14:paraId="28436728" w14:textId="732605C5" w:rsidR="00FC3C18" w:rsidRPr="002D26A2" w:rsidRDefault="00FC3C18" w:rsidP="00BD2F36">
      <w:pPr>
        <w:spacing w:line="480" w:lineRule="auto"/>
        <w:jc w:val="center"/>
      </w:pPr>
      <w:r w:rsidRPr="002D26A2">
        <w:t>Meghana Kota</w:t>
      </w:r>
    </w:p>
    <w:p w14:paraId="45EAB5B2" w14:textId="77777777" w:rsidR="003613FC" w:rsidRDefault="003613FC" w:rsidP="00BD2F36">
      <w:pPr>
        <w:spacing w:line="480" w:lineRule="auto"/>
        <w:jc w:val="both"/>
      </w:pPr>
    </w:p>
    <w:p w14:paraId="5F7A9CC4" w14:textId="77777777" w:rsidR="002D423E" w:rsidRDefault="002D423E" w:rsidP="00BD2F36">
      <w:pPr>
        <w:spacing w:line="480" w:lineRule="auto"/>
        <w:jc w:val="both"/>
      </w:pPr>
    </w:p>
    <w:p w14:paraId="203172D0" w14:textId="77777777" w:rsidR="002D423E" w:rsidRDefault="002D423E" w:rsidP="00BD2F36">
      <w:pPr>
        <w:spacing w:line="480" w:lineRule="auto"/>
        <w:jc w:val="both"/>
      </w:pPr>
    </w:p>
    <w:p w14:paraId="57E31EF4" w14:textId="77777777" w:rsidR="002D423E" w:rsidRDefault="002D423E" w:rsidP="00BD2F36">
      <w:pPr>
        <w:spacing w:line="480" w:lineRule="auto"/>
        <w:jc w:val="both"/>
      </w:pPr>
    </w:p>
    <w:p w14:paraId="300DCE30" w14:textId="77777777" w:rsidR="00F22DB1" w:rsidRDefault="00F22DB1" w:rsidP="00BD2F36">
      <w:pPr>
        <w:spacing w:line="480" w:lineRule="auto"/>
        <w:jc w:val="both"/>
      </w:pPr>
    </w:p>
    <w:p w14:paraId="061CB2EE" w14:textId="77777777" w:rsidR="00F22DB1" w:rsidRDefault="00F22DB1" w:rsidP="00BD2F36">
      <w:pPr>
        <w:spacing w:line="480" w:lineRule="auto"/>
        <w:jc w:val="both"/>
      </w:pPr>
    </w:p>
    <w:p w14:paraId="733A7717" w14:textId="77777777" w:rsidR="00F22DB1" w:rsidRDefault="00F22DB1" w:rsidP="00BD2F36">
      <w:pPr>
        <w:spacing w:line="480" w:lineRule="auto"/>
        <w:jc w:val="both"/>
      </w:pPr>
    </w:p>
    <w:p w14:paraId="67B9BC51" w14:textId="74B5AF89" w:rsidR="00BD2F36" w:rsidRPr="00E3490A" w:rsidRDefault="00BD2F36" w:rsidP="00BD2F36">
      <w:pPr>
        <w:spacing w:line="480" w:lineRule="auto"/>
        <w:jc w:val="center"/>
        <w:rPr>
          <w:b/>
          <w:bCs/>
          <w:u w:val="single"/>
        </w:rPr>
      </w:pPr>
      <w:r w:rsidRPr="00E3490A">
        <w:rPr>
          <w:b/>
          <w:bCs/>
          <w:u w:val="single"/>
        </w:rPr>
        <w:lastRenderedPageBreak/>
        <w:t>ABSTRACT</w:t>
      </w:r>
    </w:p>
    <w:p w14:paraId="57A73736" w14:textId="77777777" w:rsidR="00BD2F36" w:rsidRDefault="00BD2F36" w:rsidP="00BD2F36">
      <w:pPr>
        <w:spacing w:line="480" w:lineRule="auto"/>
        <w:jc w:val="both"/>
      </w:pPr>
      <w:r>
        <w:t>Our research investigates the change in the enrollment patterns across United States educational institutions in the year 2022, mainly focusing on the factors influencing the enrollment rate. The research investigates the impact of institutional types, geographic location and various other economic factors which affect the enrollment rate by addressing the research question: Examining the changes in enrollment patterns and degree offerings across various US higher education institutions and the factors influencing enrollment.</w:t>
      </w:r>
    </w:p>
    <w:p w14:paraId="24C3A225" w14:textId="398F4A72" w:rsidR="00BD2F36" w:rsidRDefault="00BD2F36" w:rsidP="00BD2F36">
      <w:pPr>
        <w:spacing w:line="480" w:lineRule="auto"/>
        <w:jc w:val="both"/>
      </w:pPr>
      <w:r>
        <w:t>Using the Integrated Postsecondary Education Data System (IPEDS) dataset, data was cleaned and aggregated for our analysis. Descriptive statistics, exploratory data analysis, and predictive models, including linear regression and decision trees, were used to explore enrollment trends and key influencing factors. Our analysis revealed a strong correlation between admissions and enrollment. Compared to men, women showed higher graduation rate.</w:t>
      </w:r>
    </w:p>
    <w:p w14:paraId="0253C567" w14:textId="62883E7D" w:rsidR="00E3490A" w:rsidRPr="00E3490A" w:rsidRDefault="00E3490A" w:rsidP="00E3490A">
      <w:pPr>
        <w:spacing w:line="480" w:lineRule="auto"/>
        <w:jc w:val="both"/>
      </w:pPr>
      <w:r w:rsidRPr="00E3490A">
        <w:t xml:space="preserve">According to the regression and random forest models, hospital facilities and institutional type (public vs. private) have </w:t>
      </w:r>
      <w:r w:rsidR="00A43DB7">
        <w:t>very little impact</w:t>
      </w:r>
      <w:r w:rsidRPr="00E3490A">
        <w:t xml:space="preserve"> on enrollment, but admissions, applications, graduation rate, and geographical characteristics all have a substantial impact. Further research expanding temporal and demographic studies may be possible, however the study offers valuable insights for strategic planning, policy-making, and well-informed decision-making in higher education.</w:t>
      </w:r>
    </w:p>
    <w:p w14:paraId="2760A0E9" w14:textId="77777777" w:rsidR="00E3490A" w:rsidRPr="00BD2F36" w:rsidRDefault="00E3490A" w:rsidP="00BD2F36">
      <w:pPr>
        <w:spacing w:line="480" w:lineRule="auto"/>
        <w:jc w:val="both"/>
      </w:pPr>
    </w:p>
    <w:p w14:paraId="37B3839B" w14:textId="42C87C4C" w:rsidR="00D833B2" w:rsidRPr="00E3490A" w:rsidRDefault="0003777C" w:rsidP="00BD2F36">
      <w:pPr>
        <w:spacing w:line="480" w:lineRule="auto"/>
        <w:jc w:val="center"/>
        <w:rPr>
          <w:b/>
          <w:bCs/>
          <w:u w:val="single"/>
        </w:rPr>
      </w:pPr>
      <w:r w:rsidRPr="00E3490A">
        <w:rPr>
          <w:b/>
          <w:bCs/>
          <w:u w:val="single"/>
        </w:rPr>
        <w:t>INTRODUCTION</w:t>
      </w:r>
    </w:p>
    <w:p w14:paraId="086A8AF6" w14:textId="77777777" w:rsidR="004D0118" w:rsidRPr="004D0118" w:rsidRDefault="004D0118" w:rsidP="004D0118">
      <w:pPr>
        <w:spacing w:line="480" w:lineRule="auto"/>
      </w:pPr>
      <w:r w:rsidRPr="004D0118">
        <w:t>Our research project's objectives are to examine the reasons influencing these enrollment trends</w:t>
      </w:r>
    </w:p>
    <w:p w14:paraId="7A61C32D" w14:textId="77777777" w:rsidR="004D0118" w:rsidRPr="004D0118" w:rsidRDefault="004D0118" w:rsidP="004D0118">
      <w:pPr>
        <w:spacing w:line="480" w:lineRule="auto"/>
      </w:pPr>
      <w:r w:rsidRPr="004D0118">
        <w:t>and the ways in which degree offers, and enrollment patterns have evolved in the year 2022,</w:t>
      </w:r>
    </w:p>
    <w:p w14:paraId="13897DF3" w14:textId="77777777" w:rsidR="004D0118" w:rsidRPr="004D0118" w:rsidRDefault="004D0118" w:rsidP="004D0118">
      <w:pPr>
        <w:spacing w:line="480" w:lineRule="auto"/>
      </w:pPr>
      <w:r w:rsidRPr="004D0118">
        <w:t>across various kinds of US higher education institutions. We are working on Integrated</w:t>
      </w:r>
    </w:p>
    <w:p w14:paraId="1CB19CA2" w14:textId="349F642E" w:rsidR="004D0118" w:rsidRPr="004D0118" w:rsidRDefault="004D0118" w:rsidP="004D0118">
      <w:pPr>
        <w:spacing w:line="480" w:lineRule="auto"/>
      </w:pPr>
      <w:r w:rsidRPr="004D0118">
        <w:t>Postsecondary Education Data System (</w:t>
      </w:r>
      <w:hyperlink r:id="rId5" w:history="1">
        <w:r w:rsidRPr="004D0118">
          <w:rPr>
            <w:rStyle w:val="Hyperlink"/>
          </w:rPr>
          <w:t>IPEDS</w:t>
        </w:r>
      </w:hyperlink>
      <w:r w:rsidRPr="004D0118">
        <w:t>) dataset, which provides comprehensive</w:t>
      </w:r>
    </w:p>
    <w:p w14:paraId="64D2C605" w14:textId="77777777" w:rsidR="004D0118" w:rsidRPr="004D0118" w:rsidRDefault="004D0118" w:rsidP="004D0118">
      <w:pPr>
        <w:spacing w:line="480" w:lineRule="auto"/>
      </w:pPr>
      <w:r w:rsidRPr="004D0118">
        <w:lastRenderedPageBreak/>
        <w:t>information on institutional characteristics, admissions and test scores, financial aid, enrollment,</w:t>
      </w:r>
    </w:p>
    <w:p w14:paraId="05039F7D" w14:textId="77777777" w:rsidR="004D0118" w:rsidRPr="004D0118" w:rsidRDefault="004D0118" w:rsidP="004D0118">
      <w:pPr>
        <w:spacing w:line="480" w:lineRule="auto"/>
      </w:pPr>
      <w:r w:rsidRPr="004D0118">
        <w:t>graduation rates, and more. This dataset combines data from various sources to focus on</w:t>
      </w:r>
    </w:p>
    <w:p w14:paraId="68990E10" w14:textId="59290909" w:rsidR="004D0118" w:rsidRPr="004D0118" w:rsidRDefault="004D0118" w:rsidP="00444C1F">
      <w:pPr>
        <w:spacing w:line="480" w:lineRule="auto"/>
      </w:pPr>
      <w:r w:rsidRPr="004D0118">
        <w:t xml:space="preserve">enrollment trends and factors influencing enrollment at institutions. </w:t>
      </w:r>
    </w:p>
    <w:p w14:paraId="1E781451" w14:textId="010D29C7" w:rsidR="004D0118" w:rsidRPr="004D0118" w:rsidRDefault="004D0118" w:rsidP="004D0118">
      <w:pPr>
        <w:spacing w:line="480" w:lineRule="auto"/>
      </w:pPr>
      <w:r w:rsidRPr="004D0118">
        <w:t xml:space="preserve">Through our research, we </w:t>
      </w:r>
      <w:r w:rsidR="00616D2C">
        <w:t>have</w:t>
      </w:r>
      <w:r w:rsidRPr="004D0118">
        <w:t xml:space="preserve"> investigate</w:t>
      </w:r>
      <w:r w:rsidR="00616D2C">
        <w:t>d</w:t>
      </w:r>
      <w:r w:rsidRPr="004D0118">
        <w:t xml:space="preserve"> the patterns of enrollment in different kinds of higher</w:t>
      </w:r>
      <w:r w:rsidR="00616D2C">
        <w:t xml:space="preserve"> </w:t>
      </w:r>
      <w:r w:rsidRPr="004D0118">
        <w:t>education institutions (public, private for example), determine the economic, demographic, and</w:t>
      </w:r>
      <w:r w:rsidR="00616D2C">
        <w:t xml:space="preserve"> </w:t>
      </w:r>
      <w:r w:rsidRPr="004D0118">
        <w:t>policy-related elements that have impacted the enrollment. Our research is about changing</w:t>
      </w:r>
      <w:r w:rsidR="00616D2C">
        <w:t xml:space="preserve"> </w:t>
      </w:r>
      <w:r w:rsidRPr="004D0118">
        <w:t>pattern in educational institutions in the United States. So, our research can help in strategic</w:t>
      </w:r>
      <w:r w:rsidR="00616D2C">
        <w:t xml:space="preserve"> </w:t>
      </w:r>
      <w:r w:rsidRPr="004D0118">
        <w:t>planning, improving facilities, policies. The knowledge acquired can assist stakeholders in higher</w:t>
      </w:r>
      <w:r w:rsidR="00616D2C">
        <w:t xml:space="preserve"> </w:t>
      </w:r>
      <w:r w:rsidRPr="004D0118">
        <w:t>education, such as administrators, legislators, and potential students. As students, we have done</w:t>
      </w:r>
      <w:r w:rsidR="00616D2C">
        <w:t xml:space="preserve"> </w:t>
      </w:r>
      <w:r w:rsidRPr="004D0118">
        <w:t>lot of research while joining masters, by checking the universities, locations, tuition fees,</w:t>
      </w:r>
      <w:r w:rsidR="00616D2C">
        <w:t xml:space="preserve"> </w:t>
      </w:r>
      <w:r w:rsidRPr="004D0118">
        <w:t>weather, student-faculty ratio etc. We are trying to explore the same features with the educational</w:t>
      </w:r>
      <w:r w:rsidR="00616D2C">
        <w:t xml:space="preserve"> </w:t>
      </w:r>
      <w:r w:rsidRPr="004D0118">
        <w:t>institutions that we have in the dataset.</w:t>
      </w:r>
      <w:r w:rsidR="00616D2C">
        <w:t xml:space="preserve"> </w:t>
      </w:r>
      <w:r w:rsidR="00616D2C" w:rsidRPr="00F22DB1">
        <w:t>The knowledge acquired can also assist stakeholders in higher education, such as administrators, legislators, and potential students, in more effectively navigating the industry's shifting dynamics.</w:t>
      </w:r>
      <w:r w:rsidR="00616D2C" w:rsidRPr="00F22DB1">
        <w:br/>
      </w:r>
    </w:p>
    <w:p w14:paraId="7FE7755D" w14:textId="789BBAC0" w:rsidR="00BD2F36" w:rsidRPr="00E3490A" w:rsidRDefault="00BD2F36" w:rsidP="00BD2F36">
      <w:pPr>
        <w:spacing w:line="480" w:lineRule="auto"/>
        <w:jc w:val="center"/>
        <w:rPr>
          <w:b/>
          <w:bCs/>
          <w:u w:val="single"/>
        </w:rPr>
      </w:pPr>
      <w:r w:rsidRPr="00E3490A">
        <w:rPr>
          <w:b/>
          <w:bCs/>
          <w:u w:val="single"/>
        </w:rPr>
        <w:t>LITERATURE REVIEW</w:t>
      </w:r>
    </w:p>
    <w:p w14:paraId="11677776" w14:textId="6D2A5D30" w:rsidR="00444C1F" w:rsidRDefault="00444C1F" w:rsidP="00444C1F">
      <w:pPr>
        <w:spacing w:line="480" w:lineRule="auto"/>
        <w:jc w:val="both"/>
      </w:pPr>
      <w:r w:rsidRPr="00F22DB1">
        <w:t>In recent years, there has been a lot of interest in using learning analytics and educational data mining techniques to extract knowledge from huge educational datasets. Numerous studies have examined the state of these topics and how they are used in higher education.</w:t>
      </w:r>
    </w:p>
    <w:p w14:paraId="25F8DFE6" w14:textId="77777777" w:rsidR="001D5800" w:rsidRDefault="001D5800" w:rsidP="001D5800">
      <w:pPr>
        <w:spacing w:line="480" w:lineRule="auto"/>
        <w:jc w:val="both"/>
      </w:pPr>
      <w:r w:rsidRPr="001D5800">
        <w:rPr>
          <w:i/>
          <w:iCs/>
        </w:rPr>
        <w:t>Romero and Ventura (2024)</w:t>
      </w:r>
      <w:r>
        <w:t xml:space="preserve"> offer a current overview of learning analytics and educational data</w:t>
      </w:r>
    </w:p>
    <w:p w14:paraId="57B24748" w14:textId="77777777" w:rsidR="001D5800" w:rsidRDefault="001D5800" w:rsidP="001D5800">
      <w:pPr>
        <w:spacing w:line="480" w:lineRule="auto"/>
        <w:jc w:val="both"/>
      </w:pPr>
      <w:r>
        <w:t>mining, covering current approaches and trends. He provided a broader overview of learning</w:t>
      </w:r>
    </w:p>
    <w:p w14:paraId="6D656EFE" w14:textId="77777777" w:rsidR="001D5800" w:rsidRDefault="001D5800" w:rsidP="001D5800">
      <w:pPr>
        <w:spacing w:line="480" w:lineRule="auto"/>
        <w:jc w:val="both"/>
      </w:pPr>
      <w:r>
        <w:t>analytics and educational data mining, addressing important techniques and resources.</w:t>
      </w:r>
    </w:p>
    <w:p w14:paraId="675FFE4E" w14:textId="77777777" w:rsidR="001D5800" w:rsidRDefault="001D5800" w:rsidP="001D5800">
      <w:pPr>
        <w:spacing w:line="480" w:lineRule="auto"/>
        <w:jc w:val="both"/>
      </w:pPr>
      <w:r>
        <w:t>Furthermore, a large-scale hierarchical dataset that may be used for tasks like knowledge tracing</w:t>
      </w:r>
    </w:p>
    <w:p w14:paraId="68ABF63D" w14:textId="77777777" w:rsidR="001D5800" w:rsidRDefault="001D5800" w:rsidP="001D5800">
      <w:pPr>
        <w:spacing w:line="480" w:lineRule="auto"/>
        <w:jc w:val="both"/>
      </w:pPr>
      <w:r>
        <w:lastRenderedPageBreak/>
        <w:t>in interactive educational systems is provided by the EdNet dataset, which was first presented by</w:t>
      </w:r>
    </w:p>
    <w:p w14:paraId="6BFE29E6" w14:textId="72164B23" w:rsidR="00F437E1" w:rsidRPr="00866F0E" w:rsidRDefault="001D5800" w:rsidP="00F437E1">
      <w:pPr>
        <w:spacing w:line="480" w:lineRule="auto"/>
        <w:jc w:val="both"/>
      </w:pPr>
      <w:r w:rsidRPr="001D5800">
        <w:rPr>
          <w:i/>
          <w:iCs/>
        </w:rPr>
        <w:t>Lee et al. (2024).</w:t>
      </w:r>
      <w:r w:rsidR="00866F0E">
        <w:rPr>
          <w:i/>
          <w:iCs/>
        </w:rPr>
        <w:t xml:space="preserve"> </w:t>
      </w:r>
      <w:r w:rsidR="00866F0E" w:rsidRPr="00866F0E">
        <w:t xml:space="preserve">Additionally, </w:t>
      </w:r>
      <w:r w:rsidR="00F75A9C" w:rsidRPr="00F75A9C">
        <w:rPr>
          <w:i/>
          <w:iCs/>
        </w:rPr>
        <w:t xml:space="preserve">Gašević, D., Dawson, S. &amp; Siemens, G </w:t>
      </w:r>
      <w:r w:rsidR="00866F0E" w:rsidRPr="00866F0E">
        <w:rPr>
          <w:i/>
          <w:iCs/>
        </w:rPr>
        <w:t>(201</w:t>
      </w:r>
      <w:r w:rsidR="00F75A9C">
        <w:rPr>
          <w:i/>
          <w:iCs/>
        </w:rPr>
        <w:t>5</w:t>
      </w:r>
      <w:r w:rsidR="00866F0E" w:rsidRPr="00866F0E">
        <w:rPr>
          <w:i/>
          <w:iCs/>
        </w:rPr>
        <w:t xml:space="preserve">) </w:t>
      </w:r>
      <w:r w:rsidR="00866F0E" w:rsidRPr="00866F0E">
        <w:t>delve into the potential of learning analytics to transform higher education. They discuss how learning analytics can be used to enhance student engagement, personalize learning experiences, and improve instructional practices. Their work emphasizes the importance of data-driven decision-making in higher education.</w:t>
      </w:r>
    </w:p>
    <w:p w14:paraId="75E5F150" w14:textId="3BB3F993" w:rsidR="00444C1F" w:rsidRDefault="00444C1F" w:rsidP="00A43DB7">
      <w:pPr>
        <w:spacing w:line="480" w:lineRule="auto"/>
        <w:jc w:val="both"/>
        <w:rPr>
          <w:i/>
          <w:iCs/>
        </w:rPr>
      </w:pPr>
      <w:r w:rsidRPr="00F22DB1">
        <w:t>Examining the most recent developments and projected trends in the application of learning analytics in higher education, also examines the impact of data-driven decision-making on the education sector. Data science approaches are used to investigate the integration of adaptive learning systems.</w:t>
      </w:r>
      <w:r w:rsidR="00A43DB7">
        <w:rPr>
          <w:i/>
          <w:iCs/>
        </w:rPr>
        <w:t xml:space="preserve"> </w:t>
      </w:r>
      <w:r w:rsidRPr="00F22DB1">
        <w:t>While the use of data science technology to enhance student learning outcomes, talk about the analytics and research methods involved in exploiting big data in education</w:t>
      </w:r>
      <w:r w:rsidRPr="00F22DB1">
        <w:rPr>
          <w:i/>
          <w:iCs/>
        </w:rPr>
        <w:t>.</w:t>
      </w:r>
    </w:p>
    <w:p w14:paraId="51D79E0B" w14:textId="77777777" w:rsidR="008137B1" w:rsidRPr="00A43DB7" w:rsidRDefault="008137B1" w:rsidP="00A43DB7">
      <w:pPr>
        <w:spacing w:line="480" w:lineRule="auto"/>
        <w:jc w:val="both"/>
        <w:rPr>
          <w:i/>
          <w:iCs/>
        </w:rPr>
      </w:pPr>
    </w:p>
    <w:p w14:paraId="1A110166" w14:textId="21E98ECC" w:rsidR="00BD2F36" w:rsidRPr="00E3490A" w:rsidRDefault="00BD2F36" w:rsidP="00BD2F36">
      <w:pPr>
        <w:spacing w:line="480" w:lineRule="auto"/>
        <w:jc w:val="center"/>
        <w:rPr>
          <w:b/>
          <w:bCs/>
          <w:u w:val="single"/>
        </w:rPr>
      </w:pPr>
      <w:r w:rsidRPr="00E3490A">
        <w:rPr>
          <w:b/>
          <w:bCs/>
          <w:u w:val="single"/>
        </w:rPr>
        <w:t>METHODOLOGY</w:t>
      </w:r>
    </w:p>
    <w:p w14:paraId="5E659C37" w14:textId="53DEE5B1" w:rsidR="00444C1F" w:rsidRDefault="00444C1F" w:rsidP="00444C1F">
      <w:pPr>
        <w:spacing w:line="480" w:lineRule="auto"/>
        <w:jc w:val="both"/>
      </w:pPr>
      <w:r w:rsidRPr="00F22DB1">
        <w:t xml:space="preserve">The </w:t>
      </w:r>
      <w:hyperlink r:id="rId6" w:history="1">
        <w:r w:rsidRPr="00444C1F">
          <w:rPr>
            <w:rStyle w:val="Hyperlink"/>
          </w:rPr>
          <w:t>IPEDS</w:t>
        </w:r>
      </w:hyperlink>
      <w:r w:rsidRPr="00F22DB1">
        <w:t xml:space="preserve"> dataset, offers extensive data on enrollment, financial aid, test and admission scores, graduation rates, and other topics, is what we are focusing on. To concentrate on enrollment trends and the variables affecting enrollment at universities, th</w:t>
      </w:r>
      <w:r>
        <w:t>e</w:t>
      </w:r>
      <w:r w:rsidRPr="00F22DB1">
        <w:t xml:space="preserve"> dataset </w:t>
      </w:r>
      <w:r>
        <w:t xml:space="preserve">is </w:t>
      </w:r>
      <w:r w:rsidRPr="00F22DB1">
        <w:t>integrate</w:t>
      </w:r>
      <w:r>
        <w:t>d</w:t>
      </w:r>
      <w:r w:rsidRPr="00F22DB1">
        <w:t xml:space="preserve"> from multiple sources</w:t>
      </w:r>
      <w:r w:rsidRPr="00F22DB1">
        <w:rPr>
          <w:i/>
          <w:iCs/>
        </w:rPr>
        <w:t>. </w:t>
      </w:r>
      <w:r w:rsidRPr="00F22DB1">
        <w:t>It contains information on 6,256 universities across the United States for the year 2022, with 30 columns detailing key aspects such as institution ID, name, location, state, region, enrollment numbers, admissions, applications, instructional staff, and graduate counts.</w:t>
      </w:r>
    </w:p>
    <w:p w14:paraId="2B0ADA1B" w14:textId="472FBC8D" w:rsidR="00455AB0" w:rsidRPr="00F22DB1" w:rsidRDefault="00444C1F" w:rsidP="00BD2F36">
      <w:pPr>
        <w:spacing w:line="480" w:lineRule="auto"/>
        <w:jc w:val="both"/>
      </w:pPr>
      <w:r w:rsidRPr="00444C1F">
        <w:t>To aggregate the data, we used Excel’s VLOOKUP function, referencing UNITID, the unique</w:t>
      </w:r>
      <w:r w:rsidRPr="00444C1F">
        <w:br/>
        <w:t>identifier for each institution. In the final dataset, we encountered numerous missing and</w:t>
      </w:r>
      <w:r w:rsidRPr="00444C1F">
        <w:br/>
        <w:t>negative values. Negative values indicated unavailable or irrelevant data, so we replaced these</w:t>
      </w:r>
      <w:r w:rsidRPr="00444C1F">
        <w:br/>
        <w:t>with 0. While there were no outliers, several rows had substantial missing data. We removed</w:t>
      </w:r>
      <w:r w:rsidRPr="00444C1F">
        <w:br/>
      </w:r>
      <w:r w:rsidRPr="00444C1F">
        <w:lastRenderedPageBreak/>
        <w:t>rows with more than 15 missing values, resulting in a dataset of 5,721 rows. For the remaining</w:t>
      </w:r>
      <w:r w:rsidRPr="00444C1F">
        <w:br/>
        <w:t>missing values, we filled them using the minimum value of each column within each region, as</w:t>
      </w:r>
      <w:r w:rsidRPr="00444C1F">
        <w:br/>
        <w:t>region is a significant factor influencing students’ choices. The final dataset has a shape of</w:t>
      </w:r>
      <w:r w:rsidRPr="00444C1F">
        <w:br/>
        <w:t>(5721,30).</w:t>
      </w:r>
      <w:r w:rsidRPr="00444C1F">
        <w:br/>
        <w:t>Target variable in our dataset is ‘ENRLT’, which is the total number of enrollments in each</w:t>
      </w:r>
      <w:r w:rsidRPr="00444C1F">
        <w:br/>
        <w:t>institute. Factors affecting our target variable are 'APPLCN', 'ADMSSN', 'ENRLT', 'SAINSTT',</w:t>
      </w:r>
      <w:r w:rsidRPr="00444C1F">
        <w:br/>
        <w:t>'GRTOTLT', 'NPIST2'. We created a</w:t>
      </w:r>
      <w:r>
        <w:t xml:space="preserve"> </w:t>
      </w:r>
      <w:r w:rsidRPr="00444C1F">
        <w:t>data dictionary for our dataset to provide a clear understanding of each column, including its</w:t>
      </w:r>
      <w:r>
        <w:t xml:space="preserve"> </w:t>
      </w:r>
      <w:r w:rsidRPr="00444C1F">
        <w:t>description and data type.</w:t>
      </w:r>
      <w:r w:rsidR="00455AB0" w:rsidRPr="00F22DB1">
        <w:fldChar w:fldCharType="begin"/>
      </w:r>
      <w:r w:rsidR="00455AB0" w:rsidRPr="00F22DB1">
        <w:instrText xml:space="preserve"> LINK Excel.Sheet.12 "C:\\Users\\kotam\\Downloads\\IPEDS_Dataset.xlsx" "Sheet2!R1C1:R30C3" \a \f 5 \h  \* MERGEFORMAT </w:instrText>
      </w:r>
      <w:r w:rsidR="00455AB0" w:rsidRPr="00F22DB1">
        <w:fldChar w:fldCharType="separate"/>
      </w:r>
    </w:p>
    <w:tbl>
      <w:tblPr>
        <w:tblStyle w:val="TableGrid"/>
        <w:tblW w:w="9715" w:type="dxa"/>
        <w:tblLook w:val="04A0" w:firstRow="1" w:lastRow="0" w:firstColumn="1" w:lastColumn="0" w:noHBand="0" w:noVBand="1"/>
      </w:tblPr>
      <w:tblGrid>
        <w:gridCol w:w="1615"/>
        <w:gridCol w:w="6950"/>
        <w:gridCol w:w="1150"/>
      </w:tblGrid>
      <w:tr w:rsidR="00455AB0" w:rsidRPr="00F22DB1" w14:paraId="31A21F60" w14:textId="77777777" w:rsidTr="00623FE5">
        <w:trPr>
          <w:trHeight w:val="288"/>
        </w:trPr>
        <w:tc>
          <w:tcPr>
            <w:tcW w:w="1615" w:type="dxa"/>
            <w:hideMark/>
          </w:tcPr>
          <w:p w14:paraId="5A5E0AE9" w14:textId="77777777" w:rsidR="00455AB0" w:rsidRPr="00F22DB1" w:rsidRDefault="00455AB0" w:rsidP="00BD2F36">
            <w:pPr>
              <w:spacing w:line="480" w:lineRule="auto"/>
              <w:jc w:val="both"/>
              <w:rPr>
                <w:b/>
                <w:bCs/>
                <w:sz w:val="24"/>
                <w:szCs w:val="24"/>
              </w:rPr>
            </w:pPr>
            <w:r w:rsidRPr="00F22DB1">
              <w:rPr>
                <w:b/>
                <w:bCs/>
                <w:sz w:val="24"/>
                <w:szCs w:val="24"/>
              </w:rPr>
              <w:t>Column Name</w:t>
            </w:r>
          </w:p>
        </w:tc>
        <w:tc>
          <w:tcPr>
            <w:tcW w:w="6950" w:type="dxa"/>
            <w:hideMark/>
          </w:tcPr>
          <w:p w14:paraId="64D562F6" w14:textId="77777777" w:rsidR="00455AB0" w:rsidRPr="00F22DB1" w:rsidRDefault="00455AB0" w:rsidP="00BD2F36">
            <w:pPr>
              <w:spacing w:line="480" w:lineRule="auto"/>
              <w:jc w:val="both"/>
              <w:rPr>
                <w:b/>
                <w:bCs/>
                <w:sz w:val="24"/>
                <w:szCs w:val="24"/>
              </w:rPr>
            </w:pPr>
            <w:r w:rsidRPr="00F22DB1">
              <w:rPr>
                <w:b/>
                <w:bCs/>
                <w:sz w:val="24"/>
                <w:szCs w:val="24"/>
              </w:rPr>
              <w:t>Description</w:t>
            </w:r>
          </w:p>
        </w:tc>
        <w:tc>
          <w:tcPr>
            <w:tcW w:w="1150" w:type="dxa"/>
            <w:hideMark/>
          </w:tcPr>
          <w:p w14:paraId="69425ACB" w14:textId="77777777" w:rsidR="00455AB0" w:rsidRPr="00F22DB1" w:rsidRDefault="00455AB0" w:rsidP="00BD2F36">
            <w:pPr>
              <w:spacing w:line="480" w:lineRule="auto"/>
              <w:jc w:val="both"/>
              <w:rPr>
                <w:b/>
                <w:bCs/>
                <w:sz w:val="24"/>
                <w:szCs w:val="24"/>
              </w:rPr>
            </w:pPr>
            <w:r w:rsidRPr="00F22DB1">
              <w:rPr>
                <w:b/>
                <w:bCs/>
                <w:sz w:val="24"/>
                <w:szCs w:val="24"/>
              </w:rPr>
              <w:t>Datatype</w:t>
            </w:r>
          </w:p>
        </w:tc>
      </w:tr>
      <w:tr w:rsidR="00455AB0" w:rsidRPr="00F22DB1" w14:paraId="5D8B8318" w14:textId="77777777" w:rsidTr="00623FE5">
        <w:trPr>
          <w:trHeight w:val="288"/>
        </w:trPr>
        <w:tc>
          <w:tcPr>
            <w:tcW w:w="1615" w:type="dxa"/>
          </w:tcPr>
          <w:p w14:paraId="339A627E" w14:textId="77777777" w:rsidR="00455AB0" w:rsidRPr="00F22DB1" w:rsidRDefault="00455AB0" w:rsidP="00BD2F36">
            <w:pPr>
              <w:spacing w:line="480" w:lineRule="auto"/>
              <w:jc w:val="both"/>
              <w:rPr>
                <w:sz w:val="24"/>
                <w:szCs w:val="24"/>
              </w:rPr>
            </w:pPr>
            <w:r w:rsidRPr="00F22DB1">
              <w:rPr>
                <w:sz w:val="24"/>
                <w:szCs w:val="24"/>
              </w:rPr>
              <w:t>UNITID</w:t>
            </w:r>
          </w:p>
        </w:tc>
        <w:tc>
          <w:tcPr>
            <w:tcW w:w="6950" w:type="dxa"/>
          </w:tcPr>
          <w:p w14:paraId="44C15397" w14:textId="77777777" w:rsidR="00455AB0" w:rsidRPr="00F22DB1" w:rsidRDefault="00455AB0" w:rsidP="00BD2F36">
            <w:pPr>
              <w:spacing w:line="480" w:lineRule="auto"/>
              <w:jc w:val="both"/>
              <w:rPr>
                <w:sz w:val="24"/>
                <w:szCs w:val="24"/>
              </w:rPr>
            </w:pPr>
            <w:r w:rsidRPr="00F22DB1">
              <w:rPr>
                <w:sz w:val="24"/>
                <w:szCs w:val="24"/>
              </w:rPr>
              <w:t>Institute ID</w:t>
            </w:r>
          </w:p>
        </w:tc>
        <w:tc>
          <w:tcPr>
            <w:tcW w:w="1150" w:type="dxa"/>
          </w:tcPr>
          <w:p w14:paraId="47B09D33"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13A4B069" w14:textId="77777777" w:rsidTr="00623FE5">
        <w:trPr>
          <w:trHeight w:val="288"/>
        </w:trPr>
        <w:tc>
          <w:tcPr>
            <w:tcW w:w="1615" w:type="dxa"/>
            <w:hideMark/>
          </w:tcPr>
          <w:p w14:paraId="4C311A31" w14:textId="77777777" w:rsidR="00455AB0" w:rsidRPr="00F22DB1" w:rsidRDefault="00455AB0" w:rsidP="00BD2F36">
            <w:pPr>
              <w:spacing w:line="480" w:lineRule="auto"/>
              <w:jc w:val="both"/>
              <w:rPr>
                <w:sz w:val="24"/>
                <w:szCs w:val="24"/>
              </w:rPr>
            </w:pPr>
            <w:r w:rsidRPr="00F22DB1">
              <w:rPr>
                <w:sz w:val="24"/>
                <w:szCs w:val="24"/>
              </w:rPr>
              <w:t>INSTNM</w:t>
            </w:r>
          </w:p>
        </w:tc>
        <w:tc>
          <w:tcPr>
            <w:tcW w:w="6950" w:type="dxa"/>
            <w:hideMark/>
          </w:tcPr>
          <w:p w14:paraId="12C6A7EA" w14:textId="77777777" w:rsidR="00455AB0" w:rsidRPr="00F22DB1" w:rsidRDefault="00455AB0" w:rsidP="00BD2F36">
            <w:pPr>
              <w:spacing w:line="480" w:lineRule="auto"/>
              <w:jc w:val="both"/>
              <w:rPr>
                <w:sz w:val="24"/>
                <w:szCs w:val="24"/>
              </w:rPr>
            </w:pPr>
            <w:r w:rsidRPr="00F22DB1">
              <w:rPr>
                <w:sz w:val="24"/>
                <w:szCs w:val="24"/>
              </w:rPr>
              <w:t>Institution Name</w:t>
            </w:r>
          </w:p>
        </w:tc>
        <w:tc>
          <w:tcPr>
            <w:tcW w:w="1150" w:type="dxa"/>
            <w:hideMark/>
          </w:tcPr>
          <w:p w14:paraId="6A2474E0" w14:textId="77777777" w:rsidR="00455AB0" w:rsidRPr="00F22DB1" w:rsidRDefault="00455AB0" w:rsidP="00BD2F36">
            <w:pPr>
              <w:spacing w:line="480" w:lineRule="auto"/>
              <w:jc w:val="both"/>
              <w:rPr>
                <w:sz w:val="24"/>
                <w:szCs w:val="24"/>
              </w:rPr>
            </w:pPr>
            <w:r w:rsidRPr="00F22DB1">
              <w:rPr>
                <w:sz w:val="24"/>
                <w:szCs w:val="24"/>
              </w:rPr>
              <w:t>STRING</w:t>
            </w:r>
          </w:p>
        </w:tc>
      </w:tr>
      <w:tr w:rsidR="00455AB0" w:rsidRPr="00F22DB1" w14:paraId="02010C12" w14:textId="77777777" w:rsidTr="00623FE5">
        <w:trPr>
          <w:trHeight w:val="288"/>
        </w:trPr>
        <w:tc>
          <w:tcPr>
            <w:tcW w:w="1615" w:type="dxa"/>
            <w:hideMark/>
          </w:tcPr>
          <w:p w14:paraId="3010695D" w14:textId="77777777" w:rsidR="00455AB0" w:rsidRPr="00F22DB1" w:rsidRDefault="00455AB0" w:rsidP="00BD2F36">
            <w:pPr>
              <w:spacing w:line="480" w:lineRule="auto"/>
              <w:jc w:val="both"/>
              <w:rPr>
                <w:sz w:val="24"/>
                <w:szCs w:val="24"/>
              </w:rPr>
            </w:pPr>
            <w:r w:rsidRPr="00F22DB1">
              <w:rPr>
                <w:sz w:val="24"/>
                <w:szCs w:val="24"/>
              </w:rPr>
              <w:t>ADDR</w:t>
            </w:r>
          </w:p>
        </w:tc>
        <w:tc>
          <w:tcPr>
            <w:tcW w:w="6950" w:type="dxa"/>
            <w:hideMark/>
          </w:tcPr>
          <w:p w14:paraId="00A6D7A0" w14:textId="77777777" w:rsidR="00455AB0" w:rsidRPr="00F22DB1" w:rsidRDefault="00455AB0" w:rsidP="00BD2F36">
            <w:pPr>
              <w:spacing w:line="480" w:lineRule="auto"/>
              <w:jc w:val="both"/>
              <w:rPr>
                <w:sz w:val="24"/>
                <w:szCs w:val="24"/>
              </w:rPr>
            </w:pPr>
            <w:r w:rsidRPr="00F22DB1">
              <w:rPr>
                <w:sz w:val="24"/>
                <w:szCs w:val="24"/>
              </w:rPr>
              <w:t>Address of the institute</w:t>
            </w:r>
          </w:p>
        </w:tc>
        <w:tc>
          <w:tcPr>
            <w:tcW w:w="1150" w:type="dxa"/>
            <w:hideMark/>
          </w:tcPr>
          <w:p w14:paraId="1BAAC981" w14:textId="77777777" w:rsidR="00455AB0" w:rsidRPr="00F22DB1" w:rsidRDefault="00455AB0" w:rsidP="00BD2F36">
            <w:pPr>
              <w:spacing w:line="480" w:lineRule="auto"/>
              <w:jc w:val="both"/>
              <w:rPr>
                <w:sz w:val="24"/>
                <w:szCs w:val="24"/>
              </w:rPr>
            </w:pPr>
            <w:r w:rsidRPr="00F22DB1">
              <w:rPr>
                <w:sz w:val="24"/>
                <w:szCs w:val="24"/>
              </w:rPr>
              <w:t>STRING</w:t>
            </w:r>
          </w:p>
        </w:tc>
      </w:tr>
      <w:tr w:rsidR="00455AB0" w:rsidRPr="00F22DB1" w14:paraId="7AF305EF" w14:textId="77777777" w:rsidTr="00623FE5">
        <w:trPr>
          <w:trHeight w:val="288"/>
        </w:trPr>
        <w:tc>
          <w:tcPr>
            <w:tcW w:w="1615" w:type="dxa"/>
            <w:hideMark/>
          </w:tcPr>
          <w:p w14:paraId="7D38C1F9" w14:textId="77777777" w:rsidR="00455AB0" w:rsidRPr="00F22DB1" w:rsidRDefault="00455AB0" w:rsidP="00BD2F36">
            <w:pPr>
              <w:spacing w:line="480" w:lineRule="auto"/>
              <w:jc w:val="both"/>
              <w:rPr>
                <w:sz w:val="24"/>
                <w:szCs w:val="24"/>
              </w:rPr>
            </w:pPr>
            <w:r w:rsidRPr="00F22DB1">
              <w:rPr>
                <w:sz w:val="24"/>
                <w:szCs w:val="24"/>
              </w:rPr>
              <w:t>CITY</w:t>
            </w:r>
          </w:p>
        </w:tc>
        <w:tc>
          <w:tcPr>
            <w:tcW w:w="6950" w:type="dxa"/>
            <w:hideMark/>
          </w:tcPr>
          <w:p w14:paraId="05767532" w14:textId="77777777" w:rsidR="00455AB0" w:rsidRPr="00F22DB1" w:rsidRDefault="00455AB0" w:rsidP="00BD2F36">
            <w:pPr>
              <w:spacing w:line="480" w:lineRule="auto"/>
              <w:jc w:val="both"/>
              <w:rPr>
                <w:sz w:val="24"/>
                <w:szCs w:val="24"/>
              </w:rPr>
            </w:pPr>
            <w:r w:rsidRPr="00F22DB1">
              <w:rPr>
                <w:sz w:val="24"/>
                <w:szCs w:val="24"/>
              </w:rPr>
              <w:t xml:space="preserve">City </w:t>
            </w:r>
          </w:p>
        </w:tc>
        <w:tc>
          <w:tcPr>
            <w:tcW w:w="1150" w:type="dxa"/>
            <w:hideMark/>
          </w:tcPr>
          <w:p w14:paraId="2C7AB809" w14:textId="77777777" w:rsidR="00455AB0" w:rsidRPr="00F22DB1" w:rsidRDefault="00455AB0" w:rsidP="00BD2F36">
            <w:pPr>
              <w:spacing w:line="480" w:lineRule="auto"/>
              <w:jc w:val="both"/>
              <w:rPr>
                <w:sz w:val="24"/>
                <w:szCs w:val="24"/>
              </w:rPr>
            </w:pPr>
            <w:r w:rsidRPr="00F22DB1">
              <w:rPr>
                <w:sz w:val="24"/>
                <w:szCs w:val="24"/>
              </w:rPr>
              <w:t>STRING</w:t>
            </w:r>
          </w:p>
        </w:tc>
      </w:tr>
      <w:tr w:rsidR="00455AB0" w:rsidRPr="00F22DB1" w14:paraId="00A501FE" w14:textId="77777777" w:rsidTr="00623FE5">
        <w:trPr>
          <w:trHeight w:val="288"/>
        </w:trPr>
        <w:tc>
          <w:tcPr>
            <w:tcW w:w="1615" w:type="dxa"/>
            <w:hideMark/>
          </w:tcPr>
          <w:p w14:paraId="5837ABC4" w14:textId="77777777" w:rsidR="00455AB0" w:rsidRPr="00F22DB1" w:rsidRDefault="00455AB0" w:rsidP="00BD2F36">
            <w:pPr>
              <w:spacing w:line="480" w:lineRule="auto"/>
              <w:jc w:val="both"/>
              <w:rPr>
                <w:sz w:val="24"/>
                <w:szCs w:val="24"/>
              </w:rPr>
            </w:pPr>
            <w:r w:rsidRPr="00F22DB1">
              <w:rPr>
                <w:sz w:val="24"/>
                <w:szCs w:val="24"/>
              </w:rPr>
              <w:t>STABBR</w:t>
            </w:r>
          </w:p>
        </w:tc>
        <w:tc>
          <w:tcPr>
            <w:tcW w:w="6950" w:type="dxa"/>
            <w:hideMark/>
          </w:tcPr>
          <w:p w14:paraId="6AC5677A" w14:textId="77777777" w:rsidR="00455AB0" w:rsidRPr="00F22DB1" w:rsidRDefault="00455AB0" w:rsidP="00BD2F36">
            <w:pPr>
              <w:spacing w:line="480" w:lineRule="auto"/>
              <w:jc w:val="both"/>
              <w:rPr>
                <w:sz w:val="24"/>
                <w:szCs w:val="24"/>
              </w:rPr>
            </w:pPr>
            <w:r w:rsidRPr="00F22DB1">
              <w:rPr>
                <w:sz w:val="24"/>
                <w:szCs w:val="24"/>
              </w:rPr>
              <w:t>State</w:t>
            </w:r>
          </w:p>
        </w:tc>
        <w:tc>
          <w:tcPr>
            <w:tcW w:w="1150" w:type="dxa"/>
            <w:hideMark/>
          </w:tcPr>
          <w:p w14:paraId="321F9507" w14:textId="77777777" w:rsidR="00455AB0" w:rsidRPr="00F22DB1" w:rsidRDefault="00455AB0" w:rsidP="00BD2F36">
            <w:pPr>
              <w:spacing w:line="480" w:lineRule="auto"/>
              <w:jc w:val="both"/>
              <w:rPr>
                <w:sz w:val="24"/>
                <w:szCs w:val="24"/>
              </w:rPr>
            </w:pPr>
            <w:r w:rsidRPr="00F22DB1">
              <w:rPr>
                <w:sz w:val="24"/>
                <w:szCs w:val="24"/>
              </w:rPr>
              <w:t>STRING</w:t>
            </w:r>
          </w:p>
        </w:tc>
      </w:tr>
      <w:tr w:rsidR="00455AB0" w:rsidRPr="00F22DB1" w14:paraId="7EC2FD59" w14:textId="77777777" w:rsidTr="00623FE5">
        <w:trPr>
          <w:trHeight w:val="288"/>
        </w:trPr>
        <w:tc>
          <w:tcPr>
            <w:tcW w:w="1615" w:type="dxa"/>
            <w:hideMark/>
          </w:tcPr>
          <w:p w14:paraId="554A1595" w14:textId="77777777" w:rsidR="00455AB0" w:rsidRPr="00F22DB1" w:rsidRDefault="00455AB0" w:rsidP="00BD2F36">
            <w:pPr>
              <w:spacing w:line="480" w:lineRule="auto"/>
              <w:jc w:val="both"/>
              <w:rPr>
                <w:sz w:val="24"/>
                <w:szCs w:val="24"/>
              </w:rPr>
            </w:pPr>
            <w:r w:rsidRPr="00F22DB1">
              <w:rPr>
                <w:sz w:val="24"/>
                <w:szCs w:val="24"/>
              </w:rPr>
              <w:t>APPLCN</w:t>
            </w:r>
          </w:p>
        </w:tc>
        <w:tc>
          <w:tcPr>
            <w:tcW w:w="6950" w:type="dxa"/>
            <w:hideMark/>
          </w:tcPr>
          <w:p w14:paraId="162AEAB2" w14:textId="77777777" w:rsidR="00455AB0" w:rsidRPr="00F22DB1" w:rsidRDefault="00455AB0" w:rsidP="00BD2F36">
            <w:pPr>
              <w:spacing w:line="480" w:lineRule="auto"/>
              <w:jc w:val="both"/>
              <w:rPr>
                <w:sz w:val="24"/>
                <w:szCs w:val="24"/>
              </w:rPr>
            </w:pPr>
            <w:r w:rsidRPr="00F22DB1">
              <w:rPr>
                <w:sz w:val="24"/>
                <w:szCs w:val="24"/>
              </w:rPr>
              <w:t>Total number of applications</w:t>
            </w:r>
          </w:p>
        </w:tc>
        <w:tc>
          <w:tcPr>
            <w:tcW w:w="1150" w:type="dxa"/>
            <w:hideMark/>
          </w:tcPr>
          <w:p w14:paraId="077A6D62"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5C64DE30" w14:textId="77777777" w:rsidTr="00623FE5">
        <w:trPr>
          <w:trHeight w:val="332"/>
        </w:trPr>
        <w:tc>
          <w:tcPr>
            <w:tcW w:w="1615" w:type="dxa"/>
            <w:hideMark/>
          </w:tcPr>
          <w:p w14:paraId="197E3ABE" w14:textId="77777777" w:rsidR="00455AB0" w:rsidRPr="00F22DB1" w:rsidRDefault="00455AB0" w:rsidP="00BD2F36">
            <w:pPr>
              <w:spacing w:line="480" w:lineRule="auto"/>
              <w:jc w:val="both"/>
              <w:rPr>
                <w:sz w:val="24"/>
                <w:szCs w:val="24"/>
              </w:rPr>
            </w:pPr>
            <w:r w:rsidRPr="00F22DB1">
              <w:rPr>
                <w:sz w:val="24"/>
                <w:szCs w:val="24"/>
              </w:rPr>
              <w:t>APPLCNM</w:t>
            </w:r>
          </w:p>
        </w:tc>
        <w:tc>
          <w:tcPr>
            <w:tcW w:w="6950" w:type="dxa"/>
            <w:hideMark/>
          </w:tcPr>
          <w:p w14:paraId="1AA044CC" w14:textId="77777777" w:rsidR="00455AB0" w:rsidRPr="00F22DB1" w:rsidRDefault="00455AB0" w:rsidP="00BD2F36">
            <w:pPr>
              <w:spacing w:line="480" w:lineRule="auto"/>
              <w:jc w:val="both"/>
              <w:rPr>
                <w:sz w:val="24"/>
                <w:szCs w:val="24"/>
              </w:rPr>
            </w:pPr>
            <w:r w:rsidRPr="00F22DB1">
              <w:rPr>
                <w:sz w:val="24"/>
                <w:szCs w:val="24"/>
              </w:rPr>
              <w:t>Total number of applications - Men</w:t>
            </w:r>
          </w:p>
        </w:tc>
        <w:tc>
          <w:tcPr>
            <w:tcW w:w="1150" w:type="dxa"/>
            <w:hideMark/>
          </w:tcPr>
          <w:p w14:paraId="117BFB50"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53902FB8" w14:textId="77777777" w:rsidTr="00623FE5">
        <w:trPr>
          <w:trHeight w:val="359"/>
        </w:trPr>
        <w:tc>
          <w:tcPr>
            <w:tcW w:w="1615" w:type="dxa"/>
            <w:hideMark/>
          </w:tcPr>
          <w:p w14:paraId="24ACC522" w14:textId="77777777" w:rsidR="00455AB0" w:rsidRPr="00F22DB1" w:rsidRDefault="00455AB0" w:rsidP="00BD2F36">
            <w:pPr>
              <w:spacing w:line="480" w:lineRule="auto"/>
              <w:jc w:val="both"/>
              <w:rPr>
                <w:sz w:val="24"/>
                <w:szCs w:val="24"/>
              </w:rPr>
            </w:pPr>
            <w:r w:rsidRPr="00F22DB1">
              <w:rPr>
                <w:sz w:val="24"/>
                <w:szCs w:val="24"/>
              </w:rPr>
              <w:t>APPLCNW</w:t>
            </w:r>
          </w:p>
        </w:tc>
        <w:tc>
          <w:tcPr>
            <w:tcW w:w="6950" w:type="dxa"/>
            <w:hideMark/>
          </w:tcPr>
          <w:p w14:paraId="13138032" w14:textId="77777777" w:rsidR="00455AB0" w:rsidRPr="00F22DB1" w:rsidRDefault="00455AB0" w:rsidP="00BD2F36">
            <w:pPr>
              <w:spacing w:line="480" w:lineRule="auto"/>
              <w:jc w:val="both"/>
              <w:rPr>
                <w:sz w:val="24"/>
                <w:szCs w:val="24"/>
              </w:rPr>
            </w:pPr>
            <w:r w:rsidRPr="00F22DB1">
              <w:rPr>
                <w:sz w:val="24"/>
                <w:szCs w:val="24"/>
              </w:rPr>
              <w:t>Total number of applications - Women</w:t>
            </w:r>
          </w:p>
        </w:tc>
        <w:tc>
          <w:tcPr>
            <w:tcW w:w="1150" w:type="dxa"/>
            <w:hideMark/>
          </w:tcPr>
          <w:p w14:paraId="6E29C5A5"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5FD5F20E" w14:textId="77777777" w:rsidTr="00623FE5">
        <w:trPr>
          <w:trHeight w:val="288"/>
        </w:trPr>
        <w:tc>
          <w:tcPr>
            <w:tcW w:w="1615" w:type="dxa"/>
            <w:hideMark/>
          </w:tcPr>
          <w:p w14:paraId="5D838B85" w14:textId="77777777" w:rsidR="00455AB0" w:rsidRPr="00F22DB1" w:rsidRDefault="00455AB0" w:rsidP="00BD2F36">
            <w:pPr>
              <w:spacing w:line="480" w:lineRule="auto"/>
              <w:jc w:val="both"/>
              <w:rPr>
                <w:sz w:val="24"/>
                <w:szCs w:val="24"/>
              </w:rPr>
            </w:pPr>
            <w:r w:rsidRPr="00F22DB1">
              <w:rPr>
                <w:sz w:val="24"/>
                <w:szCs w:val="24"/>
              </w:rPr>
              <w:t>ADMSSN</w:t>
            </w:r>
          </w:p>
        </w:tc>
        <w:tc>
          <w:tcPr>
            <w:tcW w:w="6950" w:type="dxa"/>
            <w:hideMark/>
          </w:tcPr>
          <w:p w14:paraId="1A8C59D1" w14:textId="77777777" w:rsidR="00455AB0" w:rsidRPr="00F22DB1" w:rsidRDefault="00455AB0" w:rsidP="00BD2F36">
            <w:pPr>
              <w:spacing w:line="480" w:lineRule="auto"/>
              <w:jc w:val="both"/>
              <w:rPr>
                <w:sz w:val="24"/>
                <w:szCs w:val="24"/>
              </w:rPr>
            </w:pPr>
            <w:r w:rsidRPr="00F22DB1">
              <w:rPr>
                <w:sz w:val="24"/>
                <w:szCs w:val="24"/>
              </w:rPr>
              <w:t>Total number of admissions</w:t>
            </w:r>
          </w:p>
        </w:tc>
        <w:tc>
          <w:tcPr>
            <w:tcW w:w="1150" w:type="dxa"/>
            <w:hideMark/>
          </w:tcPr>
          <w:p w14:paraId="155E5B01"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4C4D619C" w14:textId="77777777" w:rsidTr="00623FE5">
        <w:trPr>
          <w:trHeight w:val="576"/>
        </w:trPr>
        <w:tc>
          <w:tcPr>
            <w:tcW w:w="1615" w:type="dxa"/>
            <w:hideMark/>
          </w:tcPr>
          <w:p w14:paraId="2DB3E1DF" w14:textId="77777777" w:rsidR="00455AB0" w:rsidRPr="00F22DB1" w:rsidRDefault="00455AB0" w:rsidP="00BD2F36">
            <w:pPr>
              <w:spacing w:line="480" w:lineRule="auto"/>
              <w:jc w:val="both"/>
              <w:rPr>
                <w:sz w:val="24"/>
                <w:szCs w:val="24"/>
              </w:rPr>
            </w:pPr>
            <w:r w:rsidRPr="00F22DB1">
              <w:rPr>
                <w:sz w:val="24"/>
                <w:szCs w:val="24"/>
              </w:rPr>
              <w:t>ADMSSNM</w:t>
            </w:r>
          </w:p>
        </w:tc>
        <w:tc>
          <w:tcPr>
            <w:tcW w:w="6950" w:type="dxa"/>
            <w:hideMark/>
          </w:tcPr>
          <w:p w14:paraId="68ECF93B" w14:textId="77777777" w:rsidR="00455AB0" w:rsidRPr="00F22DB1" w:rsidRDefault="00455AB0" w:rsidP="00BD2F36">
            <w:pPr>
              <w:spacing w:line="480" w:lineRule="auto"/>
              <w:jc w:val="both"/>
              <w:rPr>
                <w:sz w:val="24"/>
                <w:szCs w:val="24"/>
              </w:rPr>
            </w:pPr>
            <w:r w:rsidRPr="00F22DB1">
              <w:rPr>
                <w:sz w:val="24"/>
                <w:szCs w:val="24"/>
              </w:rPr>
              <w:t xml:space="preserve"> Total number of admissions - Men</w:t>
            </w:r>
          </w:p>
        </w:tc>
        <w:tc>
          <w:tcPr>
            <w:tcW w:w="1150" w:type="dxa"/>
            <w:hideMark/>
          </w:tcPr>
          <w:p w14:paraId="662248BD"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606904C5" w14:textId="77777777" w:rsidTr="00623FE5">
        <w:trPr>
          <w:trHeight w:val="350"/>
        </w:trPr>
        <w:tc>
          <w:tcPr>
            <w:tcW w:w="1615" w:type="dxa"/>
            <w:hideMark/>
          </w:tcPr>
          <w:p w14:paraId="4FA68D8A" w14:textId="77777777" w:rsidR="00455AB0" w:rsidRPr="00F22DB1" w:rsidRDefault="00455AB0" w:rsidP="00BD2F36">
            <w:pPr>
              <w:spacing w:line="480" w:lineRule="auto"/>
              <w:jc w:val="both"/>
              <w:rPr>
                <w:sz w:val="24"/>
                <w:szCs w:val="24"/>
              </w:rPr>
            </w:pPr>
            <w:r w:rsidRPr="00F22DB1">
              <w:rPr>
                <w:sz w:val="24"/>
                <w:szCs w:val="24"/>
              </w:rPr>
              <w:t>ADMSSNW</w:t>
            </w:r>
          </w:p>
        </w:tc>
        <w:tc>
          <w:tcPr>
            <w:tcW w:w="6950" w:type="dxa"/>
            <w:hideMark/>
          </w:tcPr>
          <w:p w14:paraId="4390C83D" w14:textId="77777777" w:rsidR="00455AB0" w:rsidRPr="00F22DB1" w:rsidRDefault="00455AB0" w:rsidP="00BD2F36">
            <w:pPr>
              <w:spacing w:line="480" w:lineRule="auto"/>
              <w:jc w:val="both"/>
              <w:rPr>
                <w:sz w:val="24"/>
                <w:szCs w:val="24"/>
              </w:rPr>
            </w:pPr>
            <w:r w:rsidRPr="00F22DB1">
              <w:rPr>
                <w:sz w:val="24"/>
                <w:szCs w:val="24"/>
              </w:rPr>
              <w:t>Total number of admissions - Women</w:t>
            </w:r>
          </w:p>
        </w:tc>
        <w:tc>
          <w:tcPr>
            <w:tcW w:w="1150" w:type="dxa"/>
            <w:hideMark/>
          </w:tcPr>
          <w:p w14:paraId="245EB596"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31F9FF9F" w14:textId="77777777" w:rsidTr="00623FE5">
        <w:trPr>
          <w:trHeight w:val="288"/>
        </w:trPr>
        <w:tc>
          <w:tcPr>
            <w:tcW w:w="1615" w:type="dxa"/>
            <w:hideMark/>
          </w:tcPr>
          <w:p w14:paraId="37E8EC22" w14:textId="77777777" w:rsidR="00455AB0" w:rsidRPr="00F22DB1" w:rsidRDefault="00455AB0" w:rsidP="00BD2F36">
            <w:pPr>
              <w:spacing w:line="480" w:lineRule="auto"/>
              <w:jc w:val="both"/>
              <w:rPr>
                <w:sz w:val="24"/>
                <w:szCs w:val="24"/>
              </w:rPr>
            </w:pPr>
            <w:r w:rsidRPr="00F22DB1">
              <w:rPr>
                <w:sz w:val="24"/>
                <w:szCs w:val="24"/>
              </w:rPr>
              <w:t>ENRLT</w:t>
            </w:r>
          </w:p>
        </w:tc>
        <w:tc>
          <w:tcPr>
            <w:tcW w:w="6950" w:type="dxa"/>
            <w:hideMark/>
          </w:tcPr>
          <w:p w14:paraId="7DB7A3C6" w14:textId="77777777" w:rsidR="00455AB0" w:rsidRPr="00F22DB1" w:rsidRDefault="00455AB0" w:rsidP="00BD2F36">
            <w:pPr>
              <w:spacing w:line="480" w:lineRule="auto"/>
              <w:jc w:val="both"/>
              <w:rPr>
                <w:sz w:val="24"/>
                <w:szCs w:val="24"/>
              </w:rPr>
            </w:pPr>
            <w:r w:rsidRPr="00F22DB1">
              <w:rPr>
                <w:sz w:val="24"/>
                <w:szCs w:val="24"/>
              </w:rPr>
              <w:t>Total Enrollments</w:t>
            </w:r>
          </w:p>
        </w:tc>
        <w:tc>
          <w:tcPr>
            <w:tcW w:w="1150" w:type="dxa"/>
            <w:hideMark/>
          </w:tcPr>
          <w:p w14:paraId="0912D174"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6E1C5CED" w14:textId="77777777" w:rsidTr="00623FE5">
        <w:trPr>
          <w:trHeight w:val="288"/>
        </w:trPr>
        <w:tc>
          <w:tcPr>
            <w:tcW w:w="1615" w:type="dxa"/>
            <w:hideMark/>
          </w:tcPr>
          <w:p w14:paraId="5ED03E3E" w14:textId="77777777" w:rsidR="00455AB0" w:rsidRPr="00F22DB1" w:rsidRDefault="00455AB0" w:rsidP="00BD2F36">
            <w:pPr>
              <w:spacing w:line="480" w:lineRule="auto"/>
              <w:jc w:val="both"/>
              <w:rPr>
                <w:sz w:val="24"/>
                <w:szCs w:val="24"/>
              </w:rPr>
            </w:pPr>
            <w:r w:rsidRPr="00F22DB1">
              <w:rPr>
                <w:sz w:val="24"/>
                <w:szCs w:val="24"/>
              </w:rPr>
              <w:t>ENRLM</w:t>
            </w:r>
          </w:p>
        </w:tc>
        <w:tc>
          <w:tcPr>
            <w:tcW w:w="6950" w:type="dxa"/>
            <w:hideMark/>
          </w:tcPr>
          <w:p w14:paraId="75F0B54D" w14:textId="77777777" w:rsidR="00455AB0" w:rsidRPr="00F22DB1" w:rsidRDefault="00455AB0" w:rsidP="00BD2F36">
            <w:pPr>
              <w:spacing w:line="480" w:lineRule="auto"/>
              <w:jc w:val="both"/>
              <w:rPr>
                <w:sz w:val="24"/>
                <w:szCs w:val="24"/>
              </w:rPr>
            </w:pPr>
            <w:r w:rsidRPr="00F22DB1">
              <w:rPr>
                <w:sz w:val="24"/>
                <w:szCs w:val="24"/>
              </w:rPr>
              <w:t>Total Enrollments - Men</w:t>
            </w:r>
          </w:p>
        </w:tc>
        <w:tc>
          <w:tcPr>
            <w:tcW w:w="1150" w:type="dxa"/>
            <w:hideMark/>
          </w:tcPr>
          <w:p w14:paraId="2E683094"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0AE5D1E2" w14:textId="77777777" w:rsidTr="00623FE5">
        <w:trPr>
          <w:trHeight w:val="288"/>
        </w:trPr>
        <w:tc>
          <w:tcPr>
            <w:tcW w:w="1615" w:type="dxa"/>
            <w:hideMark/>
          </w:tcPr>
          <w:p w14:paraId="5125F505" w14:textId="77777777" w:rsidR="00455AB0" w:rsidRPr="00F22DB1" w:rsidRDefault="00455AB0" w:rsidP="00BD2F36">
            <w:pPr>
              <w:spacing w:line="480" w:lineRule="auto"/>
              <w:jc w:val="both"/>
              <w:rPr>
                <w:sz w:val="24"/>
                <w:szCs w:val="24"/>
              </w:rPr>
            </w:pPr>
            <w:r w:rsidRPr="00F22DB1">
              <w:rPr>
                <w:sz w:val="24"/>
                <w:szCs w:val="24"/>
              </w:rPr>
              <w:lastRenderedPageBreak/>
              <w:t>ENRLW</w:t>
            </w:r>
          </w:p>
        </w:tc>
        <w:tc>
          <w:tcPr>
            <w:tcW w:w="6950" w:type="dxa"/>
            <w:hideMark/>
          </w:tcPr>
          <w:p w14:paraId="3835A37F" w14:textId="77777777" w:rsidR="00455AB0" w:rsidRPr="00F22DB1" w:rsidRDefault="00455AB0" w:rsidP="00BD2F36">
            <w:pPr>
              <w:spacing w:line="480" w:lineRule="auto"/>
              <w:jc w:val="both"/>
              <w:rPr>
                <w:sz w:val="24"/>
                <w:szCs w:val="24"/>
              </w:rPr>
            </w:pPr>
            <w:r w:rsidRPr="00F22DB1">
              <w:rPr>
                <w:sz w:val="24"/>
                <w:szCs w:val="24"/>
              </w:rPr>
              <w:t>Total Enrollments - Women</w:t>
            </w:r>
          </w:p>
        </w:tc>
        <w:tc>
          <w:tcPr>
            <w:tcW w:w="1150" w:type="dxa"/>
            <w:hideMark/>
          </w:tcPr>
          <w:p w14:paraId="7CCE2170"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2EDC8515" w14:textId="77777777" w:rsidTr="00623FE5">
        <w:trPr>
          <w:trHeight w:val="288"/>
        </w:trPr>
        <w:tc>
          <w:tcPr>
            <w:tcW w:w="1615" w:type="dxa"/>
            <w:hideMark/>
          </w:tcPr>
          <w:p w14:paraId="2DB178E2" w14:textId="77777777" w:rsidR="00455AB0" w:rsidRPr="00F22DB1" w:rsidRDefault="00455AB0" w:rsidP="00BD2F36">
            <w:pPr>
              <w:spacing w:line="480" w:lineRule="auto"/>
              <w:jc w:val="both"/>
              <w:rPr>
                <w:sz w:val="24"/>
                <w:szCs w:val="24"/>
              </w:rPr>
            </w:pPr>
            <w:r w:rsidRPr="00F22DB1">
              <w:rPr>
                <w:sz w:val="24"/>
                <w:szCs w:val="24"/>
              </w:rPr>
              <w:t>SAINSTT</w:t>
            </w:r>
          </w:p>
        </w:tc>
        <w:tc>
          <w:tcPr>
            <w:tcW w:w="6950" w:type="dxa"/>
            <w:hideMark/>
          </w:tcPr>
          <w:p w14:paraId="0C774F45" w14:textId="77777777" w:rsidR="00455AB0" w:rsidRPr="00F22DB1" w:rsidRDefault="00455AB0" w:rsidP="00BD2F36">
            <w:pPr>
              <w:spacing w:line="480" w:lineRule="auto"/>
              <w:jc w:val="both"/>
              <w:rPr>
                <w:sz w:val="24"/>
                <w:szCs w:val="24"/>
              </w:rPr>
            </w:pPr>
            <w:r w:rsidRPr="00F22DB1">
              <w:rPr>
                <w:sz w:val="24"/>
                <w:szCs w:val="24"/>
              </w:rPr>
              <w:t>Total Instructional Staff</w:t>
            </w:r>
          </w:p>
        </w:tc>
        <w:tc>
          <w:tcPr>
            <w:tcW w:w="1150" w:type="dxa"/>
            <w:hideMark/>
          </w:tcPr>
          <w:p w14:paraId="5828C363"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14E7E565" w14:textId="77777777" w:rsidTr="00623FE5">
        <w:trPr>
          <w:trHeight w:val="288"/>
        </w:trPr>
        <w:tc>
          <w:tcPr>
            <w:tcW w:w="1615" w:type="dxa"/>
            <w:hideMark/>
          </w:tcPr>
          <w:p w14:paraId="5CEA417B" w14:textId="77777777" w:rsidR="00455AB0" w:rsidRPr="00F22DB1" w:rsidRDefault="00455AB0" w:rsidP="00BD2F36">
            <w:pPr>
              <w:spacing w:line="480" w:lineRule="auto"/>
              <w:jc w:val="both"/>
              <w:rPr>
                <w:sz w:val="24"/>
                <w:szCs w:val="24"/>
              </w:rPr>
            </w:pPr>
            <w:r w:rsidRPr="00F22DB1">
              <w:rPr>
                <w:sz w:val="24"/>
                <w:szCs w:val="24"/>
              </w:rPr>
              <w:t>SAINSTM</w:t>
            </w:r>
          </w:p>
        </w:tc>
        <w:tc>
          <w:tcPr>
            <w:tcW w:w="6950" w:type="dxa"/>
            <w:hideMark/>
          </w:tcPr>
          <w:p w14:paraId="21DEF722" w14:textId="77777777" w:rsidR="00455AB0" w:rsidRPr="00F22DB1" w:rsidRDefault="00455AB0" w:rsidP="00BD2F36">
            <w:pPr>
              <w:spacing w:line="480" w:lineRule="auto"/>
              <w:jc w:val="both"/>
              <w:rPr>
                <w:sz w:val="24"/>
                <w:szCs w:val="24"/>
              </w:rPr>
            </w:pPr>
            <w:r w:rsidRPr="00F22DB1">
              <w:rPr>
                <w:sz w:val="24"/>
                <w:szCs w:val="24"/>
              </w:rPr>
              <w:t>Total Instructional Staff - Men</w:t>
            </w:r>
          </w:p>
        </w:tc>
        <w:tc>
          <w:tcPr>
            <w:tcW w:w="1150" w:type="dxa"/>
            <w:hideMark/>
          </w:tcPr>
          <w:p w14:paraId="01BB98F7"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562FB310" w14:textId="77777777" w:rsidTr="00623FE5">
        <w:trPr>
          <w:trHeight w:val="288"/>
        </w:trPr>
        <w:tc>
          <w:tcPr>
            <w:tcW w:w="1615" w:type="dxa"/>
            <w:hideMark/>
          </w:tcPr>
          <w:p w14:paraId="1F5806DF" w14:textId="77777777" w:rsidR="00455AB0" w:rsidRPr="00F22DB1" w:rsidRDefault="00455AB0" w:rsidP="00BD2F36">
            <w:pPr>
              <w:spacing w:line="480" w:lineRule="auto"/>
              <w:jc w:val="both"/>
              <w:rPr>
                <w:sz w:val="24"/>
                <w:szCs w:val="24"/>
              </w:rPr>
            </w:pPr>
            <w:r w:rsidRPr="00F22DB1">
              <w:rPr>
                <w:sz w:val="24"/>
                <w:szCs w:val="24"/>
              </w:rPr>
              <w:t>SAINSTW</w:t>
            </w:r>
          </w:p>
        </w:tc>
        <w:tc>
          <w:tcPr>
            <w:tcW w:w="6950" w:type="dxa"/>
            <w:hideMark/>
          </w:tcPr>
          <w:p w14:paraId="0F0C65D1" w14:textId="77777777" w:rsidR="00455AB0" w:rsidRPr="00F22DB1" w:rsidRDefault="00455AB0" w:rsidP="00BD2F36">
            <w:pPr>
              <w:spacing w:line="480" w:lineRule="auto"/>
              <w:jc w:val="both"/>
              <w:rPr>
                <w:sz w:val="24"/>
                <w:szCs w:val="24"/>
              </w:rPr>
            </w:pPr>
            <w:r w:rsidRPr="00F22DB1">
              <w:rPr>
                <w:sz w:val="24"/>
                <w:szCs w:val="24"/>
              </w:rPr>
              <w:t>Total Instructional Staff - Women</w:t>
            </w:r>
          </w:p>
        </w:tc>
        <w:tc>
          <w:tcPr>
            <w:tcW w:w="1150" w:type="dxa"/>
            <w:hideMark/>
          </w:tcPr>
          <w:p w14:paraId="69AABD5E"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7C85A487" w14:textId="77777777" w:rsidTr="00623FE5">
        <w:trPr>
          <w:trHeight w:val="288"/>
        </w:trPr>
        <w:tc>
          <w:tcPr>
            <w:tcW w:w="1615" w:type="dxa"/>
            <w:hideMark/>
          </w:tcPr>
          <w:p w14:paraId="7EF54693" w14:textId="77777777" w:rsidR="00455AB0" w:rsidRPr="00F22DB1" w:rsidRDefault="00455AB0" w:rsidP="00BD2F36">
            <w:pPr>
              <w:spacing w:line="480" w:lineRule="auto"/>
              <w:jc w:val="both"/>
              <w:rPr>
                <w:sz w:val="24"/>
                <w:szCs w:val="24"/>
              </w:rPr>
            </w:pPr>
            <w:r w:rsidRPr="00F22DB1">
              <w:rPr>
                <w:sz w:val="24"/>
                <w:szCs w:val="24"/>
              </w:rPr>
              <w:t>GRTOTLT</w:t>
            </w:r>
          </w:p>
        </w:tc>
        <w:tc>
          <w:tcPr>
            <w:tcW w:w="6950" w:type="dxa"/>
            <w:hideMark/>
          </w:tcPr>
          <w:p w14:paraId="22A16679" w14:textId="77777777" w:rsidR="00455AB0" w:rsidRPr="00F22DB1" w:rsidRDefault="00455AB0" w:rsidP="00BD2F36">
            <w:pPr>
              <w:spacing w:line="480" w:lineRule="auto"/>
              <w:jc w:val="both"/>
              <w:rPr>
                <w:sz w:val="24"/>
                <w:szCs w:val="24"/>
              </w:rPr>
            </w:pPr>
            <w:r w:rsidRPr="00F22DB1">
              <w:rPr>
                <w:sz w:val="24"/>
                <w:szCs w:val="24"/>
              </w:rPr>
              <w:t>Number of students Graduating</w:t>
            </w:r>
          </w:p>
        </w:tc>
        <w:tc>
          <w:tcPr>
            <w:tcW w:w="1150" w:type="dxa"/>
            <w:hideMark/>
          </w:tcPr>
          <w:p w14:paraId="24E4E72E"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72F981FA" w14:textId="77777777" w:rsidTr="00623FE5">
        <w:trPr>
          <w:trHeight w:val="288"/>
        </w:trPr>
        <w:tc>
          <w:tcPr>
            <w:tcW w:w="1615" w:type="dxa"/>
            <w:hideMark/>
          </w:tcPr>
          <w:p w14:paraId="2E05C090" w14:textId="77777777" w:rsidR="00455AB0" w:rsidRPr="00F22DB1" w:rsidRDefault="00455AB0" w:rsidP="00BD2F36">
            <w:pPr>
              <w:spacing w:line="480" w:lineRule="auto"/>
              <w:jc w:val="both"/>
              <w:rPr>
                <w:sz w:val="24"/>
                <w:szCs w:val="24"/>
              </w:rPr>
            </w:pPr>
            <w:r w:rsidRPr="00F22DB1">
              <w:rPr>
                <w:sz w:val="24"/>
                <w:szCs w:val="24"/>
              </w:rPr>
              <w:t>GRTOTLM</w:t>
            </w:r>
          </w:p>
        </w:tc>
        <w:tc>
          <w:tcPr>
            <w:tcW w:w="6950" w:type="dxa"/>
            <w:hideMark/>
          </w:tcPr>
          <w:p w14:paraId="2DB90EFC" w14:textId="77777777" w:rsidR="00455AB0" w:rsidRPr="00F22DB1" w:rsidRDefault="00455AB0" w:rsidP="00BD2F36">
            <w:pPr>
              <w:spacing w:line="480" w:lineRule="auto"/>
              <w:jc w:val="both"/>
              <w:rPr>
                <w:sz w:val="24"/>
                <w:szCs w:val="24"/>
              </w:rPr>
            </w:pPr>
            <w:r w:rsidRPr="00F22DB1">
              <w:rPr>
                <w:sz w:val="24"/>
                <w:szCs w:val="24"/>
              </w:rPr>
              <w:t>Number of students Graduating - Men</w:t>
            </w:r>
          </w:p>
        </w:tc>
        <w:tc>
          <w:tcPr>
            <w:tcW w:w="1150" w:type="dxa"/>
            <w:hideMark/>
          </w:tcPr>
          <w:p w14:paraId="2F8095A4"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24F2F9CD" w14:textId="77777777" w:rsidTr="00623FE5">
        <w:trPr>
          <w:trHeight w:val="215"/>
        </w:trPr>
        <w:tc>
          <w:tcPr>
            <w:tcW w:w="1615" w:type="dxa"/>
            <w:hideMark/>
          </w:tcPr>
          <w:p w14:paraId="68FC4602" w14:textId="77777777" w:rsidR="00455AB0" w:rsidRPr="00F22DB1" w:rsidRDefault="00455AB0" w:rsidP="00BD2F36">
            <w:pPr>
              <w:spacing w:line="480" w:lineRule="auto"/>
              <w:jc w:val="both"/>
              <w:rPr>
                <w:sz w:val="24"/>
                <w:szCs w:val="24"/>
              </w:rPr>
            </w:pPr>
            <w:r w:rsidRPr="00F22DB1">
              <w:rPr>
                <w:sz w:val="24"/>
                <w:szCs w:val="24"/>
              </w:rPr>
              <w:t>GRTOTLW</w:t>
            </w:r>
          </w:p>
        </w:tc>
        <w:tc>
          <w:tcPr>
            <w:tcW w:w="6950" w:type="dxa"/>
            <w:hideMark/>
          </w:tcPr>
          <w:p w14:paraId="3116B409" w14:textId="77777777" w:rsidR="00455AB0" w:rsidRPr="00F22DB1" w:rsidRDefault="00455AB0" w:rsidP="00BD2F36">
            <w:pPr>
              <w:spacing w:line="480" w:lineRule="auto"/>
              <w:jc w:val="both"/>
              <w:rPr>
                <w:sz w:val="24"/>
                <w:szCs w:val="24"/>
              </w:rPr>
            </w:pPr>
            <w:r w:rsidRPr="00F22DB1">
              <w:rPr>
                <w:sz w:val="24"/>
                <w:szCs w:val="24"/>
              </w:rPr>
              <w:t>Number of students Graduating - Women</w:t>
            </w:r>
          </w:p>
        </w:tc>
        <w:tc>
          <w:tcPr>
            <w:tcW w:w="1150" w:type="dxa"/>
            <w:hideMark/>
          </w:tcPr>
          <w:p w14:paraId="4F059A08"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791D9B46" w14:textId="77777777" w:rsidTr="00623FE5">
        <w:trPr>
          <w:trHeight w:val="296"/>
        </w:trPr>
        <w:tc>
          <w:tcPr>
            <w:tcW w:w="1615" w:type="dxa"/>
            <w:hideMark/>
          </w:tcPr>
          <w:p w14:paraId="1865FF99" w14:textId="77777777" w:rsidR="00455AB0" w:rsidRPr="00F22DB1" w:rsidRDefault="00455AB0" w:rsidP="00BD2F36">
            <w:pPr>
              <w:spacing w:line="480" w:lineRule="auto"/>
              <w:jc w:val="both"/>
              <w:rPr>
                <w:sz w:val="24"/>
                <w:szCs w:val="24"/>
              </w:rPr>
            </w:pPr>
            <w:r w:rsidRPr="00F22DB1">
              <w:rPr>
                <w:sz w:val="24"/>
                <w:szCs w:val="24"/>
              </w:rPr>
              <w:t>NPIST2</w:t>
            </w:r>
          </w:p>
        </w:tc>
        <w:tc>
          <w:tcPr>
            <w:tcW w:w="6950" w:type="dxa"/>
            <w:hideMark/>
          </w:tcPr>
          <w:p w14:paraId="1C0B470F" w14:textId="77777777" w:rsidR="00455AB0" w:rsidRPr="00F22DB1" w:rsidRDefault="00455AB0" w:rsidP="00BD2F36">
            <w:pPr>
              <w:spacing w:line="480" w:lineRule="auto"/>
              <w:jc w:val="both"/>
              <w:rPr>
                <w:sz w:val="24"/>
                <w:szCs w:val="24"/>
              </w:rPr>
            </w:pPr>
            <w:r w:rsidRPr="00F22DB1">
              <w:rPr>
                <w:sz w:val="24"/>
                <w:szCs w:val="24"/>
              </w:rPr>
              <w:t>Average net price-students awarded grant or scholarship aid, 2021-22</w:t>
            </w:r>
          </w:p>
        </w:tc>
        <w:tc>
          <w:tcPr>
            <w:tcW w:w="1150" w:type="dxa"/>
            <w:hideMark/>
          </w:tcPr>
          <w:p w14:paraId="77B1BFF2"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0CD77DDB" w14:textId="77777777" w:rsidTr="00623FE5">
        <w:trPr>
          <w:trHeight w:val="528"/>
        </w:trPr>
        <w:tc>
          <w:tcPr>
            <w:tcW w:w="1615" w:type="dxa"/>
            <w:hideMark/>
          </w:tcPr>
          <w:p w14:paraId="7FDAD013" w14:textId="77777777" w:rsidR="00455AB0" w:rsidRPr="00F22DB1" w:rsidRDefault="00455AB0" w:rsidP="00BD2F36">
            <w:pPr>
              <w:spacing w:line="480" w:lineRule="auto"/>
              <w:jc w:val="both"/>
              <w:rPr>
                <w:sz w:val="24"/>
                <w:szCs w:val="24"/>
              </w:rPr>
            </w:pPr>
            <w:r w:rsidRPr="00F22DB1">
              <w:rPr>
                <w:sz w:val="24"/>
                <w:szCs w:val="24"/>
              </w:rPr>
              <w:t>NPIS412</w:t>
            </w:r>
          </w:p>
        </w:tc>
        <w:tc>
          <w:tcPr>
            <w:tcW w:w="6950" w:type="dxa"/>
            <w:hideMark/>
          </w:tcPr>
          <w:p w14:paraId="086D6EA7" w14:textId="77777777" w:rsidR="00455AB0" w:rsidRPr="00F22DB1" w:rsidRDefault="00455AB0" w:rsidP="00BD2F36">
            <w:pPr>
              <w:spacing w:line="480" w:lineRule="auto"/>
              <w:jc w:val="both"/>
              <w:rPr>
                <w:sz w:val="24"/>
                <w:szCs w:val="24"/>
              </w:rPr>
            </w:pPr>
            <w:r w:rsidRPr="00F22DB1">
              <w:rPr>
                <w:sz w:val="24"/>
                <w:szCs w:val="24"/>
              </w:rPr>
              <w:t>Average net price (income 0-30,000)-students awarded Title IV federal financial aid, 2021-22</w:t>
            </w:r>
          </w:p>
        </w:tc>
        <w:tc>
          <w:tcPr>
            <w:tcW w:w="1150" w:type="dxa"/>
            <w:hideMark/>
          </w:tcPr>
          <w:p w14:paraId="693AB8FC"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5F550A38" w14:textId="77777777" w:rsidTr="00623FE5">
        <w:trPr>
          <w:trHeight w:val="528"/>
        </w:trPr>
        <w:tc>
          <w:tcPr>
            <w:tcW w:w="1615" w:type="dxa"/>
            <w:hideMark/>
          </w:tcPr>
          <w:p w14:paraId="4203FA06" w14:textId="77777777" w:rsidR="00455AB0" w:rsidRPr="00F22DB1" w:rsidRDefault="00455AB0" w:rsidP="00BD2F36">
            <w:pPr>
              <w:spacing w:line="480" w:lineRule="auto"/>
              <w:jc w:val="both"/>
              <w:rPr>
                <w:sz w:val="24"/>
                <w:szCs w:val="24"/>
              </w:rPr>
            </w:pPr>
            <w:r w:rsidRPr="00F22DB1">
              <w:rPr>
                <w:sz w:val="24"/>
                <w:szCs w:val="24"/>
              </w:rPr>
              <w:t>NPIS422</w:t>
            </w:r>
          </w:p>
        </w:tc>
        <w:tc>
          <w:tcPr>
            <w:tcW w:w="6950" w:type="dxa"/>
            <w:hideMark/>
          </w:tcPr>
          <w:p w14:paraId="2D9B8C40" w14:textId="77777777" w:rsidR="00455AB0" w:rsidRPr="00F22DB1" w:rsidRDefault="00455AB0" w:rsidP="00BD2F36">
            <w:pPr>
              <w:spacing w:line="480" w:lineRule="auto"/>
              <w:jc w:val="both"/>
              <w:rPr>
                <w:sz w:val="24"/>
                <w:szCs w:val="24"/>
              </w:rPr>
            </w:pPr>
            <w:r w:rsidRPr="00F22DB1">
              <w:rPr>
                <w:sz w:val="24"/>
                <w:szCs w:val="24"/>
              </w:rPr>
              <w:t>Average net price (income 30,001-48,000)-students awarded Title IV federal financial aid, 2021-22</w:t>
            </w:r>
          </w:p>
        </w:tc>
        <w:tc>
          <w:tcPr>
            <w:tcW w:w="1150" w:type="dxa"/>
            <w:hideMark/>
          </w:tcPr>
          <w:p w14:paraId="43604572"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5A038ED7" w14:textId="77777777" w:rsidTr="00623FE5">
        <w:trPr>
          <w:trHeight w:val="528"/>
        </w:trPr>
        <w:tc>
          <w:tcPr>
            <w:tcW w:w="1615" w:type="dxa"/>
            <w:hideMark/>
          </w:tcPr>
          <w:p w14:paraId="5C75DE15" w14:textId="77777777" w:rsidR="00455AB0" w:rsidRPr="00F22DB1" w:rsidRDefault="00455AB0" w:rsidP="00BD2F36">
            <w:pPr>
              <w:spacing w:line="480" w:lineRule="auto"/>
              <w:jc w:val="both"/>
              <w:rPr>
                <w:sz w:val="24"/>
                <w:szCs w:val="24"/>
              </w:rPr>
            </w:pPr>
            <w:r w:rsidRPr="00F22DB1">
              <w:rPr>
                <w:sz w:val="24"/>
                <w:szCs w:val="24"/>
              </w:rPr>
              <w:t>NPIS432</w:t>
            </w:r>
          </w:p>
        </w:tc>
        <w:tc>
          <w:tcPr>
            <w:tcW w:w="6950" w:type="dxa"/>
            <w:hideMark/>
          </w:tcPr>
          <w:p w14:paraId="30D5C05E" w14:textId="77777777" w:rsidR="00455AB0" w:rsidRPr="00F22DB1" w:rsidRDefault="00455AB0" w:rsidP="00BD2F36">
            <w:pPr>
              <w:spacing w:line="480" w:lineRule="auto"/>
              <w:jc w:val="both"/>
              <w:rPr>
                <w:sz w:val="24"/>
                <w:szCs w:val="24"/>
              </w:rPr>
            </w:pPr>
            <w:r w:rsidRPr="00F22DB1">
              <w:rPr>
                <w:sz w:val="24"/>
                <w:szCs w:val="24"/>
              </w:rPr>
              <w:t>Average net price (income 48,001-75,000)-students awarded Title IV federal financial aid, 2021-22</w:t>
            </w:r>
          </w:p>
        </w:tc>
        <w:tc>
          <w:tcPr>
            <w:tcW w:w="1150" w:type="dxa"/>
            <w:hideMark/>
          </w:tcPr>
          <w:p w14:paraId="1341AFD7"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3893287D" w14:textId="77777777" w:rsidTr="00623FE5">
        <w:trPr>
          <w:trHeight w:val="528"/>
        </w:trPr>
        <w:tc>
          <w:tcPr>
            <w:tcW w:w="1615" w:type="dxa"/>
            <w:hideMark/>
          </w:tcPr>
          <w:p w14:paraId="558BAFBC" w14:textId="77777777" w:rsidR="00455AB0" w:rsidRPr="00F22DB1" w:rsidRDefault="00455AB0" w:rsidP="00BD2F36">
            <w:pPr>
              <w:spacing w:line="480" w:lineRule="auto"/>
              <w:jc w:val="both"/>
              <w:rPr>
                <w:sz w:val="24"/>
                <w:szCs w:val="24"/>
              </w:rPr>
            </w:pPr>
            <w:r w:rsidRPr="00F22DB1">
              <w:rPr>
                <w:sz w:val="24"/>
                <w:szCs w:val="24"/>
              </w:rPr>
              <w:t>NPIS442</w:t>
            </w:r>
          </w:p>
        </w:tc>
        <w:tc>
          <w:tcPr>
            <w:tcW w:w="6950" w:type="dxa"/>
            <w:hideMark/>
          </w:tcPr>
          <w:p w14:paraId="6AE1B322" w14:textId="77777777" w:rsidR="00455AB0" w:rsidRPr="00F22DB1" w:rsidRDefault="00455AB0" w:rsidP="00BD2F36">
            <w:pPr>
              <w:spacing w:line="480" w:lineRule="auto"/>
              <w:jc w:val="both"/>
              <w:rPr>
                <w:sz w:val="24"/>
                <w:szCs w:val="24"/>
              </w:rPr>
            </w:pPr>
            <w:r w:rsidRPr="00F22DB1">
              <w:rPr>
                <w:sz w:val="24"/>
                <w:szCs w:val="24"/>
              </w:rPr>
              <w:t>Average net price (income 75,001-110,000)-students awarded Title IV federal financial aid, 2021-22</w:t>
            </w:r>
          </w:p>
        </w:tc>
        <w:tc>
          <w:tcPr>
            <w:tcW w:w="1150" w:type="dxa"/>
            <w:hideMark/>
          </w:tcPr>
          <w:p w14:paraId="6FA21882"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3A841556" w14:textId="77777777" w:rsidTr="00623FE5">
        <w:trPr>
          <w:trHeight w:val="528"/>
        </w:trPr>
        <w:tc>
          <w:tcPr>
            <w:tcW w:w="1615" w:type="dxa"/>
            <w:hideMark/>
          </w:tcPr>
          <w:p w14:paraId="00852798" w14:textId="77777777" w:rsidR="00455AB0" w:rsidRPr="00F22DB1" w:rsidRDefault="00455AB0" w:rsidP="00BD2F36">
            <w:pPr>
              <w:spacing w:line="480" w:lineRule="auto"/>
              <w:jc w:val="both"/>
              <w:rPr>
                <w:sz w:val="24"/>
                <w:szCs w:val="24"/>
              </w:rPr>
            </w:pPr>
            <w:r w:rsidRPr="00F22DB1">
              <w:rPr>
                <w:sz w:val="24"/>
                <w:szCs w:val="24"/>
              </w:rPr>
              <w:t>NPIS452</w:t>
            </w:r>
          </w:p>
        </w:tc>
        <w:tc>
          <w:tcPr>
            <w:tcW w:w="6950" w:type="dxa"/>
            <w:hideMark/>
          </w:tcPr>
          <w:p w14:paraId="0F4CA014" w14:textId="77777777" w:rsidR="00455AB0" w:rsidRPr="00F22DB1" w:rsidRDefault="00455AB0" w:rsidP="00BD2F36">
            <w:pPr>
              <w:spacing w:line="480" w:lineRule="auto"/>
              <w:jc w:val="both"/>
              <w:rPr>
                <w:sz w:val="24"/>
                <w:szCs w:val="24"/>
              </w:rPr>
            </w:pPr>
            <w:r w:rsidRPr="00F22DB1">
              <w:rPr>
                <w:sz w:val="24"/>
                <w:szCs w:val="24"/>
              </w:rPr>
              <w:t>Average net price (income over 110,000)-students awarded Title IV federal financial aid, 2021-22</w:t>
            </w:r>
          </w:p>
        </w:tc>
        <w:tc>
          <w:tcPr>
            <w:tcW w:w="1150" w:type="dxa"/>
            <w:hideMark/>
          </w:tcPr>
          <w:p w14:paraId="09A5D90A"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4ABB5004" w14:textId="77777777" w:rsidTr="00AB3CD3">
        <w:trPr>
          <w:trHeight w:val="980"/>
        </w:trPr>
        <w:tc>
          <w:tcPr>
            <w:tcW w:w="1615" w:type="dxa"/>
            <w:hideMark/>
          </w:tcPr>
          <w:p w14:paraId="78334504" w14:textId="77777777" w:rsidR="00455AB0" w:rsidRPr="00F22DB1" w:rsidRDefault="00455AB0" w:rsidP="00BD2F36">
            <w:pPr>
              <w:spacing w:line="480" w:lineRule="auto"/>
              <w:jc w:val="both"/>
              <w:rPr>
                <w:sz w:val="24"/>
                <w:szCs w:val="24"/>
              </w:rPr>
            </w:pPr>
            <w:r w:rsidRPr="00F22DB1">
              <w:rPr>
                <w:sz w:val="24"/>
                <w:szCs w:val="24"/>
              </w:rPr>
              <w:t>OBEREG</w:t>
            </w:r>
          </w:p>
        </w:tc>
        <w:tc>
          <w:tcPr>
            <w:tcW w:w="6950" w:type="dxa"/>
            <w:hideMark/>
          </w:tcPr>
          <w:p w14:paraId="2649FFDF" w14:textId="17DA97E0" w:rsidR="00455AB0" w:rsidRPr="00F22DB1" w:rsidRDefault="00455AB0" w:rsidP="00AB3CD3">
            <w:pPr>
              <w:spacing w:line="480" w:lineRule="auto"/>
              <w:rPr>
                <w:sz w:val="24"/>
                <w:szCs w:val="24"/>
              </w:rPr>
            </w:pPr>
            <w:r w:rsidRPr="00F22DB1">
              <w:rPr>
                <w:sz w:val="24"/>
                <w:szCs w:val="24"/>
              </w:rPr>
              <w:t>Bureau</w:t>
            </w:r>
            <w:r w:rsidR="004D0118">
              <w:rPr>
                <w:sz w:val="24"/>
                <w:szCs w:val="24"/>
              </w:rPr>
              <w:t xml:space="preserve"> </w:t>
            </w:r>
            <w:r w:rsidRPr="00F22DB1">
              <w:rPr>
                <w:sz w:val="24"/>
                <w:szCs w:val="24"/>
              </w:rPr>
              <w:t xml:space="preserve">of Economic Analysis (BEA) Regions </w:t>
            </w:r>
            <w:r w:rsidRPr="00F22DB1">
              <w:rPr>
                <w:sz w:val="24"/>
                <w:szCs w:val="24"/>
              </w:rPr>
              <w:br/>
              <w:t>0 - US Service schools</w:t>
            </w:r>
            <w:r w:rsidRPr="00F22DB1">
              <w:rPr>
                <w:sz w:val="24"/>
                <w:szCs w:val="24"/>
              </w:rPr>
              <w:br/>
              <w:t>1 - New England CT ME MA NH RI VT</w:t>
            </w:r>
            <w:r w:rsidRPr="00F22DB1">
              <w:rPr>
                <w:sz w:val="24"/>
                <w:szCs w:val="24"/>
              </w:rPr>
              <w:br/>
              <w:t>2 - Mid East DE DC MD NJ NY PA</w:t>
            </w:r>
            <w:r w:rsidRPr="00F22DB1">
              <w:rPr>
                <w:sz w:val="24"/>
                <w:szCs w:val="24"/>
              </w:rPr>
              <w:br/>
              <w:t>3 - Great Lakes IL IN MI OH WI</w:t>
            </w:r>
            <w:r w:rsidRPr="00F22DB1">
              <w:rPr>
                <w:sz w:val="24"/>
                <w:szCs w:val="24"/>
              </w:rPr>
              <w:br/>
            </w:r>
            <w:r w:rsidRPr="00F22DB1">
              <w:rPr>
                <w:sz w:val="24"/>
                <w:szCs w:val="24"/>
              </w:rPr>
              <w:lastRenderedPageBreak/>
              <w:t>4 - Plains IA KS MN MO NE ND SD</w:t>
            </w:r>
            <w:r w:rsidRPr="00F22DB1">
              <w:rPr>
                <w:sz w:val="24"/>
                <w:szCs w:val="24"/>
              </w:rPr>
              <w:br/>
              <w:t>5 - Southeast AL AR FL GA KY LA MS NC SC TN VA WV</w:t>
            </w:r>
            <w:r w:rsidRPr="00F22DB1">
              <w:rPr>
                <w:sz w:val="24"/>
                <w:szCs w:val="24"/>
              </w:rPr>
              <w:br/>
              <w:t>6 - Southwest AZ NM OK TX</w:t>
            </w:r>
            <w:r w:rsidRPr="00F22DB1">
              <w:rPr>
                <w:sz w:val="24"/>
                <w:szCs w:val="24"/>
              </w:rPr>
              <w:br/>
              <w:t>7 - Rocky Mountains CO ID MT UT WY</w:t>
            </w:r>
            <w:r w:rsidRPr="00F22DB1">
              <w:rPr>
                <w:sz w:val="24"/>
                <w:szCs w:val="24"/>
              </w:rPr>
              <w:br/>
              <w:t>8 - Far West AK CA HI NV OR WA</w:t>
            </w:r>
            <w:r w:rsidRPr="00F22DB1">
              <w:rPr>
                <w:sz w:val="24"/>
                <w:szCs w:val="24"/>
              </w:rPr>
              <w:br/>
              <w:t>9 - Outlying areas AS FM GU MH MP PR PW VI</w:t>
            </w:r>
            <w:r w:rsidRPr="00F22DB1">
              <w:rPr>
                <w:sz w:val="24"/>
                <w:szCs w:val="24"/>
              </w:rPr>
              <w:br/>
              <w:t>3 - Not available</w:t>
            </w:r>
          </w:p>
        </w:tc>
        <w:tc>
          <w:tcPr>
            <w:tcW w:w="1150" w:type="dxa"/>
            <w:hideMark/>
          </w:tcPr>
          <w:p w14:paraId="7FE9E320" w14:textId="77777777" w:rsidR="00455AB0" w:rsidRPr="00F22DB1" w:rsidRDefault="00455AB0" w:rsidP="00BD2F36">
            <w:pPr>
              <w:spacing w:line="480" w:lineRule="auto"/>
              <w:jc w:val="both"/>
              <w:rPr>
                <w:sz w:val="24"/>
                <w:szCs w:val="24"/>
              </w:rPr>
            </w:pPr>
            <w:r w:rsidRPr="00F22DB1">
              <w:rPr>
                <w:sz w:val="24"/>
                <w:szCs w:val="24"/>
              </w:rPr>
              <w:lastRenderedPageBreak/>
              <w:t>INT</w:t>
            </w:r>
          </w:p>
        </w:tc>
      </w:tr>
      <w:tr w:rsidR="00455AB0" w:rsidRPr="00F22DB1" w14:paraId="31798AEC" w14:textId="77777777" w:rsidTr="00623FE5">
        <w:trPr>
          <w:trHeight w:val="872"/>
        </w:trPr>
        <w:tc>
          <w:tcPr>
            <w:tcW w:w="1615" w:type="dxa"/>
            <w:hideMark/>
          </w:tcPr>
          <w:p w14:paraId="0EF97A01" w14:textId="77777777" w:rsidR="00455AB0" w:rsidRPr="00F22DB1" w:rsidRDefault="00455AB0" w:rsidP="00BD2F36">
            <w:pPr>
              <w:spacing w:line="480" w:lineRule="auto"/>
              <w:jc w:val="both"/>
              <w:rPr>
                <w:sz w:val="24"/>
                <w:szCs w:val="24"/>
              </w:rPr>
            </w:pPr>
            <w:r w:rsidRPr="00F22DB1">
              <w:rPr>
                <w:sz w:val="24"/>
                <w:szCs w:val="24"/>
              </w:rPr>
              <w:t>CONTROL</w:t>
            </w:r>
          </w:p>
        </w:tc>
        <w:tc>
          <w:tcPr>
            <w:tcW w:w="6950" w:type="dxa"/>
            <w:hideMark/>
          </w:tcPr>
          <w:p w14:paraId="13CA35F5" w14:textId="3CDA7D72" w:rsidR="00455AB0" w:rsidRPr="00F22DB1" w:rsidRDefault="00556F97" w:rsidP="00BD2F36">
            <w:pPr>
              <w:spacing w:line="480" w:lineRule="auto"/>
              <w:jc w:val="both"/>
              <w:rPr>
                <w:sz w:val="24"/>
                <w:szCs w:val="24"/>
              </w:rPr>
            </w:pPr>
            <w:r w:rsidRPr="00F22DB1">
              <w:rPr>
                <w:sz w:val="24"/>
                <w:szCs w:val="24"/>
              </w:rPr>
              <w:t>A categorization of whether an organization is run by officials who are elected or appointed by the public or by officials who are appointed or elected privately and who obtain most of their funding from private sources.</w:t>
            </w:r>
          </w:p>
        </w:tc>
        <w:tc>
          <w:tcPr>
            <w:tcW w:w="1150" w:type="dxa"/>
            <w:hideMark/>
          </w:tcPr>
          <w:p w14:paraId="4F84B751"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60D45517" w14:textId="77777777" w:rsidTr="00623FE5">
        <w:trPr>
          <w:trHeight w:val="359"/>
        </w:trPr>
        <w:tc>
          <w:tcPr>
            <w:tcW w:w="1615" w:type="dxa"/>
            <w:hideMark/>
          </w:tcPr>
          <w:p w14:paraId="1ED35A2D" w14:textId="77777777" w:rsidR="00455AB0" w:rsidRPr="00F22DB1" w:rsidRDefault="00455AB0" w:rsidP="00BD2F36">
            <w:pPr>
              <w:spacing w:line="480" w:lineRule="auto"/>
              <w:jc w:val="both"/>
              <w:rPr>
                <w:sz w:val="24"/>
                <w:szCs w:val="24"/>
              </w:rPr>
            </w:pPr>
            <w:r w:rsidRPr="00F22DB1">
              <w:rPr>
                <w:sz w:val="24"/>
                <w:szCs w:val="24"/>
              </w:rPr>
              <w:t>HOSPITAL</w:t>
            </w:r>
          </w:p>
        </w:tc>
        <w:tc>
          <w:tcPr>
            <w:tcW w:w="6950" w:type="dxa"/>
            <w:hideMark/>
          </w:tcPr>
          <w:p w14:paraId="2D372D0B" w14:textId="77777777" w:rsidR="00455AB0" w:rsidRPr="00F22DB1" w:rsidRDefault="00455AB0" w:rsidP="00BD2F36">
            <w:pPr>
              <w:spacing w:line="480" w:lineRule="auto"/>
              <w:jc w:val="both"/>
              <w:rPr>
                <w:sz w:val="24"/>
                <w:szCs w:val="24"/>
              </w:rPr>
            </w:pPr>
            <w:r w:rsidRPr="00F22DB1">
              <w:rPr>
                <w:sz w:val="24"/>
                <w:szCs w:val="24"/>
              </w:rPr>
              <w:t>A code to indicate whether the institution has hospital.</w:t>
            </w:r>
          </w:p>
        </w:tc>
        <w:tc>
          <w:tcPr>
            <w:tcW w:w="1150" w:type="dxa"/>
            <w:hideMark/>
          </w:tcPr>
          <w:p w14:paraId="38C7B76B" w14:textId="77777777" w:rsidR="00455AB0" w:rsidRPr="00F22DB1" w:rsidRDefault="00455AB0" w:rsidP="00BD2F36">
            <w:pPr>
              <w:spacing w:line="480" w:lineRule="auto"/>
              <w:jc w:val="both"/>
              <w:rPr>
                <w:sz w:val="24"/>
                <w:szCs w:val="24"/>
              </w:rPr>
            </w:pPr>
            <w:r w:rsidRPr="00F22DB1">
              <w:rPr>
                <w:sz w:val="24"/>
                <w:szCs w:val="24"/>
              </w:rPr>
              <w:t>INT</w:t>
            </w:r>
          </w:p>
        </w:tc>
      </w:tr>
      <w:tr w:rsidR="00455AB0" w:rsidRPr="00F22DB1" w14:paraId="46E84AD9" w14:textId="77777777" w:rsidTr="00623FE5">
        <w:trPr>
          <w:trHeight w:val="576"/>
        </w:trPr>
        <w:tc>
          <w:tcPr>
            <w:tcW w:w="1615" w:type="dxa"/>
            <w:shd w:val="clear" w:color="auto" w:fill="FFFFFF" w:themeFill="background1"/>
            <w:hideMark/>
          </w:tcPr>
          <w:p w14:paraId="4CD14FA9" w14:textId="77777777" w:rsidR="00455AB0" w:rsidRPr="00F22DB1" w:rsidRDefault="00455AB0" w:rsidP="00BD2F36">
            <w:pPr>
              <w:spacing w:line="480" w:lineRule="auto"/>
              <w:jc w:val="both"/>
              <w:rPr>
                <w:sz w:val="24"/>
                <w:szCs w:val="24"/>
              </w:rPr>
            </w:pPr>
            <w:r w:rsidRPr="00F22DB1">
              <w:rPr>
                <w:sz w:val="24"/>
                <w:szCs w:val="24"/>
              </w:rPr>
              <w:t>OPENPUBL</w:t>
            </w:r>
          </w:p>
        </w:tc>
        <w:tc>
          <w:tcPr>
            <w:tcW w:w="6950" w:type="dxa"/>
            <w:shd w:val="clear" w:color="auto" w:fill="FFFFFF" w:themeFill="background1"/>
            <w:hideMark/>
          </w:tcPr>
          <w:p w14:paraId="14E9ED59" w14:textId="5E7F70E8" w:rsidR="00455AB0" w:rsidRPr="00F22DB1" w:rsidRDefault="00455AB0" w:rsidP="00BD2F36">
            <w:pPr>
              <w:spacing w:line="480" w:lineRule="auto"/>
              <w:jc w:val="both"/>
              <w:rPr>
                <w:sz w:val="24"/>
                <w:szCs w:val="24"/>
              </w:rPr>
            </w:pPr>
            <w:r w:rsidRPr="00F22DB1">
              <w:rPr>
                <w:sz w:val="24"/>
                <w:szCs w:val="24"/>
              </w:rPr>
              <w:t xml:space="preserve">A code to indicate whether the institution is open for admission to the </w:t>
            </w:r>
            <w:r w:rsidR="00B96E13" w:rsidRPr="00F22DB1">
              <w:rPr>
                <w:sz w:val="24"/>
                <w:szCs w:val="24"/>
              </w:rPr>
              <w:t>public</w:t>
            </w:r>
            <w:r w:rsidRPr="00F22DB1">
              <w:rPr>
                <w:sz w:val="24"/>
                <w:szCs w:val="24"/>
              </w:rPr>
              <w:t>.</w:t>
            </w:r>
          </w:p>
        </w:tc>
        <w:tc>
          <w:tcPr>
            <w:tcW w:w="1150" w:type="dxa"/>
            <w:shd w:val="clear" w:color="auto" w:fill="FFFFFF" w:themeFill="background1"/>
            <w:hideMark/>
          </w:tcPr>
          <w:p w14:paraId="6D4338D6" w14:textId="77777777" w:rsidR="00455AB0" w:rsidRPr="00F22DB1" w:rsidRDefault="00455AB0" w:rsidP="00BD2F36">
            <w:pPr>
              <w:spacing w:line="480" w:lineRule="auto"/>
              <w:jc w:val="both"/>
              <w:rPr>
                <w:sz w:val="24"/>
                <w:szCs w:val="24"/>
              </w:rPr>
            </w:pPr>
            <w:r w:rsidRPr="00F22DB1">
              <w:rPr>
                <w:sz w:val="24"/>
                <w:szCs w:val="24"/>
              </w:rPr>
              <w:t>INT</w:t>
            </w:r>
          </w:p>
        </w:tc>
      </w:tr>
    </w:tbl>
    <w:p w14:paraId="588C5041" w14:textId="67D618E1" w:rsidR="00455AB0" w:rsidRPr="00D02055" w:rsidRDefault="00455AB0" w:rsidP="00D02055">
      <w:pPr>
        <w:spacing w:line="480" w:lineRule="auto"/>
        <w:jc w:val="center"/>
        <w:rPr>
          <w:sz w:val="16"/>
          <w:szCs w:val="16"/>
        </w:rPr>
      </w:pPr>
      <w:r w:rsidRPr="00F22DB1">
        <w:fldChar w:fldCharType="end"/>
      </w:r>
      <w:r w:rsidR="00D02055" w:rsidRPr="00D02055">
        <w:rPr>
          <w:sz w:val="16"/>
          <w:szCs w:val="16"/>
        </w:rPr>
        <w:t>Table 1: Data Dictionary</w:t>
      </w:r>
    </w:p>
    <w:p w14:paraId="681B208B" w14:textId="77777777" w:rsidR="00444C1F" w:rsidRPr="00F22DB1" w:rsidRDefault="00444C1F" w:rsidP="00BD2F36">
      <w:pPr>
        <w:spacing w:line="480" w:lineRule="auto"/>
        <w:jc w:val="both"/>
        <w:rPr>
          <w:b/>
          <w:bCs/>
        </w:rPr>
      </w:pPr>
    </w:p>
    <w:p w14:paraId="1B7541CF" w14:textId="77777777" w:rsidR="00857906" w:rsidRDefault="00857906" w:rsidP="00BD2F36">
      <w:pPr>
        <w:spacing w:line="480" w:lineRule="auto"/>
        <w:jc w:val="both"/>
      </w:pPr>
      <w:r w:rsidRPr="00857906">
        <w:t>After cleaning the data, we utilized descriptive statistics and various visualizations, including bar graphs, pie charts, and correlation matrices, to gain insights into the data and identify underlying patterns.</w:t>
      </w:r>
    </w:p>
    <w:p w14:paraId="62E0A55D" w14:textId="01E0B0F4" w:rsidR="00F10AD2" w:rsidRPr="00BD02C2" w:rsidRDefault="00857906" w:rsidP="00BD2F36">
      <w:pPr>
        <w:spacing w:line="480" w:lineRule="auto"/>
        <w:jc w:val="both"/>
        <w:rPr>
          <w:b/>
          <w:bCs/>
        </w:rPr>
      </w:pPr>
      <w:r w:rsidRPr="00BD02C2">
        <w:rPr>
          <w:b/>
          <w:bCs/>
        </w:rPr>
        <w:t xml:space="preserve">Descriptive statistics of predictive </w:t>
      </w:r>
      <w:r w:rsidR="00BD02C2" w:rsidRPr="00BD02C2">
        <w:rPr>
          <w:b/>
          <w:bCs/>
        </w:rPr>
        <w:t xml:space="preserve">variables </w:t>
      </w:r>
      <w:r w:rsidRPr="00BD02C2">
        <w:rPr>
          <w:b/>
          <w:bCs/>
        </w:rPr>
        <w:t xml:space="preserve">and target </w:t>
      </w:r>
      <w:r w:rsidR="00337FE1" w:rsidRPr="00BD02C2">
        <w:rPr>
          <w:b/>
          <w:bCs/>
        </w:rPr>
        <w:t>variables</w:t>
      </w:r>
      <w:r w:rsidR="00BD02C2" w:rsidRPr="00BD02C2">
        <w:rPr>
          <w:b/>
          <w:bCs/>
        </w:rPr>
        <w:t xml:space="preserve"> (</w:t>
      </w:r>
      <w:r w:rsidRPr="00BD02C2">
        <w:rPr>
          <w:b/>
          <w:bCs/>
          <w:color w:val="000000"/>
        </w:rPr>
        <w:t>ENRLT)</w:t>
      </w:r>
      <w:r w:rsidR="00BD02C2">
        <w:rPr>
          <w:b/>
          <w:bCs/>
          <w:color w:val="000000"/>
        </w:rPr>
        <w:t>:</w:t>
      </w:r>
    </w:p>
    <w:tbl>
      <w:tblPr>
        <w:tblStyle w:val="TableGrid"/>
        <w:tblW w:w="9985" w:type="dxa"/>
        <w:tblLayout w:type="fixed"/>
        <w:tblLook w:val="04A0" w:firstRow="1" w:lastRow="0" w:firstColumn="1" w:lastColumn="0" w:noHBand="0" w:noVBand="1"/>
      </w:tblPr>
      <w:tblGrid>
        <w:gridCol w:w="715"/>
        <w:gridCol w:w="990"/>
        <w:gridCol w:w="1080"/>
        <w:gridCol w:w="900"/>
        <w:gridCol w:w="1080"/>
        <w:gridCol w:w="1170"/>
        <w:gridCol w:w="900"/>
        <w:gridCol w:w="1080"/>
        <w:gridCol w:w="1170"/>
        <w:gridCol w:w="900"/>
      </w:tblGrid>
      <w:tr w:rsidR="00857906" w14:paraId="7E7D834B" w14:textId="77777777" w:rsidTr="00857906">
        <w:tc>
          <w:tcPr>
            <w:tcW w:w="715" w:type="dxa"/>
          </w:tcPr>
          <w:p w14:paraId="02CA731A" w14:textId="77777777" w:rsidR="00F10AD2" w:rsidRPr="00BD02C2" w:rsidRDefault="00F10AD2" w:rsidP="00857906">
            <w:pPr>
              <w:spacing w:line="480" w:lineRule="auto"/>
              <w:rPr>
                <w:b/>
                <w:bCs/>
                <w:sz w:val="20"/>
                <w:szCs w:val="20"/>
              </w:rPr>
            </w:pPr>
            <w:bookmarkStart w:id="0" w:name="_Hlk184300981"/>
          </w:p>
        </w:tc>
        <w:tc>
          <w:tcPr>
            <w:tcW w:w="990" w:type="dxa"/>
          </w:tcPr>
          <w:p w14:paraId="2BAE5F8C" w14:textId="37F520DF" w:rsidR="00F10AD2" w:rsidRPr="00BD02C2" w:rsidRDefault="00F10AD2" w:rsidP="00857906">
            <w:pPr>
              <w:spacing w:line="480" w:lineRule="auto"/>
              <w:rPr>
                <w:b/>
                <w:bCs/>
                <w:sz w:val="20"/>
                <w:szCs w:val="20"/>
              </w:rPr>
            </w:pPr>
            <w:r w:rsidRPr="00BD02C2">
              <w:rPr>
                <w:color w:val="000000"/>
                <w:sz w:val="20"/>
                <w:szCs w:val="20"/>
              </w:rPr>
              <w:t>APPLCN</w:t>
            </w:r>
          </w:p>
        </w:tc>
        <w:tc>
          <w:tcPr>
            <w:tcW w:w="1080" w:type="dxa"/>
          </w:tcPr>
          <w:p w14:paraId="5B94530E" w14:textId="51FAE97F" w:rsidR="00F10AD2" w:rsidRPr="00BD02C2" w:rsidRDefault="00F10AD2" w:rsidP="00857906">
            <w:pPr>
              <w:spacing w:line="480" w:lineRule="auto"/>
              <w:rPr>
                <w:b/>
                <w:bCs/>
                <w:sz w:val="20"/>
                <w:szCs w:val="20"/>
              </w:rPr>
            </w:pPr>
            <w:r w:rsidRPr="00BD02C2">
              <w:rPr>
                <w:color w:val="000000"/>
                <w:sz w:val="20"/>
                <w:szCs w:val="20"/>
              </w:rPr>
              <w:t>ADMSSN</w:t>
            </w:r>
          </w:p>
        </w:tc>
        <w:tc>
          <w:tcPr>
            <w:tcW w:w="900" w:type="dxa"/>
          </w:tcPr>
          <w:p w14:paraId="64431EB8" w14:textId="21DC88DA" w:rsidR="00F10AD2" w:rsidRPr="00BD02C2" w:rsidRDefault="00F10AD2" w:rsidP="00857906">
            <w:pPr>
              <w:spacing w:line="480" w:lineRule="auto"/>
              <w:rPr>
                <w:b/>
                <w:bCs/>
                <w:sz w:val="20"/>
                <w:szCs w:val="20"/>
              </w:rPr>
            </w:pPr>
            <w:r w:rsidRPr="00BD02C2">
              <w:rPr>
                <w:color w:val="000000"/>
                <w:sz w:val="20"/>
                <w:szCs w:val="20"/>
              </w:rPr>
              <w:t>ENRLT</w:t>
            </w:r>
          </w:p>
        </w:tc>
        <w:tc>
          <w:tcPr>
            <w:tcW w:w="1080" w:type="dxa"/>
          </w:tcPr>
          <w:p w14:paraId="7DFE627D" w14:textId="247AD343" w:rsidR="00F10AD2" w:rsidRPr="00BD02C2" w:rsidRDefault="00F10AD2" w:rsidP="00857906">
            <w:pPr>
              <w:spacing w:line="480" w:lineRule="auto"/>
              <w:rPr>
                <w:b/>
                <w:bCs/>
                <w:sz w:val="20"/>
                <w:szCs w:val="20"/>
              </w:rPr>
            </w:pPr>
            <w:r w:rsidRPr="00BD02C2">
              <w:rPr>
                <w:color w:val="000000"/>
                <w:sz w:val="20"/>
                <w:szCs w:val="20"/>
              </w:rPr>
              <w:t>SAINSTT</w:t>
            </w:r>
          </w:p>
        </w:tc>
        <w:tc>
          <w:tcPr>
            <w:tcW w:w="1170" w:type="dxa"/>
          </w:tcPr>
          <w:p w14:paraId="231559F6" w14:textId="1707706F" w:rsidR="00F10AD2" w:rsidRPr="00BD02C2" w:rsidRDefault="00F10AD2" w:rsidP="00857906">
            <w:pPr>
              <w:spacing w:line="480" w:lineRule="auto"/>
              <w:rPr>
                <w:b/>
                <w:bCs/>
                <w:sz w:val="20"/>
                <w:szCs w:val="20"/>
              </w:rPr>
            </w:pPr>
            <w:r w:rsidRPr="00BD02C2">
              <w:rPr>
                <w:color w:val="000000"/>
                <w:sz w:val="20"/>
                <w:szCs w:val="20"/>
              </w:rPr>
              <w:t>GRTOTLT</w:t>
            </w:r>
          </w:p>
        </w:tc>
        <w:tc>
          <w:tcPr>
            <w:tcW w:w="900" w:type="dxa"/>
          </w:tcPr>
          <w:p w14:paraId="0528F249" w14:textId="1371038E" w:rsidR="00F10AD2" w:rsidRPr="00BD02C2" w:rsidRDefault="00F10AD2" w:rsidP="00857906">
            <w:pPr>
              <w:spacing w:line="480" w:lineRule="auto"/>
              <w:rPr>
                <w:b/>
                <w:bCs/>
                <w:sz w:val="20"/>
                <w:szCs w:val="20"/>
              </w:rPr>
            </w:pPr>
            <w:r w:rsidRPr="00BD02C2">
              <w:rPr>
                <w:color w:val="000000"/>
                <w:sz w:val="20"/>
                <w:szCs w:val="20"/>
              </w:rPr>
              <w:t>NPIST2</w:t>
            </w:r>
          </w:p>
        </w:tc>
        <w:tc>
          <w:tcPr>
            <w:tcW w:w="1080" w:type="dxa"/>
          </w:tcPr>
          <w:p w14:paraId="0EE38BAD" w14:textId="71A21F06" w:rsidR="00F10AD2" w:rsidRPr="00BD02C2" w:rsidRDefault="00F10AD2" w:rsidP="00857906">
            <w:pPr>
              <w:spacing w:line="480" w:lineRule="auto"/>
              <w:rPr>
                <w:b/>
                <w:bCs/>
                <w:sz w:val="20"/>
                <w:szCs w:val="20"/>
              </w:rPr>
            </w:pPr>
            <w:r w:rsidRPr="00BD02C2">
              <w:rPr>
                <w:color w:val="000000"/>
                <w:sz w:val="20"/>
                <w:szCs w:val="20"/>
              </w:rPr>
              <w:t>OBEREG</w:t>
            </w:r>
          </w:p>
        </w:tc>
        <w:tc>
          <w:tcPr>
            <w:tcW w:w="1170" w:type="dxa"/>
          </w:tcPr>
          <w:p w14:paraId="4A722551" w14:textId="738D0B1C" w:rsidR="00F10AD2" w:rsidRPr="00BD02C2" w:rsidRDefault="00F10AD2" w:rsidP="00857906">
            <w:pPr>
              <w:spacing w:line="480" w:lineRule="auto"/>
              <w:rPr>
                <w:b/>
                <w:bCs/>
                <w:sz w:val="20"/>
                <w:szCs w:val="20"/>
              </w:rPr>
            </w:pPr>
            <w:r w:rsidRPr="00BD02C2">
              <w:rPr>
                <w:color w:val="000000"/>
                <w:sz w:val="20"/>
                <w:szCs w:val="20"/>
              </w:rPr>
              <w:t>CONTROL</w:t>
            </w:r>
          </w:p>
        </w:tc>
        <w:tc>
          <w:tcPr>
            <w:tcW w:w="900" w:type="dxa"/>
          </w:tcPr>
          <w:p w14:paraId="180E7A7B" w14:textId="04F01A9A" w:rsidR="00F10AD2" w:rsidRPr="00BD02C2" w:rsidRDefault="00F10AD2" w:rsidP="00857906">
            <w:pPr>
              <w:spacing w:line="480" w:lineRule="auto"/>
              <w:rPr>
                <w:b/>
                <w:bCs/>
                <w:sz w:val="20"/>
                <w:szCs w:val="20"/>
              </w:rPr>
            </w:pPr>
            <w:r w:rsidRPr="00BD02C2">
              <w:rPr>
                <w:color w:val="000000"/>
                <w:sz w:val="20"/>
                <w:szCs w:val="20"/>
              </w:rPr>
              <w:t>HOSPITAL</w:t>
            </w:r>
          </w:p>
        </w:tc>
      </w:tr>
      <w:bookmarkEnd w:id="0"/>
      <w:tr w:rsidR="00857906" w14:paraId="3C7E5CE9" w14:textId="77777777" w:rsidTr="00857906">
        <w:trPr>
          <w:trHeight w:val="288"/>
        </w:trPr>
        <w:tc>
          <w:tcPr>
            <w:tcW w:w="715" w:type="dxa"/>
            <w:noWrap/>
            <w:hideMark/>
          </w:tcPr>
          <w:p w14:paraId="42EA77B1" w14:textId="0A3928F1" w:rsidR="00F10AD2" w:rsidRPr="00BD02C2" w:rsidRDefault="00F10AD2" w:rsidP="00F10AD2">
            <w:pPr>
              <w:rPr>
                <w:b/>
                <w:bCs/>
                <w:sz w:val="20"/>
                <w:szCs w:val="20"/>
              </w:rPr>
            </w:pPr>
            <w:r w:rsidRPr="00BD02C2">
              <w:rPr>
                <w:b/>
                <w:bCs/>
                <w:color w:val="000000"/>
                <w:sz w:val="20"/>
                <w:szCs w:val="20"/>
              </w:rPr>
              <w:t>count</w:t>
            </w:r>
          </w:p>
        </w:tc>
        <w:tc>
          <w:tcPr>
            <w:tcW w:w="990" w:type="dxa"/>
            <w:noWrap/>
            <w:hideMark/>
          </w:tcPr>
          <w:p w14:paraId="37FEA0C3" w14:textId="4B385EB9" w:rsidR="00F10AD2" w:rsidRPr="00BD02C2" w:rsidRDefault="00F10AD2" w:rsidP="00F10AD2">
            <w:pPr>
              <w:rPr>
                <w:color w:val="000000"/>
                <w:sz w:val="20"/>
                <w:szCs w:val="20"/>
              </w:rPr>
            </w:pPr>
            <w:r w:rsidRPr="00BD02C2">
              <w:rPr>
                <w:color w:val="000000"/>
                <w:sz w:val="20"/>
                <w:szCs w:val="20"/>
              </w:rPr>
              <w:t>5721</w:t>
            </w:r>
          </w:p>
        </w:tc>
        <w:tc>
          <w:tcPr>
            <w:tcW w:w="1080" w:type="dxa"/>
            <w:noWrap/>
            <w:hideMark/>
          </w:tcPr>
          <w:p w14:paraId="3E6A1C0D" w14:textId="506D8EB1" w:rsidR="00F10AD2" w:rsidRPr="00BD02C2" w:rsidRDefault="00F10AD2" w:rsidP="00F10AD2">
            <w:pPr>
              <w:rPr>
                <w:color w:val="000000"/>
                <w:sz w:val="20"/>
                <w:szCs w:val="20"/>
              </w:rPr>
            </w:pPr>
            <w:r w:rsidRPr="00BD02C2">
              <w:rPr>
                <w:color w:val="000000"/>
                <w:sz w:val="20"/>
                <w:szCs w:val="20"/>
              </w:rPr>
              <w:t>5721</w:t>
            </w:r>
          </w:p>
        </w:tc>
        <w:tc>
          <w:tcPr>
            <w:tcW w:w="900" w:type="dxa"/>
            <w:noWrap/>
            <w:hideMark/>
          </w:tcPr>
          <w:p w14:paraId="07C2F5F1" w14:textId="495841D0" w:rsidR="00F10AD2" w:rsidRPr="00BD02C2" w:rsidRDefault="00F10AD2" w:rsidP="00F10AD2">
            <w:pPr>
              <w:rPr>
                <w:color w:val="000000"/>
                <w:sz w:val="20"/>
                <w:szCs w:val="20"/>
              </w:rPr>
            </w:pPr>
            <w:r w:rsidRPr="00BD02C2">
              <w:rPr>
                <w:color w:val="000000"/>
                <w:sz w:val="20"/>
                <w:szCs w:val="20"/>
              </w:rPr>
              <w:t>5721</w:t>
            </w:r>
          </w:p>
        </w:tc>
        <w:tc>
          <w:tcPr>
            <w:tcW w:w="1080" w:type="dxa"/>
            <w:noWrap/>
            <w:hideMark/>
          </w:tcPr>
          <w:p w14:paraId="5D61E282" w14:textId="3F3185D3" w:rsidR="00F10AD2" w:rsidRPr="00BD02C2" w:rsidRDefault="00F10AD2" w:rsidP="00F10AD2">
            <w:pPr>
              <w:rPr>
                <w:color w:val="000000"/>
                <w:sz w:val="20"/>
                <w:szCs w:val="20"/>
              </w:rPr>
            </w:pPr>
            <w:r w:rsidRPr="00BD02C2">
              <w:rPr>
                <w:color w:val="000000"/>
                <w:sz w:val="20"/>
                <w:szCs w:val="20"/>
              </w:rPr>
              <w:t>5721</w:t>
            </w:r>
          </w:p>
        </w:tc>
        <w:tc>
          <w:tcPr>
            <w:tcW w:w="1170" w:type="dxa"/>
            <w:noWrap/>
            <w:hideMark/>
          </w:tcPr>
          <w:p w14:paraId="0F3B8BC4" w14:textId="7B9CDEC7" w:rsidR="00F10AD2" w:rsidRPr="00BD02C2" w:rsidRDefault="00F10AD2" w:rsidP="00F10AD2">
            <w:pPr>
              <w:rPr>
                <w:color w:val="000000"/>
                <w:sz w:val="20"/>
                <w:szCs w:val="20"/>
              </w:rPr>
            </w:pPr>
            <w:r w:rsidRPr="00BD02C2">
              <w:rPr>
                <w:color w:val="000000"/>
                <w:sz w:val="20"/>
                <w:szCs w:val="20"/>
              </w:rPr>
              <w:t>5721</w:t>
            </w:r>
          </w:p>
        </w:tc>
        <w:tc>
          <w:tcPr>
            <w:tcW w:w="900" w:type="dxa"/>
            <w:noWrap/>
            <w:hideMark/>
          </w:tcPr>
          <w:p w14:paraId="7A6D9F50" w14:textId="565D4120" w:rsidR="00F10AD2" w:rsidRPr="00BD02C2" w:rsidRDefault="00F10AD2" w:rsidP="00F10AD2">
            <w:pPr>
              <w:rPr>
                <w:color w:val="000000"/>
                <w:sz w:val="20"/>
                <w:szCs w:val="20"/>
              </w:rPr>
            </w:pPr>
            <w:r w:rsidRPr="00BD02C2">
              <w:rPr>
                <w:color w:val="000000"/>
                <w:sz w:val="20"/>
                <w:szCs w:val="20"/>
              </w:rPr>
              <w:t>5721</w:t>
            </w:r>
          </w:p>
        </w:tc>
        <w:tc>
          <w:tcPr>
            <w:tcW w:w="1080" w:type="dxa"/>
            <w:noWrap/>
            <w:hideMark/>
          </w:tcPr>
          <w:p w14:paraId="5A85BA58" w14:textId="36FB383D" w:rsidR="00F10AD2" w:rsidRPr="00BD02C2" w:rsidRDefault="00F10AD2" w:rsidP="00F10AD2">
            <w:pPr>
              <w:rPr>
                <w:color w:val="000000"/>
                <w:sz w:val="20"/>
                <w:szCs w:val="20"/>
              </w:rPr>
            </w:pPr>
            <w:r w:rsidRPr="00BD02C2">
              <w:rPr>
                <w:color w:val="000000"/>
                <w:sz w:val="20"/>
                <w:szCs w:val="20"/>
              </w:rPr>
              <w:t>5721</w:t>
            </w:r>
          </w:p>
        </w:tc>
        <w:tc>
          <w:tcPr>
            <w:tcW w:w="1170" w:type="dxa"/>
            <w:noWrap/>
            <w:hideMark/>
          </w:tcPr>
          <w:p w14:paraId="574AAC97" w14:textId="20217D83" w:rsidR="00F10AD2" w:rsidRPr="00BD02C2" w:rsidRDefault="00F10AD2" w:rsidP="00F10AD2">
            <w:pPr>
              <w:rPr>
                <w:color w:val="000000"/>
                <w:sz w:val="20"/>
                <w:szCs w:val="20"/>
              </w:rPr>
            </w:pPr>
            <w:r w:rsidRPr="00BD02C2">
              <w:rPr>
                <w:color w:val="000000"/>
                <w:sz w:val="20"/>
                <w:szCs w:val="20"/>
              </w:rPr>
              <w:t>5721</w:t>
            </w:r>
          </w:p>
        </w:tc>
        <w:tc>
          <w:tcPr>
            <w:tcW w:w="900" w:type="dxa"/>
            <w:noWrap/>
            <w:hideMark/>
          </w:tcPr>
          <w:p w14:paraId="66CC08E6" w14:textId="7BC663E7" w:rsidR="00F10AD2" w:rsidRPr="00BD02C2" w:rsidRDefault="00F10AD2" w:rsidP="00F10AD2">
            <w:pPr>
              <w:rPr>
                <w:color w:val="000000"/>
                <w:sz w:val="20"/>
                <w:szCs w:val="20"/>
              </w:rPr>
            </w:pPr>
            <w:r w:rsidRPr="00BD02C2">
              <w:rPr>
                <w:color w:val="000000"/>
                <w:sz w:val="20"/>
                <w:szCs w:val="20"/>
              </w:rPr>
              <w:t>5721</w:t>
            </w:r>
          </w:p>
        </w:tc>
      </w:tr>
      <w:tr w:rsidR="00F10AD2" w14:paraId="66FDB82D" w14:textId="77777777" w:rsidTr="00857906">
        <w:trPr>
          <w:trHeight w:val="288"/>
        </w:trPr>
        <w:tc>
          <w:tcPr>
            <w:tcW w:w="715" w:type="dxa"/>
            <w:noWrap/>
            <w:hideMark/>
          </w:tcPr>
          <w:p w14:paraId="56BF2C10" w14:textId="0C8A9C05" w:rsidR="00F10AD2" w:rsidRPr="00BD02C2" w:rsidRDefault="00F10AD2" w:rsidP="00F10AD2">
            <w:pPr>
              <w:rPr>
                <w:color w:val="000000"/>
                <w:sz w:val="20"/>
                <w:szCs w:val="20"/>
              </w:rPr>
            </w:pPr>
            <w:r w:rsidRPr="00BD02C2">
              <w:rPr>
                <w:b/>
                <w:bCs/>
                <w:color w:val="000000"/>
                <w:sz w:val="20"/>
                <w:szCs w:val="20"/>
              </w:rPr>
              <w:t>mean</w:t>
            </w:r>
          </w:p>
        </w:tc>
        <w:tc>
          <w:tcPr>
            <w:tcW w:w="990" w:type="dxa"/>
            <w:noWrap/>
            <w:hideMark/>
          </w:tcPr>
          <w:p w14:paraId="7F0A3E58" w14:textId="7FD0F4A1" w:rsidR="00F10AD2" w:rsidRPr="00BD02C2" w:rsidRDefault="00F10AD2" w:rsidP="00F10AD2">
            <w:pPr>
              <w:rPr>
                <w:color w:val="000000"/>
                <w:sz w:val="20"/>
                <w:szCs w:val="20"/>
              </w:rPr>
            </w:pPr>
            <w:r w:rsidRPr="00BD02C2">
              <w:rPr>
                <w:color w:val="000000"/>
                <w:sz w:val="20"/>
                <w:szCs w:val="20"/>
              </w:rPr>
              <w:t>6936.13</w:t>
            </w:r>
          </w:p>
        </w:tc>
        <w:tc>
          <w:tcPr>
            <w:tcW w:w="1080" w:type="dxa"/>
            <w:noWrap/>
            <w:hideMark/>
          </w:tcPr>
          <w:p w14:paraId="4706C2AF" w14:textId="26FEDBCF" w:rsidR="00F10AD2" w:rsidRPr="00BD02C2" w:rsidRDefault="00F10AD2" w:rsidP="00F10AD2">
            <w:pPr>
              <w:rPr>
                <w:color w:val="000000"/>
                <w:sz w:val="20"/>
                <w:szCs w:val="20"/>
              </w:rPr>
            </w:pPr>
            <w:r w:rsidRPr="00BD02C2">
              <w:rPr>
                <w:color w:val="000000"/>
                <w:sz w:val="20"/>
                <w:szCs w:val="20"/>
              </w:rPr>
              <w:t>4097.30</w:t>
            </w:r>
          </w:p>
        </w:tc>
        <w:tc>
          <w:tcPr>
            <w:tcW w:w="900" w:type="dxa"/>
            <w:noWrap/>
            <w:hideMark/>
          </w:tcPr>
          <w:p w14:paraId="69679235" w14:textId="255A8468" w:rsidR="00F10AD2" w:rsidRPr="00BD02C2" w:rsidRDefault="00F10AD2" w:rsidP="00F10AD2">
            <w:pPr>
              <w:rPr>
                <w:color w:val="000000"/>
                <w:sz w:val="20"/>
                <w:szCs w:val="20"/>
              </w:rPr>
            </w:pPr>
            <w:r w:rsidRPr="00BD02C2">
              <w:rPr>
                <w:color w:val="000000"/>
                <w:sz w:val="20"/>
                <w:szCs w:val="20"/>
              </w:rPr>
              <w:t>895.51</w:t>
            </w:r>
          </w:p>
        </w:tc>
        <w:tc>
          <w:tcPr>
            <w:tcW w:w="1080" w:type="dxa"/>
            <w:noWrap/>
            <w:hideMark/>
          </w:tcPr>
          <w:p w14:paraId="4560E4E7" w14:textId="4BA1B42C" w:rsidR="00F10AD2" w:rsidRPr="00BD02C2" w:rsidRDefault="00F10AD2" w:rsidP="00F10AD2">
            <w:pPr>
              <w:rPr>
                <w:color w:val="000000"/>
                <w:sz w:val="20"/>
                <w:szCs w:val="20"/>
              </w:rPr>
            </w:pPr>
            <w:r w:rsidRPr="00BD02C2">
              <w:rPr>
                <w:color w:val="000000"/>
                <w:sz w:val="20"/>
                <w:szCs w:val="20"/>
              </w:rPr>
              <w:t>344.66</w:t>
            </w:r>
          </w:p>
        </w:tc>
        <w:tc>
          <w:tcPr>
            <w:tcW w:w="1170" w:type="dxa"/>
            <w:noWrap/>
            <w:hideMark/>
          </w:tcPr>
          <w:p w14:paraId="313A501B" w14:textId="65835E50" w:rsidR="00F10AD2" w:rsidRPr="00BD02C2" w:rsidRDefault="00F10AD2" w:rsidP="00F10AD2">
            <w:pPr>
              <w:rPr>
                <w:color w:val="000000"/>
                <w:sz w:val="20"/>
                <w:szCs w:val="20"/>
              </w:rPr>
            </w:pPr>
            <w:r w:rsidRPr="00BD02C2">
              <w:rPr>
                <w:color w:val="000000"/>
                <w:sz w:val="20"/>
                <w:szCs w:val="20"/>
              </w:rPr>
              <w:t>3461.68</w:t>
            </w:r>
          </w:p>
        </w:tc>
        <w:tc>
          <w:tcPr>
            <w:tcW w:w="900" w:type="dxa"/>
            <w:noWrap/>
            <w:hideMark/>
          </w:tcPr>
          <w:p w14:paraId="251FDBA6" w14:textId="76A64E86" w:rsidR="00F10AD2" w:rsidRPr="00BD02C2" w:rsidRDefault="00F10AD2" w:rsidP="00F10AD2">
            <w:pPr>
              <w:rPr>
                <w:color w:val="000000"/>
                <w:sz w:val="20"/>
                <w:szCs w:val="20"/>
              </w:rPr>
            </w:pPr>
            <w:r w:rsidRPr="00BD02C2">
              <w:rPr>
                <w:color w:val="000000"/>
                <w:sz w:val="20"/>
                <w:szCs w:val="20"/>
              </w:rPr>
              <w:t>3409.72</w:t>
            </w:r>
          </w:p>
        </w:tc>
        <w:tc>
          <w:tcPr>
            <w:tcW w:w="1080" w:type="dxa"/>
            <w:noWrap/>
            <w:hideMark/>
          </w:tcPr>
          <w:p w14:paraId="523A3FDA" w14:textId="0223288A" w:rsidR="00F10AD2" w:rsidRPr="00BD02C2" w:rsidRDefault="00F10AD2" w:rsidP="00F10AD2">
            <w:pPr>
              <w:rPr>
                <w:color w:val="000000"/>
                <w:sz w:val="20"/>
                <w:szCs w:val="20"/>
              </w:rPr>
            </w:pPr>
            <w:r w:rsidRPr="00BD02C2">
              <w:rPr>
                <w:color w:val="000000"/>
                <w:sz w:val="20"/>
                <w:szCs w:val="20"/>
              </w:rPr>
              <w:t>4.63</w:t>
            </w:r>
          </w:p>
        </w:tc>
        <w:tc>
          <w:tcPr>
            <w:tcW w:w="1170" w:type="dxa"/>
            <w:noWrap/>
            <w:hideMark/>
          </w:tcPr>
          <w:p w14:paraId="1FB07227" w14:textId="674DDA81" w:rsidR="00F10AD2" w:rsidRPr="00BD02C2" w:rsidRDefault="00F10AD2" w:rsidP="00F10AD2">
            <w:pPr>
              <w:rPr>
                <w:color w:val="000000"/>
                <w:sz w:val="20"/>
                <w:szCs w:val="20"/>
              </w:rPr>
            </w:pPr>
            <w:r w:rsidRPr="00BD02C2">
              <w:rPr>
                <w:color w:val="000000"/>
                <w:sz w:val="20"/>
                <w:szCs w:val="20"/>
              </w:rPr>
              <w:t>2.05</w:t>
            </w:r>
          </w:p>
        </w:tc>
        <w:tc>
          <w:tcPr>
            <w:tcW w:w="900" w:type="dxa"/>
            <w:noWrap/>
            <w:hideMark/>
          </w:tcPr>
          <w:p w14:paraId="4F18017B" w14:textId="7C620128" w:rsidR="00F10AD2" w:rsidRPr="00BD02C2" w:rsidRDefault="00F10AD2" w:rsidP="00F10AD2">
            <w:pPr>
              <w:rPr>
                <w:color w:val="000000"/>
                <w:sz w:val="20"/>
                <w:szCs w:val="20"/>
              </w:rPr>
            </w:pPr>
            <w:r w:rsidRPr="00BD02C2">
              <w:rPr>
                <w:color w:val="000000"/>
                <w:sz w:val="20"/>
                <w:szCs w:val="20"/>
              </w:rPr>
              <w:t>0.82</w:t>
            </w:r>
          </w:p>
        </w:tc>
      </w:tr>
      <w:tr w:rsidR="00F10AD2" w14:paraId="37045875" w14:textId="77777777" w:rsidTr="00857906">
        <w:trPr>
          <w:trHeight w:val="288"/>
        </w:trPr>
        <w:tc>
          <w:tcPr>
            <w:tcW w:w="715" w:type="dxa"/>
            <w:noWrap/>
            <w:hideMark/>
          </w:tcPr>
          <w:p w14:paraId="2E8F9727" w14:textId="068140E4" w:rsidR="00F10AD2" w:rsidRPr="00BD02C2" w:rsidRDefault="00F10AD2" w:rsidP="00F10AD2">
            <w:pPr>
              <w:rPr>
                <w:b/>
                <w:bCs/>
                <w:color w:val="000000"/>
                <w:sz w:val="20"/>
                <w:szCs w:val="20"/>
              </w:rPr>
            </w:pPr>
            <w:r w:rsidRPr="00BD02C2">
              <w:rPr>
                <w:b/>
                <w:bCs/>
                <w:color w:val="000000"/>
                <w:sz w:val="20"/>
                <w:szCs w:val="20"/>
              </w:rPr>
              <w:t>std</w:t>
            </w:r>
          </w:p>
        </w:tc>
        <w:tc>
          <w:tcPr>
            <w:tcW w:w="990" w:type="dxa"/>
            <w:noWrap/>
            <w:hideMark/>
          </w:tcPr>
          <w:p w14:paraId="55A66FDC" w14:textId="3838C339" w:rsidR="00F10AD2" w:rsidRPr="00BD02C2" w:rsidRDefault="00F10AD2" w:rsidP="00F10AD2">
            <w:pPr>
              <w:rPr>
                <w:color w:val="000000"/>
                <w:sz w:val="20"/>
                <w:szCs w:val="20"/>
              </w:rPr>
            </w:pPr>
            <w:r w:rsidRPr="00BD02C2">
              <w:rPr>
                <w:color w:val="000000"/>
                <w:sz w:val="20"/>
                <w:szCs w:val="20"/>
              </w:rPr>
              <w:t>8013.20</w:t>
            </w:r>
          </w:p>
        </w:tc>
        <w:tc>
          <w:tcPr>
            <w:tcW w:w="1080" w:type="dxa"/>
            <w:noWrap/>
            <w:hideMark/>
          </w:tcPr>
          <w:p w14:paraId="6D1E29B4" w14:textId="285B5AA1" w:rsidR="00F10AD2" w:rsidRPr="00BD02C2" w:rsidRDefault="00F10AD2" w:rsidP="00F10AD2">
            <w:pPr>
              <w:rPr>
                <w:color w:val="000000"/>
                <w:sz w:val="20"/>
                <w:szCs w:val="20"/>
              </w:rPr>
            </w:pPr>
            <w:r w:rsidRPr="00BD02C2">
              <w:rPr>
                <w:color w:val="000000"/>
                <w:sz w:val="20"/>
                <w:szCs w:val="20"/>
              </w:rPr>
              <w:t>3903.81</w:t>
            </w:r>
          </w:p>
        </w:tc>
        <w:tc>
          <w:tcPr>
            <w:tcW w:w="900" w:type="dxa"/>
            <w:noWrap/>
            <w:hideMark/>
          </w:tcPr>
          <w:p w14:paraId="3932D5FA" w14:textId="376ED6A0" w:rsidR="00F10AD2" w:rsidRPr="00BD02C2" w:rsidRDefault="00F10AD2" w:rsidP="00F10AD2">
            <w:pPr>
              <w:rPr>
                <w:color w:val="000000"/>
                <w:sz w:val="20"/>
                <w:szCs w:val="20"/>
              </w:rPr>
            </w:pPr>
            <w:r w:rsidRPr="00BD02C2">
              <w:rPr>
                <w:color w:val="000000"/>
                <w:sz w:val="20"/>
                <w:szCs w:val="20"/>
              </w:rPr>
              <w:t>895.68</w:t>
            </w:r>
          </w:p>
        </w:tc>
        <w:tc>
          <w:tcPr>
            <w:tcW w:w="1080" w:type="dxa"/>
            <w:noWrap/>
            <w:hideMark/>
          </w:tcPr>
          <w:p w14:paraId="6E47ADC3" w14:textId="723C0A29" w:rsidR="00F10AD2" w:rsidRPr="00BD02C2" w:rsidRDefault="00F10AD2" w:rsidP="00F10AD2">
            <w:pPr>
              <w:rPr>
                <w:color w:val="000000"/>
                <w:sz w:val="20"/>
                <w:szCs w:val="20"/>
              </w:rPr>
            </w:pPr>
            <w:r w:rsidRPr="00BD02C2">
              <w:rPr>
                <w:color w:val="000000"/>
                <w:sz w:val="20"/>
                <w:szCs w:val="20"/>
              </w:rPr>
              <w:t>515.38</w:t>
            </w:r>
          </w:p>
        </w:tc>
        <w:tc>
          <w:tcPr>
            <w:tcW w:w="1170" w:type="dxa"/>
            <w:noWrap/>
            <w:hideMark/>
          </w:tcPr>
          <w:p w14:paraId="4EE1F8CA" w14:textId="3FC74155" w:rsidR="00F10AD2" w:rsidRPr="00BD02C2" w:rsidRDefault="00F10AD2" w:rsidP="00F10AD2">
            <w:pPr>
              <w:rPr>
                <w:color w:val="000000"/>
                <w:sz w:val="20"/>
                <w:szCs w:val="20"/>
              </w:rPr>
            </w:pPr>
            <w:r w:rsidRPr="00BD02C2">
              <w:rPr>
                <w:color w:val="000000"/>
                <w:sz w:val="20"/>
                <w:szCs w:val="20"/>
              </w:rPr>
              <w:t>5160.19</w:t>
            </w:r>
          </w:p>
        </w:tc>
        <w:tc>
          <w:tcPr>
            <w:tcW w:w="900" w:type="dxa"/>
            <w:noWrap/>
            <w:hideMark/>
          </w:tcPr>
          <w:p w14:paraId="4E124D66" w14:textId="6F01362D" w:rsidR="00F10AD2" w:rsidRPr="00BD02C2" w:rsidRDefault="00F10AD2" w:rsidP="00F10AD2">
            <w:pPr>
              <w:rPr>
                <w:color w:val="000000"/>
                <w:sz w:val="20"/>
                <w:szCs w:val="20"/>
              </w:rPr>
            </w:pPr>
            <w:r w:rsidRPr="00BD02C2">
              <w:rPr>
                <w:color w:val="000000"/>
                <w:sz w:val="20"/>
                <w:szCs w:val="20"/>
              </w:rPr>
              <w:t>5754.01</w:t>
            </w:r>
          </w:p>
        </w:tc>
        <w:tc>
          <w:tcPr>
            <w:tcW w:w="1080" w:type="dxa"/>
            <w:noWrap/>
            <w:hideMark/>
          </w:tcPr>
          <w:p w14:paraId="2F30311A" w14:textId="3217AFCD" w:rsidR="00F10AD2" w:rsidRPr="00BD02C2" w:rsidRDefault="00F10AD2" w:rsidP="00F10AD2">
            <w:pPr>
              <w:rPr>
                <w:color w:val="000000"/>
                <w:sz w:val="20"/>
                <w:szCs w:val="20"/>
              </w:rPr>
            </w:pPr>
            <w:r w:rsidRPr="00BD02C2">
              <w:rPr>
                <w:color w:val="000000"/>
                <w:sz w:val="20"/>
                <w:szCs w:val="20"/>
              </w:rPr>
              <w:t>2.18</w:t>
            </w:r>
          </w:p>
        </w:tc>
        <w:tc>
          <w:tcPr>
            <w:tcW w:w="1170" w:type="dxa"/>
            <w:noWrap/>
            <w:hideMark/>
          </w:tcPr>
          <w:p w14:paraId="66D86D43" w14:textId="5286E9B1" w:rsidR="00F10AD2" w:rsidRPr="00BD02C2" w:rsidRDefault="00F10AD2" w:rsidP="00F10AD2">
            <w:pPr>
              <w:rPr>
                <w:color w:val="000000"/>
                <w:sz w:val="20"/>
                <w:szCs w:val="20"/>
              </w:rPr>
            </w:pPr>
            <w:r w:rsidRPr="00BD02C2">
              <w:rPr>
                <w:color w:val="000000"/>
                <w:sz w:val="20"/>
                <w:szCs w:val="20"/>
              </w:rPr>
              <w:t>0.85</w:t>
            </w:r>
          </w:p>
        </w:tc>
        <w:tc>
          <w:tcPr>
            <w:tcW w:w="900" w:type="dxa"/>
            <w:noWrap/>
            <w:hideMark/>
          </w:tcPr>
          <w:p w14:paraId="17E493BC" w14:textId="0F10568E" w:rsidR="00F10AD2" w:rsidRPr="00BD02C2" w:rsidRDefault="00F10AD2" w:rsidP="00F10AD2">
            <w:pPr>
              <w:rPr>
                <w:color w:val="000000"/>
                <w:sz w:val="20"/>
                <w:szCs w:val="20"/>
              </w:rPr>
            </w:pPr>
            <w:r w:rsidRPr="00BD02C2">
              <w:rPr>
                <w:color w:val="000000"/>
                <w:sz w:val="20"/>
                <w:szCs w:val="20"/>
              </w:rPr>
              <w:t>0.98</w:t>
            </w:r>
          </w:p>
        </w:tc>
      </w:tr>
      <w:tr w:rsidR="00F10AD2" w14:paraId="2421C0BC" w14:textId="77777777" w:rsidTr="00857906">
        <w:trPr>
          <w:trHeight w:val="288"/>
        </w:trPr>
        <w:tc>
          <w:tcPr>
            <w:tcW w:w="715" w:type="dxa"/>
            <w:noWrap/>
            <w:hideMark/>
          </w:tcPr>
          <w:p w14:paraId="3CC24D15" w14:textId="0D432046" w:rsidR="00F10AD2" w:rsidRPr="00BD02C2" w:rsidRDefault="00F10AD2" w:rsidP="00F10AD2">
            <w:pPr>
              <w:rPr>
                <w:b/>
                <w:bCs/>
                <w:color w:val="000000"/>
                <w:sz w:val="20"/>
                <w:szCs w:val="20"/>
              </w:rPr>
            </w:pPr>
            <w:r w:rsidRPr="00BD02C2">
              <w:rPr>
                <w:b/>
                <w:bCs/>
                <w:color w:val="000000"/>
                <w:sz w:val="20"/>
                <w:szCs w:val="20"/>
              </w:rPr>
              <w:lastRenderedPageBreak/>
              <w:t>min</w:t>
            </w:r>
          </w:p>
        </w:tc>
        <w:tc>
          <w:tcPr>
            <w:tcW w:w="990" w:type="dxa"/>
            <w:noWrap/>
            <w:hideMark/>
          </w:tcPr>
          <w:p w14:paraId="0513EA89" w14:textId="3E7FF564" w:rsidR="00F10AD2" w:rsidRPr="00BD02C2" w:rsidRDefault="00F10AD2" w:rsidP="00F10AD2">
            <w:pPr>
              <w:rPr>
                <w:color w:val="000000"/>
                <w:sz w:val="20"/>
                <w:szCs w:val="20"/>
              </w:rPr>
            </w:pPr>
            <w:r w:rsidRPr="00BD02C2">
              <w:rPr>
                <w:color w:val="000000"/>
                <w:sz w:val="20"/>
                <w:szCs w:val="20"/>
              </w:rPr>
              <w:t>0</w:t>
            </w:r>
          </w:p>
        </w:tc>
        <w:tc>
          <w:tcPr>
            <w:tcW w:w="1080" w:type="dxa"/>
            <w:noWrap/>
            <w:hideMark/>
          </w:tcPr>
          <w:p w14:paraId="68193D51" w14:textId="6BA57A48" w:rsidR="00F10AD2" w:rsidRPr="00BD02C2" w:rsidRDefault="00F10AD2" w:rsidP="00F10AD2">
            <w:pPr>
              <w:rPr>
                <w:color w:val="000000"/>
                <w:sz w:val="20"/>
                <w:szCs w:val="20"/>
              </w:rPr>
            </w:pPr>
            <w:r w:rsidRPr="00BD02C2">
              <w:rPr>
                <w:color w:val="000000"/>
                <w:sz w:val="20"/>
                <w:szCs w:val="20"/>
              </w:rPr>
              <w:t>0</w:t>
            </w:r>
          </w:p>
        </w:tc>
        <w:tc>
          <w:tcPr>
            <w:tcW w:w="900" w:type="dxa"/>
            <w:noWrap/>
            <w:hideMark/>
          </w:tcPr>
          <w:p w14:paraId="2B524B6E" w14:textId="2EC2BDBA" w:rsidR="00F10AD2" w:rsidRPr="00BD02C2" w:rsidRDefault="00F10AD2" w:rsidP="00F10AD2">
            <w:pPr>
              <w:rPr>
                <w:color w:val="000000"/>
                <w:sz w:val="20"/>
                <w:szCs w:val="20"/>
              </w:rPr>
            </w:pPr>
            <w:r w:rsidRPr="00BD02C2">
              <w:rPr>
                <w:color w:val="000000"/>
                <w:sz w:val="20"/>
                <w:szCs w:val="20"/>
              </w:rPr>
              <w:t>0</w:t>
            </w:r>
          </w:p>
        </w:tc>
        <w:tc>
          <w:tcPr>
            <w:tcW w:w="1080" w:type="dxa"/>
            <w:noWrap/>
            <w:hideMark/>
          </w:tcPr>
          <w:p w14:paraId="0F24903C" w14:textId="0293D5EB" w:rsidR="00F10AD2" w:rsidRPr="00BD02C2" w:rsidRDefault="00F10AD2" w:rsidP="00F10AD2">
            <w:pPr>
              <w:rPr>
                <w:color w:val="000000"/>
                <w:sz w:val="20"/>
                <w:szCs w:val="20"/>
              </w:rPr>
            </w:pPr>
            <w:r w:rsidRPr="00BD02C2">
              <w:rPr>
                <w:color w:val="000000"/>
                <w:sz w:val="20"/>
                <w:szCs w:val="20"/>
              </w:rPr>
              <w:t>2</w:t>
            </w:r>
          </w:p>
        </w:tc>
        <w:tc>
          <w:tcPr>
            <w:tcW w:w="1170" w:type="dxa"/>
            <w:noWrap/>
            <w:hideMark/>
          </w:tcPr>
          <w:p w14:paraId="08BDF609" w14:textId="2BE9E96D" w:rsidR="00F10AD2" w:rsidRPr="00BD02C2" w:rsidRDefault="00F10AD2" w:rsidP="00F10AD2">
            <w:pPr>
              <w:rPr>
                <w:color w:val="000000"/>
                <w:sz w:val="20"/>
                <w:szCs w:val="20"/>
              </w:rPr>
            </w:pPr>
            <w:r w:rsidRPr="00BD02C2">
              <w:rPr>
                <w:color w:val="000000"/>
                <w:sz w:val="20"/>
                <w:szCs w:val="20"/>
              </w:rPr>
              <w:t>2</w:t>
            </w:r>
          </w:p>
        </w:tc>
        <w:tc>
          <w:tcPr>
            <w:tcW w:w="900" w:type="dxa"/>
            <w:noWrap/>
            <w:hideMark/>
          </w:tcPr>
          <w:p w14:paraId="7A947F7F" w14:textId="476257C8" w:rsidR="00F10AD2" w:rsidRPr="00BD02C2" w:rsidRDefault="00F10AD2" w:rsidP="00F10AD2">
            <w:pPr>
              <w:rPr>
                <w:color w:val="000000"/>
                <w:sz w:val="20"/>
                <w:szCs w:val="20"/>
              </w:rPr>
            </w:pPr>
            <w:r w:rsidRPr="00BD02C2">
              <w:rPr>
                <w:color w:val="000000"/>
                <w:sz w:val="20"/>
                <w:szCs w:val="20"/>
              </w:rPr>
              <w:t>0</w:t>
            </w:r>
          </w:p>
        </w:tc>
        <w:tc>
          <w:tcPr>
            <w:tcW w:w="1080" w:type="dxa"/>
            <w:noWrap/>
            <w:hideMark/>
          </w:tcPr>
          <w:p w14:paraId="2DEC2F3D" w14:textId="6279C7C2" w:rsidR="00F10AD2" w:rsidRPr="00BD02C2" w:rsidRDefault="00F10AD2" w:rsidP="00F10AD2">
            <w:pPr>
              <w:rPr>
                <w:color w:val="000000"/>
                <w:sz w:val="20"/>
                <w:szCs w:val="20"/>
              </w:rPr>
            </w:pPr>
            <w:r w:rsidRPr="00BD02C2">
              <w:rPr>
                <w:color w:val="000000"/>
                <w:sz w:val="20"/>
                <w:szCs w:val="20"/>
              </w:rPr>
              <w:t>0</w:t>
            </w:r>
          </w:p>
        </w:tc>
        <w:tc>
          <w:tcPr>
            <w:tcW w:w="1170" w:type="dxa"/>
            <w:noWrap/>
            <w:hideMark/>
          </w:tcPr>
          <w:p w14:paraId="58DCF3A0" w14:textId="6722D63B" w:rsidR="00F10AD2" w:rsidRPr="00BD02C2" w:rsidRDefault="00F10AD2" w:rsidP="00F10AD2">
            <w:pPr>
              <w:rPr>
                <w:color w:val="000000"/>
                <w:sz w:val="20"/>
                <w:szCs w:val="20"/>
              </w:rPr>
            </w:pPr>
            <w:r w:rsidRPr="00BD02C2">
              <w:rPr>
                <w:color w:val="000000"/>
                <w:sz w:val="20"/>
                <w:szCs w:val="20"/>
              </w:rPr>
              <w:t>1</w:t>
            </w:r>
          </w:p>
        </w:tc>
        <w:tc>
          <w:tcPr>
            <w:tcW w:w="900" w:type="dxa"/>
            <w:noWrap/>
            <w:hideMark/>
          </w:tcPr>
          <w:p w14:paraId="2F7B315E" w14:textId="0982007B" w:rsidR="00F10AD2" w:rsidRPr="00BD02C2" w:rsidRDefault="00F10AD2" w:rsidP="00F10AD2">
            <w:pPr>
              <w:rPr>
                <w:color w:val="000000"/>
                <w:sz w:val="20"/>
                <w:szCs w:val="20"/>
              </w:rPr>
            </w:pPr>
            <w:r w:rsidRPr="00BD02C2">
              <w:rPr>
                <w:color w:val="000000"/>
                <w:sz w:val="20"/>
                <w:szCs w:val="20"/>
              </w:rPr>
              <w:t>0</w:t>
            </w:r>
          </w:p>
        </w:tc>
      </w:tr>
      <w:tr w:rsidR="00F10AD2" w14:paraId="00AFA46E" w14:textId="77777777" w:rsidTr="00857906">
        <w:trPr>
          <w:trHeight w:val="288"/>
        </w:trPr>
        <w:tc>
          <w:tcPr>
            <w:tcW w:w="715" w:type="dxa"/>
            <w:noWrap/>
            <w:hideMark/>
          </w:tcPr>
          <w:p w14:paraId="3DEBC11E" w14:textId="05D68CB1" w:rsidR="00F10AD2" w:rsidRPr="00BD02C2" w:rsidRDefault="00F10AD2" w:rsidP="00F10AD2">
            <w:pPr>
              <w:rPr>
                <w:b/>
                <w:bCs/>
                <w:color w:val="000000"/>
                <w:sz w:val="20"/>
                <w:szCs w:val="20"/>
              </w:rPr>
            </w:pPr>
            <w:r w:rsidRPr="00BD02C2">
              <w:rPr>
                <w:b/>
                <w:bCs/>
                <w:color w:val="000000"/>
                <w:sz w:val="20"/>
                <w:szCs w:val="20"/>
              </w:rPr>
              <w:t>25%</w:t>
            </w:r>
          </w:p>
        </w:tc>
        <w:tc>
          <w:tcPr>
            <w:tcW w:w="990" w:type="dxa"/>
            <w:noWrap/>
            <w:hideMark/>
          </w:tcPr>
          <w:p w14:paraId="185C670E" w14:textId="3857547C" w:rsidR="00F10AD2" w:rsidRPr="00BD02C2" w:rsidRDefault="00F10AD2" w:rsidP="00F10AD2">
            <w:pPr>
              <w:rPr>
                <w:color w:val="000000"/>
                <w:sz w:val="20"/>
                <w:szCs w:val="20"/>
              </w:rPr>
            </w:pPr>
            <w:r w:rsidRPr="00BD02C2">
              <w:rPr>
                <w:color w:val="000000"/>
                <w:sz w:val="20"/>
                <w:szCs w:val="20"/>
              </w:rPr>
              <w:t>3022.58</w:t>
            </w:r>
          </w:p>
        </w:tc>
        <w:tc>
          <w:tcPr>
            <w:tcW w:w="1080" w:type="dxa"/>
            <w:noWrap/>
            <w:hideMark/>
          </w:tcPr>
          <w:p w14:paraId="2BEA3EAE" w14:textId="00D08829" w:rsidR="00F10AD2" w:rsidRPr="00BD02C2" w:rsidRDefault="00F10AD2" w:rsidP="00F10AD2">
            <w:pPr>
              <w:rPr>
                <w:color w:val="000000"/>
                <w:sz w:val="20"/>
                <w:szCs w:val="20"/>
              </w:rPr>
            </w:pPr>
            <w:r w:rsidRPr="00BD02C2">
              <w:rPr>
                <w:color w:val="000000"/>
                <w:sz w:val="20"/>
                <w:szCs w:val="20"/>
              </w:rPr>
              <w:t>2203.02</w:t>
            </w:r>
          </w:p>
        </w:tc>
        <w:tc>
          <w:tcPr>
            <w:tcW w:w="900" w:type="dxa"/>
            <w:noWrap/>
            <w:hideMark/>
          </w:tcPr>
          <w:p w14:paraId="547374B3" w14:textId="4B20E577" w:rsidR="00F10AD2" w:rsidRPr="00BD02C2" w:rsidRDefault="00F10AD2" w:rsidP="00F10AD2">
            <w:pPr>
              <w:rPr>
                <w:color w:val="000000"/>
                <w:sz w:val="20"/>
                <w:szCs w:val="20"/>
              </w:rPr>
            </w:pPr>
            <w:r w:rsidRPr="00BD02C2">
              <w:rPr>
                <w:color w:val="000000"/>
                <w:sz w:val="20"/>
                <w:szCs w:val="20"/>
              </w:rPr>
              <w:t>564.66</w:t>
            </w:r>
          </w:p>
        </w:tc>
        <w:tc>
          <w:tcPr>
            <w:tcW w:w="1080" w:type="dxa"/>
            <w:noWrap/>
            <w:hideMark/>
          </w:tcPr>
          <w:p w14:paraId="6C50C88C" w14:textId="21E91D2C" w:rsidR="00F10AD2" w:rsidRPr="00BD02C2" w:rsidRDefault="00F10AD2" w:rsidP="00F10AD2">
            <w:pPr>
              <w:rPr>
                <w:color w:val="000000"/>
                <w:sz w:val="20"/>
                <w:szCs w:val="20"/>
              </w:rPr>
            </w:pPr>
            <w:r w:rsidRPr="00BD02C2">
              <w:rPr>
                <w:color w:val="000000"/>
                <w:sz w:val="20"/>
                <w:szCs w:val="20"/>
              </w:rPr>
              <w:t>98</w:t>
            </w:r>
          </w:p>
        </w:tc>
        <w:tc>
          <w:tcPr>
            <w:tcW w:w="1170" w:type="dxa"/>
            <w:noWrap/>
            <w:hideMark/>
          </w:tcPr>
          <w:p w14:paraId="722A94AC" w14:textId="2FD834D2" w:rsidR="00F10AD2" w:rsidRPr="00BD02C2" w:rsidRDefault="00F10AD2" w:rsidP="00F10AD2">
            <w:pPr>
              <w:rPr>
                <w:color w:val="000000"/>
                <w:sz w:val="20"/>
                <w:szCs w:val="20"/>
              </w:rPr>
            </w:pPr>
            <w:r w:rsidRPr="00BD02C2">
              <w:rPr>
                <w:color w:val="000000"/>
                <w:sz w:val="20"/>
                <w:szCs w:val="20"/>
              </w:rPr>
              <w:t>819</w:t>
            </w:r>
          </w:p>
        </w:tc>
        <w:tc>
          <w:tcPr>
            <w:tcW w:w="900" w:type="dxa"/>
            <w:noWrap/>
            <w:hideMark/>
          </w:tcPr>
          <w:p w14:paraId="66968763" w14:textId="05BF2CBB" w:rsidR="00F10AD2" w:rsidRPr="00BD02C2" w:rsidRDefault="00F10AD2" w:rsidP="00F10AD2">
            <w:pPr>
              <w:rPr>
                <w:color w:val="000000"/>
                <w:sz w:val="20"/>
                <w:szCs w:val="20"/>
              </w:rPr>
            </w:pPr>
            <w:r w:rsidRPr="00BD02C2">
              <w:rPr>
                <w:color w:val="000000"/>
                <w:sz w:val="20"/>
                <w:szCs w:val="20"/>
              </w:rPr>
              <w:t>0</w:t>
            </w:r>
          </w:p>
        </w:tc>
        <w:tc>
          <w:tcPr>
            <w:tcW w:w="1080" w:type="dxa"/>
            <w:noWrap/>
            <w:hideMark/>
          </w:tcPr>
          <w:p w14:paraId="37D4D960" w14:textId="7D91BEB8" w:rsidR="00F10AD2" w:rsidRPr="00BD02C2" w:rsidRDefault="00F10AD2" w:rsidP="00F10AD2">
            <w:pPr>
              <w:rPr>
                <w:color w:val="000000"/>
                <w:sz w:val="20"/>
                <w:szCs w:val="20"/>
              </w:rPr>
            </w:pPr>
            <w:r w:rsidRPr="00BD02C2">
              <w:rPr>
                <w:color w:val="000000"/>
                <w:sz w:val="20"/>
                <w:szCs w:val="20"/>
              </w:rPr>
              <w:t>3</w:t>
            </w:r>
          </w:p>
        </w:tc>
        <w:tc>
          <w:tcPr>
            <w:tcW w:w="1170" w:type="dxa"/>
            <w:noWrap/>
            <w:hideMark/>
          </w:tcPr>
          <w:p w14:paraId="7BA40DBD" w14:textId="727A45DC" w:rsidR="00F10AD2" w:rsidRPr="00BD02C2" w:rsidRDefault="00F10AD2" w:rsidP="00F10AD2">
            <w:pPr>
              <w:rPr>
                <w:color w:val="000000"/>
                <w:sz w:val="20"/>
                <w:szCs w:val="20"/>
              </w:rPr>
            </w:pPr>
            <w:r w:rsidRPr="00BD02C2">
              <w:rPr>
                <w:color w:val="000000"/>
                <w:sz w:val="20"/>
                <w:szCs w:val="20"/>
              </w:rPr>
              <w:t>1</w:t>
            </w:r>
          </w:p>
        </w:tc>
        <w:tc>
          <w:tcPr>
            <w:tcW w:w="900" w:type="dxa"/>
            <w:noWrap/>
            <w:hideMark/>
          </w:tcPr>
          <w:p w14:paraId="5FB01201" w14:textId="6B6CB1A6" w:rsidR="00F10AD2" w:rsidRPr="00BD02C2" w:rsidRDefault="00F10AD2" w:rsidP="00F10AD2">
            <w:pPr>
              <w:rPr>
                <w:color w:val="000000"/>
                <w:sz w:val="20"/>
                <w:szCs w:val="20"/>
              </w:rPr>
            </w:pPr>
            <w:r w:rsidRPr="00BD02C2">
              <w:rPr>
                <w:color w:val="000000"/>
                <w:sz w:val="20"/>
                <w:szCs w:val="20"/>
              </w:rPr>
              <w:t>0</w:t>
            </w:r>
          </w:p>
        </w:tc>
      </w:tr>
      <w:tr w:rsidR="00F10AD2" w14:paraId="2ECF1885" w14:textId="77777777" w:rsidTr="00857906">
        <w:trPr>
          <w:trHeight w:val="288"/>
        </w:trPr>
        <w:tc>
          <w:tcPr>
            <w:tcW w:w="715" w:type="dxa"/>
            <w:noWrap/>
            <w:hideMark/>
          </w:tcPr>
          <w:p w14:paraId="6D43D14C" w14:textId="3A9FE326" w:rsidR="00F10AD2" w:rsidRPr="00BD02C2" w:rsidRDefault="00F10AD2" w:rsidP="00F10AD2">
            <w:pPr>
              <w:rPr>
                <w:b/>
                <w:bCs/>
                <w:color w:val="000000"/>
                <w:sz w:val="20"/>
                <w:szCs w:val="20"/>
              </w:rPr>
            </w:pPr>
            <w:r w:rsidRPr="00BD02C2">
              <w:rPr>
                <w:b/>
                <w:bCs/>
                <w:color w:val="000000"/>
                <w:sz w:val="20"/>
                <w:szCs w:val="20"/>
              </w:rPr>
              <w:t>50%</w:t>
            </w:r>
          </w:p>
        </w:tc>
        <w:tc>
          <w:tcPr>
            <w:tcW w:w="990" w:type="dxa"/>
            <w:noWrap/>
            <w:hideMark/>
          </w:tcPr>
          <w:p w14:paraId="5DC1396F" w14:textId="1DE4054D" w:rsidR="00F10AD2" w:rsidRPr="00BD02C2" w:rsidRDefault="00F10AD2" w:rsidP="00F10AD2">
            <w:pPr>
              <w:rPr>
                <w:color w:val="000000"/>
                <w:sz w:val="20"/>
                <w:szCs w:val="20"/>
              </w:rPr>
            </w:pPr>
            <w:r w:rsidRPr="00BD02C2">
              <w:rPr>
                <w:color w:val="000000"/>
                <w:sz w:val="20"/>
                <w:szCs w:val="20"/>
              </w:rPr>
              <w:t>6573.61</w:t>
            </w:r>
          </w:p>
        </w:tc>
        <w:tc>
          <w:tcPr>
            <w:tcW w:w="1080" w:type="dxa"/>
            <w:noWrap/>
            <w:hideMark/>
          </w:tcPr>
          <w:p w14:paraId="58C54132" w14:textId="18766F26" w:rsidR="00F10AD2" w:rsidRPr="00BD02C2" w:rsidRDefault="00F10AD2" w:rsidP="00F10AD2">
            <w:pPr>
              <w:rPr>
                <w:color w:val="000000"/>
                <w:sz w:val="20"/>
                <w:szCs w:val="20"/>
              </w:rPr>
            </w:pPr>
            <w:r w:rsidRPr="00BD02C2">
              <w:rPr>
                <w:color w:val="000000"/>
                <w:sz w:val="20"/>
                <w:szCs w:val="20"/>
              </w:rPr>
              <w:t>3935.09</w:t>
            </w:r>
          </w:p>
        </w:tc>
        <w:tc>
          <w:tcPr>
            <w:tcW w:w="900" w:type="dxa"/>
            <w:noWrap/>
            <w:hideMark/>
          </w:tcPr>
          <w:p w14:paraId="22630E42" w14:textId="22698BAF" w:rsidR="00F10AD2" w:rsidRPr="00BD02C2" w:rsidRDefault="00F10AD2" w:rsidP="00F10AD2">
            <w:pPr>
              <w:rPr>
                <w:color w:val="000000"/>
                <w:sz w:val="20"/>
                <w:szCs w:val="20"/>
              </w:rPr>
            </w:pPr>
            <w:r w:rsidRPr="00BD02C2">
              <w:rPr>
                <w:color w:val="000000"/>
                <w:sz w:val="20"/>
                <w:szCs w:val="20"/>
              </w:rPr>
              <w:t>866.88</w:t>
            </w:r>
          </w:p>
        </w:tc>
        <w:tc>
          <w:tcPr>
            <w:tcW w:w="1080" w:type="dxa"/>
            <w:noWrap/>
            <w:hideMark/>
          </w:tcPr>
          <w:p w14:paraId="4D26AD74" w14:textId="6622D1C7" w:rsidR="00F10AD2" w:rsidRPr="00BD02C2" w:rsidRDefault="00F10AD2" w:rsidP="00F10AD2">
            <w:pPr>
              <w:rPr>
                <w:color w:val="000000"/>
                <w:sz w:val="20"/>
                <w:szCs w:val="20"/>
              </w:rPr>
            </w:pPr>
            <w:r w:rsidRPr="00BD02C2">
              <w:rPr>
                <w:color w:val="000000"/>
                <w:sz w:val="20"/>
                <w:szCs w:val="20"/>
              </w:rPr>
              <w:t>324</w:t>
            </w:r>
          </w:p>
        </w:tc>
        <w:tc>
          <w:tcPr>
            <w:tcW w:w="1170" w:type="dxa"/>
            <w:noWrap/>
            <w:hideMark/>
          </w:tcPr>
          <w:p w14:paraId="5FD90CD0" w14:textId="289FE6C5" w:rsidR="00F10AD2" w:rsidRPr="00BD02C2" w:rsidRDefault="00F10AD2" w:rsidP="00F10AD2">
            <w:pPr>
              <w:rPr>
                <w:color w:val="000000"/>
                <w:sz w:val="20"/>
                <w:szCs w:val="20"/>
              </w:rPr>
            </w:pPr>
            <w:r w:rsidRPr="00BD02C2">
              <w:rPr>
                <w:color w:val="000000"/>
                <w:sz w:val="20"/>
                <w:szCs w:val="20"/>
              </w:rPr>
              <w:t>3008</w:t>
            </w:r>
          </w:p>
        </w:tc>
        <w:tc>
          <w:tcPr>
            <w:tcW w:w="900" w:type="dxa"/>
            <w:noWrap/>
            <w:hideMark/>
          </w:tcPr>
          <w:p w14:paraId="24CD60F4" w14:textId="4BB31178" w:rsidR="00F10AD2" w:rsidRPr="00BD02C2" w:rsidRDefault="00F10AD2" w:rsidP="00F10AD2">
            <w:pPr>
              <w:rPr>
                <w:color w:val="000000"/>
                <w:sz w:val="20"/>
                <w:szCs w:val="20"/>
              </w:rPr>
            </w:pPr>
            <w:r w:rsidRPr="00BD02C2">
              <w:rPr>
                <w:color w:val="000000"/>
                <w:sz w:val="20"/>
                <w:szCs w:val="20"/>
              </w:rPr>
              <w:t>0</w:t>
            </w:r>
          </w:p>
        </w:tc>
        <w:tc>
          <w:tcPr>
            <w:tcW w:w="1080" w:type="dxa"/>
            <w:noWrap/>
            <w:hideMark/>
          </w:tcPr>
          <w:p w14:paraId="760D3EDD" w14:textId="595C61C8" w:rsidR="00F10AD2" w:rsidRPr="00BD02C2" w:rsidRDefault="00F10AD2" w:rsidP="00F10AD2">
            <w:pPr>
              <w:rPr>
                <w:color w:val="000000"/>
                <w:sz w:val="20"/>
                <w:szCs w:val="20"/>
              </w:rPr>
            </w:pPr>
            <w:r w:rsidRPr="00BD02C2">
              <w:rPr>
                <w:color w:val="000000"/>
                <w:sz w:val="20"/>
                <w:szCs w:val="20"/>
              </w:rPr>
              <w:t>5</w:t>
            </w:r>
          </w:p>
        </w:tc>
        <w:tc>
          <w:tcPr>
            <w:tcW w:w="1170" w:type="dxa"/>
            <w:noWrap/>
            <w:hideMark/>
          </w:tcPr>
          <w:p w14:paraId="75319666" w14:textId="136F10BF" w:rsidR="00F10AD2" w:rsidRPr="00BD02C2" w:rsidRDefault="00F10AD2" w:rsidP="00F10AD2">
            <w:pPr>
              <w:rPr>
                <w:color w:val="000000"/>
                <w:sz w:val="20"/>
                <w:szCs w:val="20"/>
              </w:rPr>
            </w:pPr>
            <w:r w:rsidRPr="00BD02C2">
              <w:rPr>
                <w:color w:val="000000"/>
                <w:sz w:val="20"/>
                <w:szCs w:val="20"/>
              </w:rPr>
              <w:t>2</w:t>
            </w:r>
          </w:p>
        </w:tc>
        <w:tc>
          <w:tcPr>
            <w:tcW w:w="900" w:type="dxa"/>
            <w:noWrap/>
            <w:hideMark/>
          </w:tcPr>
          <w:p w14:paraId="0A63B979" w14:textId="5045BD15" w:rsidR="00F10AD2" w:rsidRPr="00BD02C2" w:rsidRDefault="00F10AD2" w:rsidP="00F10AD2">
            <w:pPr>
              <w:rPr>
                <w:color w:val="000000"/>
                <w:sz w:val="20"/>
                <w:szCs w:val="20"/>
              </w:rPr>
            </w:pPr>
            <w:r w:rsidRPr="00BD02C2">
              <w:rPr>
                <w:color w:val="000000"/>
                <w:sz w:val="20"/>
                <w:szCs w:val="20"/>
              </w:rPr>
              <w:t>0</w:t>
            </w:r>
          </w:p>
        </w:tc>
      </w:tr>
      <w:tr w:rsidR="00F10AD2" w14:paraId="6F37DFDA" w14:textId="77777777" w:rsidTr="00857906">
        <w:trPr>
          <w:trHeight w:val="288"/>
        </w:trPr>
        <w:tc>
          <w:tcPr>
            <w:tcW w:w="715" w:type="dxa"/>
            <w:noWrap/>
            <w:hideMark/>
          </w:tcPr>
          <w:p w14:paraId="59EC7DAE" w14:textId="546C4847" w:rsidR="00F10AD2" w:rsidRPr="00BD02C2" w:rsidRDefault="00F10AD2" w:rsidP="00F10AD2">
            <w:pPr>
              <w:rPr>
                <w:b/>
                <w:bCs/>
                <w:color w:val="000000"/>
                <w:sz w:val="20"/>
                <w:szCs w:val="20"/>
              </w:rPr>
            </w:pPr>
            <w:r w:rsidRPr="00BD02C2">
              <w:rPr>
                <w:b/>
                <w:bCs/>
                <w:color w:val="000000"/>
                <w:sz w:val="20"/>
                <w:szCs w:val="20"/>
              </w:rPr>
              <w:t>75%</w:t>
            </w:r>
          </w:p>
        </w:tc>
        <w:tc>
          <w:tcPr>
            <w:tcW w:w="990" w:type="dxa"/>
            <w:noWrap/>
            <w:hideMark/>
          </w:tcPr>
          <w:p w14:paraId="609E7478" w14:textId="60233823" w:rsidR="00F10AD2" w:rsidRPr="00BD02C2" w:rsidRDefault="00F10AD2" w:rsidP="00F10AD2">
            <w:pPr>
              <w:rPr>
                <w:color w:val="000000"/>
                <w:sz w:val="20"/>
                <w:szCs w:val="20"/>
              </w:rPr>
            </w:pPr>
            <w:r w:rsidRPr="00BD02C2">
              <w:rPr>
                <w:color w:val="000000"/>
                <w:sz w:val="20"/>
                <w:szCs w:val="20"/>
              </w:rPr>
              <w:t>7645.65</w:t>
            </w:r>
          </w:p>
        </w:tc>
        <w:tc>
          <w:tcPr>
            <w:tcW w:w="1080" w:type="dxa"/>
            <w:noWrap/>
            <w:hideMark/>
          </w:tcPr>
          <w:p w14:paraId="39E70DE4" w14:textId="64FEA0DA" w:rsidR="00F10AD2" w:rsidRPr="00BD02C2" w:rsidRDefault="00F10AD2" w:rsidP="00F10AD2">
            <w:pPr>
              <w:rPr>
                <w:color w:val="000000"/>
                <w:sz w:val="20"/>
                <w:szCs w:val="20"/>
              </w:rPr>
            </w:pPr>
            <w:r w:rsidRPr="00BD02C2">
              <w:rPr>
                <w:color w:val="000000"/>
                <w:sz w:val="20"/>
                <w:szCs w:val="20"/>
              </w:rPr>
              <w:t>5316.58</w:t>
            </w:r>
          </w:p>
        </w:tc>
        <w:tc>
          <w:tcPr>
            <w:tcW w:w="900" w:type="dxa"/>
            <w:noWrap/>
            <w:hideMark/>
          </w:tcPr>
          <w:p w14:paraId="700CA5B0" w14:textId="6469BB8D" w:rsidR="00F10AD2" w:rsidRPr="00BD02C2" w:rsidRDefault="00F10AD2" w:rsidP="00F10AD2">
            <w:pPr>
              <w:rPr>
                <w:color w:val="000000"/>
                <w:sz w:val="20"/>
                <w:szCs w:val="20"/>
              </w:rPr>
            </w:pPr>
            <w:r w:rsidRPr="00BD02C2">
              <w:rPr>
                <w:color w:val="000000"/>
                <w:sz w:val="20"/>
                <w:szCs w:val="20"/>
              </w:rPr>
              <w:t>1005.53</w:t>
            </w:r>
          </w:p>
        </w:tc>
        <w:tc>
          <w:tcPr>
            <w:tcW w:w="1080" w:type="dxa"/>
            <w:noWrap/>
            <w:hideMark/>
          </w:tcPr>
          <w:p w14:paraId="303D442E" w14:textId="70906D62" w:rsidR="00F10AD2" w:rsidRPr="00BD02C2" w:rsidRDefault="00F10AD2" w:rsidP="00F10AD2">
            <w:pPr>
              <w:rPr>
                <w:color w:val="000000"/>
                <w:sz w:val="20"/>
                <w:szCs w:val="20"/>
              </w:rPr>
            </w:pPr>
            <w:r w:rsidRPr="00BD02C2">
              <w:rPr>
                <w:color w:val="000000"/>
                <w:sz w:val="20"/>
                <w:szCs w:val="20"/>
              </w:rPr>
              <w:t>368.29</w:t>
            </w:r>
          </w:p>
        </w:tc>
        <w:tc>
          <w:tcPr>
            <w:tcW w:w="1170" w:type="dxa"/>
            <w:noWrap/>
            <w:hideMark/>
          </w:tcPr>
          <w:p w14:paraId="396D5A46" w14:textId="61612334" w:rsidR="00F10AD2" w:rsidRPr="00BD02C2" w:rsidRDefault="00F10AD2" w:rsidP="00F10AD2">
            <w:pPr>
              <w:rPr>
                <w:color w:val="000000"/>
                <w:sz w:val="20"/>
                <w:szCs w:val="20"/>
              </w:rPr>
            </w:pPr>
            <w:r w:rsidRPr="00BD02C2">
              <w:rPr>
                <w:color w:val="000000"/>
                <w:sz w:val="20"/>
                <w:szCs w:val="20"/>
              </w:rPr>
              <w:t>3608.75</w:t>
            </w:r>
          </w:p>
        </w:tc>
        <w:tc>
          <w:tcPr>
            <w:tcW w:w="900" w:type="dxa"/>
            <w:noWrap/>
            <w:hideMark/>
          </w:tcPr>
          <w:p w14:paraId="332D06CC" w14:textId="4F1B3891" w:rsidR="00F10AD2" w:rsidRPr="00BD02C2" w:rsidRDefault="00F10AD2" w:rsidP="00F10AD2">
            <w:pPr>
              <w:rPr>
                <w:color w:val="000000"/>
                <w:sz w:val="20"/>
                <w:szCs w:val="20"/>
              </w:rPr>
            </w:pPr>
            <w:r w:rsidRPr="00BD02C2">
              <w:rPr>
                <w:color w:val="000000"/>
                <w:sz w:val="20"/>
                <w:szCs w:val="20"/>
              </w:rPr>
              <w:t>6503</w:t>
            </w:r>
          </w:p>
        </w:tc>
        <w:tc>
          <w:tcPr>
            <w:tcW w:w="1080" w:type="dxa"/>
            <w:noWrap/>
            <w:hideMark/>
          </w:tcPr>
          <w:p w14:paraId="616A9201" w14:textId="13E9A671" w:rsidR="00F10AD2" w:rsidRPr="00BD02C2" w:rsidRDefault="00F10AD2" w:rsidP="00F10AD2">
            <w:pPr>
              <w:rPr>
                <w:color w:val="000000"/>
                <w:sz w:val="20"/>
                <w:szCs w:val="20"/>
              </w:rPr>
            </w:pPr>
            <w:r w:rsidRPr="00BD02C2">
              <w:rPr>
                <w:color w:val="000000"/>
                <w:sz w:val="20"/>
                <w:szCs w:val="20"/>
              </w:rPr>
              <w:t>6</w:t>
            </w:r>
          </w:p>
        </w:tc>
        <w:tc>
          <w:tcPr>
            <w:tcW w:w="1170" w:type="dxa"/>
            <w:noWrap/>
            <w:hideMark/>
          </w:tcPr>
          <w:p w14:paraId="50701EA8" w14:textId="56AD3FD1" w:rsidR="00F10AD2" w:rsidRPr="00BD02C2" w:rsidRDefault="00F10AD2" w:rsidP="00F10AD2">
            <w:pPr>
              <w:rPr>
                <w:color w:val="000000"/>
                <w:sz w:val="20"/>
                <w:szCs w:val="20"/>
              </w:rPr>
            </w:pPr>
            <w:r w:rsidRPr="00BD02C2">
              <w:rPr>
                <w:color w:val="000000"/>
                <w:sz w:val="20"/>
                <w:szCs w:val="20"/>
              </w:rPr>
              <w:t>3</w:t>
            </w:r>
          </w:p>
        </w:tc>
        <w:tc>
          <w:tcPr>
            <w:tcW w:w="900" w:type="dxa"/>
            <w:noWrap/>
            <w:hideMark/>
          </w:tcPr>
          <w:p w14:paraId="7854FB41" w14:textId="0262E160" w:rsidR="00F10AD2" w:rsidRPr="00BD02C2" w:rsidRDefault="00F10AD2" w:rsidP="00F10AD2">
            <w:pPr>
              <w:rPr>
                <w:color w:val="000000"/>
                <w:sz w:val="20"/>
                <w:szCs w:val="20"/>
              </w:rPr>
            </w:pPr>
            <w:r w:rsidRPr="00BD02C2">
              <w:rPr>
                <w:color w:val="000000"/>
                <w:sz w:val="20"/>
                <w:szCs w:val="20"/>
              </w:rPr>
              <w:t>2</w:t>
            </w:r>
          </w:p>
        </w:tc>
      </w:tr>
      <w:tr w:rsidR="00F10AD2" w14:paraId="505E61A5" w14:textId="77777777" w:rsidTr="00857906">
        <w:trPr>
          <w:trHeight w:val="288"/>
        </w:trPr>
        <w:tc>
          <w:tcPr>
            <w:tcW w:w="715" w:type="dxa"/>
            <w:noWrap/>
            <w:hideMark/>
          </w:tcPr>
          <w:p w14:paraId="4D93961F" w14:textId="3703803C" w:rsidR="00F10AD2" w:rsidRPr="00BD02C2" w:rsidRDefault="00F10AD2" w:rsidP="00F10AD2">
            <w:pPr>
              <w:rPr>
                <w:b/>
                <w:bCs/>
                <w:color w:val="000000"/>
                <w:sz w:val="20"/>
                <w:szCs w:val="20"/>
              </w:rPr>
            </w:pPr>
            <w:r w:rsidRPr="00BD02C2">
              <w:rPr>
                <w:b/>
                <w:bCs/>
                <w:color w:val="000000"/>
                <w:sz w:val="20"/>
                <w:szCs w:val="20"/>
              </w:rPr>
              <w:t>max</w:t>
            </w:r>
          </w:p>
        </w:tc>
        <w:tc>
          <w:tcPr>
            <w:tcW w:w="990" w:type="dxa"/>
            <w:noWrap/>
            <w:hideMark/>
          </w:tcPr>
          <w:p w14:paraId="31F2FAB4" w14:textId="7501D39F" w:rsidR="00F10AD2" w:rsidRPr="00BD02C2" w:rsidRDefault="00F10AD2" w:rsidP="00F10AD2">
            <w:pPr>
              <w:rPr>
                <w:color w:val="000000"/>
                <w:sz w:val="20"/>
                <w:szCs w:val="20"/>
              </w:rPr>
            </w:pPr>
            <w:r w:rsidRPr="00BD02C2">
              <w:rPr>
                <w:color w:val="000000"/>
                <w:sz w:val="20"/>
                <w:szCs w:val="20"/>
              </w:rPr>
              <w:t>149801</w:t>
            </w:r>
          </w:p>
        </w:tc>
        <w:tc>
          <w:tcPr>
            <w:tcW w:w="1080" w:type="dxa"/>
            <w:noWrap/>
            <w:hideMark/>
          </w:tcPr>
          <w:p w14:paraId="5188A441" w14:textId="0F73F196" w:rsidR="00F10AD2" w:rsidRPr="00BD02C2" w:rsidRDefault="00F10AD2" w:rsidP="00F10AD2">
            <w:pPr>
              <w:rPr>
                <w:color w:val="000000"/>
                <w:sz w:val="20"/>
                <w:szCs w:val="20"/>
              </w:rPr>
            </w:pPr>
            <w:r w:rsidRPr="00BD02C2">
              <w:rPr>
                <w:color w:val="000000"/>
                <w:sz w:val="20"/>
                <w:szCs w:val="20"/>
              </w:rPr>
              <w:t>61739</w:t>
            </w:r>
          </w:p>
        </w:tc>
        <w:tc>
          <w:tcPr>
            <w:tcW w:w="900" w:type="dxa"/>
            <w:noWrap/>
            <w:hideMark/>
          </w:tcPr>
          <w:p w14:paraId="02123BCA" w14:textId="3B209C4F" w:rsidR="00F10AD2" w:rsidRPr="00BD02C2" w:rsidRDefault="00F10AD2" w:rsidP="00F10AD2">
            <w:pPr>
              <w:rPr>
                <w:color w:val="000000"/>
                <w:sz w:val="20"/>
                <w:szCs w:val="20"/>
              </w:rPr>
            </w:pPr>
            <w:r w:rsidRPr="00BD02C2">
              <w:rPr>
                <w:color w:val="000000"/>
                <w:sz w:val="20"/>
                <w:szCs w:val="20"/>
              </w:rPr>
              <w:t>15151</w:t>
            </w:r>
          </w:p>
        </w:tc>
        <w:tc>
          <w:tcPr>
            <w:tcW w:w="1080" w:type="dxa"/>
            <w:noWrap/>
            <w:hideMark/>
          </w:tcPr>
          <w:p w14:paraId="108C769F" w14:textId="7E0ECDAF" w:rsidR="00F10AD2" w:rsidRPr="00BD02C2" w:rsidRDefault="00F10AD2" w:rsidP="00F10AD2">
            <w:pPr>
              <w:rPr>
                <w:color w:val="000000"/>
                <w:sz w:val="20"/>
                <w:szCs w:val="20"/>
              </w:rPr>
            </w:pPr>
            <w:r w:rsidRPr="00BD02C2">
              <w:rPr>
                <w:color w:val="000000"/>
                <w:sz w:val="20"/>
                <w:szCs w:val="20"/>
              </w:rPr>
              <w:t>8414</w:t>
            </w:r>
          </w:p>
        </w:tc>
        <w:tc>
          <w:tcPr>
            <w:tcW w:w="1170" w:type="dxa"/>
            <w:noWrap/>
            <w:hideMark/>
          </w:tcPr>
          <w:p w14:paraId="77AF7B1E" w14:textId="259BC53F" w:rsidR="00F10AD2" w:rsidRPr="00BD02C2" w:rsidRDefault="00F10AD2" w:rsidP="00F10AD2">
            <w:pPr>
              <w:rPr>
                <w:color w:val="000000"/>
                <w:sz w:val="20"/>
                <w:szCs w:val="20"/>
              </w:rPr>
            </w:pPr>
            <w:r w:rsidRPr="00BD02C2">
              <w:rPr>
                <w:color w:val="000000"/>
                <w:sz w:val="20"/>
                <w:szCs w:val="20"/>
              </w:rPr>
              <w:t>72219</w:t>
            </w:r>
          </w:p>
        </w:tc>
        <w:tc>
          <w:tcPr>
            <w:tcW w:w="900" w:type="dxa"/>
            <w:noWrap/>
            <w:hideMark/>
          </w:tcPr>
          <w:p w14:paraId="22131813" w14:textId="4335E92A" w:rsidR="00F10AD2" w:rsidRPr="00BD02C2" w:rsidRDefault="00F10AD2" w:rsidP="00F10AD2">
            <w:pPr>
              <w:rPr>
                <w:color w:val="000000"/>
                <w:sz w:val="20"/>
                <w:szCs w:val="20"/>
              </w:rPr>
            </w:pPr>
            <w:r w:rsidRPr="00BD02C2">
              <w:rPr>
                <w:color w:val="000000"/>
                <w:sz w:val="20"/>
                <w:szCs w:val="20"/>
              </w:rPr>
              <w:t>45657</w:t>
            </w:r>
          </w:p>
        </w:tc>
        <w:tc>
          <w:tcPr>
            <w:tcW w:w="1080" w:type="dxa"/>
            <w:noWrap/>
            <w:hideMark/>
          </w:tcPr>
          <w:p w14:paraId="518F5337" w14:textId="3429383E" w:rsidR="00F10AD2" w:rsidRPr="00BD02C2" w:rsidRDefault="00F10AD2" w:rsidP="00F10AD2">
            <w:pPr>
              <w:rPr>
                <w:color w:val="000000"/>
                <w:sz w:val="20"/>
                <w:szCs w:val="20"/>
              </w:rPr>
            </w:pPr>
            <w:r w:rsidRPr="00BD02C2">
              <w:rPr>
                <w:color w:val="000000"/>
                <w:sz w:val="20"/>
                <w:szCs w:val="20"/>
              </w:rPr>
              <w:t>9</w:t>
            </w:r>
          </w:p>
        </w:tc>
        <w:tc>
          <w:tcPr>
            <w:tcW w:w="1170" w:type="dxa"/>
            <w:noWrap/>
            <w:hideMark/>
          </w:tcPr>
          <w:p w14:paraId="0278354F" w14:textId="6601EFA7" w:rsidR="00F10AD2" w:rsidRPr="00BD02C2" w:rsidRDefault="00F10AD2" w:rsidP="00F10AD2">
            <w:pPr>
              <w:rPr>
                <w:color w:val="000000"/>
                <w:sz w:val="20"/>
                <w:szCs w:val="20"/>
              </w:rPr>
            </w:pPr>
            <w:r w:rsidRPr="00BD02C2">
              <w:rPr>
                <w:color w:val="000000"/>
                <w:sz w:val="20"/>
                <w:szCs w:val="20"/>
              </w:rPr>
              <w:t>3</w:t>
            </w:r>
          </w:p>
        </w:tc>
        <w:tc>
          <w:tcPr>
            <w:tcW w:w="900" w:type="dxa"/>
            <w:noWrap/>
            <w:hideMark/>
          </w:tcPr>
          <w:p w14:paraId="58A1C062" w14:textId="71C8FDF8" w:rsidR="00F10AD2" w:rsidRPr="00BD02C2" w:rsidRDefault="00F10AD2" w:rsidP="00F10AD2">
            <w:pPr>
              <w:rPr>
                <w:color w:val="000000"/>
                <w:sz w:val="20"/>
                <w:szCs w:val="20"/>
              </w:rPr>
            </w:pPr>
            <w:r w:rsidRPr="00BD02C2">
              <w:rPr>
                <w:color w:val="000000"/>
                <w:sz w:val="20"/>
                <w:szCs w:val="20"/>
              </w:rPr>
              <w:t>2</w:t>
            </w:r>
          </w:p>
        </w:tc>
      </w:tr>
    </w:tbl>
    <w:p w14:paraId="300483D2" w14:textId="2F1F8EB6" w:rsidR="00BD02C2" w:rsidRPr="00BD02C2" w:rsidRDefault="00857906" w:rsidP="00BD02C2">
      <w:pPr>
        <w:spacing w:line="480" w:lineRule="auto"/>
        <w:jc w:val="center"/>
        <w:rPr>
          <w:sz w:val="16"/>
          <w:szCs w:val="16"/>
        </w:rPr>
      </w:pPr>
      <w:r w:rsidRPr="00857906">
        <w:rPr>
          <w:sz w:val="16"/>
          <w:szCs w:val="16"/>
        </w:rPr>
        <w:t>Table – 2: Descriptive statistics of predictive and target variables</w:t>
      </w:r>
    </w:p>
    <w:p w14:paraId="7FC602B4" w14:textId="77777777" w:rsidR="00BD02C2" w:rsidRPr="00BD02C2" w:rsidRDefault="00BD02C2" w:rsidP="00BD02C2">
      <w:pPr>
        <w:spacing w:line="480" w:lineRule="auto"/>
      </w:pPr>
    </w:p>
    <w:p w14:paraId="348C91FF" w14:textId="053B2A4C" w:rsidR="00455AB0" w:rsidRPr="00F22DB1" w:rsidRDefault="00455AB0" w:rsidP="00BD2F36">
      <w:pPr>
        <w:spacing w:line="480" w:lineRule="auto"/>
        <w:jc w:val="both"/>
      </w:pPr>
      <w:r w:rsidRPr="00F22DB1">
        <w:t xml:space="preserve">As we are working on different </w:t>
      </w:r>
      <w:r w:rsidR="00BD02C2">
        <w:t xml:space="preserve">educational </w:t>
      </w:r>
      <w:r w:rsidR="00BD02C2" w:rsidRPr="00F22DB1">
        <w:t>institutions’</w:t>
      </w:r>
      <w:r w:rsidRPr="00F22DB1">
        <w:t xml:space="preserve"> data, it is important to </w:t>
      </w:r>
      <w:r w:rsidR="00BD02C2">
        <w:t>have</w:t>
      </w:r>
      <w:r w:rsidRPr="00F22DB1">
        <w:t xml:space="preserve"> diverse data which involves public and private institutes. So, we have created a pie-chart to understand the proportions of public, private for profit and private not-for-profit institutes.</w:t>
      </w:r>
    </w:p>
    <w:p w14:paraId="0FC9A175" w14:textId="77777777" w:rsidR="00455AB0" w:rsidRDefault="00455AB0" w:rsidP="00BD02C2">
      <w:pPr>
        <w:spacing w:line="480" w:lineRule="auto"/>
        <w:jc w:val="center"/>
      </w:pPr>
      <w:r w:rsidRPr="00F22DB1">
        <w:rPr>
          <w:noProof/>
        </w:rPr>
        <w:drawing>
          <wp:inline distT="0" distB="0" distL="0" distR="0" wp14:anchorId="217C25C4" wp14:editId="32C18F72">
            <wp:extent cx="3848132" cy="2446020"/>
            <wp:effectExtent l="0" t="0" r="0" b="0"/>
            <wp:docPr id="1266948261"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48261" name="Picture 1" descr="A pie chart with text on it&#10;&#10;Description automatically generated"/>
                    <pic:cNvPicPr/>
                  </pic:nvPicPr>
                  <pic:blipFill>
                    <a:blip r:embed="rId7"/>
                    <a:stretch>
                      <a:fillRect/>
                    </a:stretch>
                  </pic:blipFill>
                  <pic:spPr>
                    <a:xfrm>
                      <a:off x="0" y="0"/>
                      <a:ext cx="3854325" cy="2449957"/>
                    </a:xfrm>
                    <a:prstGeom prst="rect">
                      <a:avLst/>
                    </a:prstGeom>
                  </pic:spPr>
                </pic:pic>
              </a:graphicData>
            </a:graphic>
          </wp:inline>
        </w:drawing>
      </w:r>
    </w:p>
    <w:p w14:paraId="26A7A78B" w14:textId="0AB96EA8" w:rsidR="00BD02C2" w:rsidRDefault="00BD02C2" w:rsidP="00BD02C2">
      <w:pPr>
        <w:spacing w:line="480" w:lineRule="auto"/>
        <w:jc w:val="center"/>
        <w:rPr>
          <w:sz w:val="16"/>
          <w:szCs w:val="16"/>
        </w:rPr>
      </w:pPr>
      <w:r w:rsidRPr="00BD02C2">
        <w:rPr>
          <w:sz w:val="16"/>
          <w:szCs w:val="16"/>
        </w:rPr>
        <w:t>Figure – 1: Classification based on type of university.</w:t>
      </w:r>
    </w:p>
    <w:p w14:paraId="0139F982" w14:textId="11EC2E48" w:rsidR="00BD02C2" w:rsidRPr="00AB3CD3" w:rsidRDefault="00BD02C2" w:rsidP="00BD02C2">
      <w:pPr>
        <w:spacing w:line="480" w:lineRule="auto"/>
        <w:rPr>
          <w:b/>
          <w:bCs/>
        </w:rPr>
      </w:pPr>
      <w:r w:rsidRPr="00AB3CD3">
        <w:rPr>
          <w:b/>
          <w:bCs/>
        </w:rPr>
        <w:t>Explanation:</w:t>
      </w:r>
    </w:p>
    <w:p w14:paraId="5FF0FB4C" w14:textId="47B98502" w:rsidR="00AB3CD3" w:rsidRDefault="00BD02C2" w:rsidP="00BD02C2">
      <w:pPr>
        <w:spacing w:line="480" w:lineRule="auto"/>
      </w:pPr>
      <w:r>
        <w:t xml:space="preserve">By looking at the above pie-chart, we can say that </w:t>
      </w:r>
      <w:r w:rsidR="00AB3CD3">
        <w:t>the dataset is diverse. It has 1587 private non-profit institutions, 1915 private not-for-profit institutions and 2218 public institutions.</w:t>
      </w:r>
    </w:p>
    <w:p w14:paraId="15BFC272" w14:textId="77777777" w:rsidR="001D5800" w:rsidRPr="00BD02C2" w:rsidRDefault="001D5800" w:rsidP="00BD02C2">
      <w:pPr>
        <w:spacing w:line="480" w:lineRule="auto"/>
      </w:pPr>
    </w:p>
    <w:p w14:paraId="5144B08E" w14:textId="77777777" w:rsidR="00455AB0" w:rsidRDefault="00455AB0" w:rsidP="00BD2F36">
      <w:pPr>
        <w:spacing w:line="480" w:lineRule="auto"/>
        <w:jc w:val="both"/>
      </w:pPr>
      <w:r w:rsidRPr="00F22DB1">
        <w:rPr>
          <w:noProof/>
        </w:rPr>
        <w:lastRenderedPageBreak/>
        <w:drawing>
          <wp:inline distT="0" distB="0" distL="0" distR="0" wp14:anchorId="46A8C794" wp14:editId="53FD5753">
            <wp:extent cx="5943600" cy="2677795"/>
            <wp:effectExtent l="0" t="0" r="0" b="8255"/>
            <wp:docPr id="1244467818" name="Picture 1"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7818" name="Picture 1" descr="A graph of numbers and letters&#10;&#10;Description automatically generated with medium confidence"/>
                    <pic:cNvPicPr/>
                  </pic:nvPicPr>
                  <pic:blipFill>
                    <a:blip r:embed="rId8"/>
                    <a:stretch>
                      <a:fillRect/>
                    </a:stretch>
                  </pic:blipFill>
                  <pic:spPr>
                    <a:xfrm>
                      <a:off x="0" y="0"/>
                      <a:ext cx="5943600" cy="2677795"/>
                    </a:xfrm>
                    <a:prstGeom prst="rect">
                      <a:avLst/>
                    </a:prstGeom>
                  </pic:spPr>
                </pic:pic>
              </a:graphicData>
            </a:graphic>
          </wp:inline>
        </w:drawing>
      </w:r>
    </w:p>
    <w:p w14:paraId="2AC0423F" w14:textId="745CD1F8" w:rsidR="00AB3CD3" w:rsidRPr="00AB3CD3" w:rsidRDefault="00AB3CD3" w:rsidP="00AB3CD3">
      <w:pPr>
        <w:spacing w:line="480" w:lineRule="auto"/>
        <w:jc w:val="center"/>
        <w:rPr>
          <w:sz w:val="16"/>
          <w:szCs w:val="16"/>
        </w:rPr>
      </w:pPr>
      <w:r w:rsidRPr="00AB3CD3">
        <w:rPr>
          <w:sz w:val="16"/>
          <w:szCs w:val="16"/>
        </w:rPr>
        <w:t>Figure – 2: Number of institutions in each region</w:t>
      </w:r>
    </w:p>
    <w:p w14:paraId="7CF59D7D" w14:textId="77777777" w:rsidR="00AB3CD3" w:rsidRDefault="00AB3CD3" w:rsidP="00AB3CD3">
      <w:pPr>
        <w:spacing w:line="480" w:lineRule="auto"/>
        <w:jc w:val="both"/>
        <w:rPr>
          <w:b/>
          <w:bCs/>
        </w:rPr>
      </w:pPr>
      <w:r w:rsidRPr="00AB3CD3">
        <w:rPr>
          <w:b/>
          <w:bCs/>
        </w:rPr>
        <w:t>Explanation:</w:t>
      </w:r>
    </w:p>
    <w:p w14:paraId="4817FEC5" w14:textId="1ADD0018" w:rsidR="00AB3CD3" w:rsidRDefault="00AB3CD3" w:rsidP="00BD2F36">
      <w:pPr>
        <w:spacing w:line="480" w:lineRule="auto"/>
        <w:jc w:val="both"/>
      </w:pPr>
      <w:r>
        <w:t>The above bar graph shows the total number of educational institutions in each region. The southeast states – AL, AR, FL, GA, KY, LA, MS, NC, SC, TN, VA, WV has highest number of educational institutions. There are very few US service schools.</w:t>
      </w:r>
    </w:p>
    <w:p w14:paraId="185608AE" w14:textId="77777777" w:rsidR="00AB3CD3" w:rsidRDefault="00AB3CD3" w:rsidP="00BD2F36">
      <w:pPr>
        <w:spacing w:line="480" w:lineRule="auto"/>
        <w:jc w:val="both"/>
      </w:pPr>
    </w:p>
    <w:p w14:paraId="4EB82B31" w14:textId="77777777" w:rsidR="00AB3CD3" w:rsidRDefault="00455AB0" w:rsidP="001D5800">
      <w:pPr>
        <w:spacing w:line="480" w:lineRule="auto"/>
        <w:jc w:val="center"/>
      </w:pPr>
      <w:r w:rsidRPr="00F22DB1">
        <w:rPr>
          <w:noProof/>
        </w:rPr>
        <w:drawing>
          <wp:inline distT="0" distB="0" distL="0" distR="0" wp14:anchorId="390BEDD5" wp14:editId="2AB8B987">
            <wp:extent cx="4061460" cy="2884135"/>
            <wp:effectExtent l="0" t="0" r="0" b="0"/>
            <wp:docPr id="1370334122"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34122" name="Picture 1" descr="A graph of a bar&#10;&#10;Description automatically generated with medium confidence"/>
                    <pic:cNvPicPr/>
                  </pic:nvPicPr>
                  <pic:blipFill>
                    <a:blip r:embed="rId9"/>
                    <a:stretch>
                      <a:fillRect/>
                    </a:stretch>
                  </pic:blipFill>
                  <pic:spPr>
                    <a:xfrm>
                      <a:off x="0" y="0"/>
                      <a:ext cx="4072722" cy="2892133"/>
                    </a:xfrm>
                    <a:prstGeom prst="rect">
                      <a:avLst/>
                    </a:prstGeom>
                  </pic:spPr>
                </pic:pic>
              </a:graphicData>
            </a:graphic>
          </wp:inline>
        </w:drawing>
      </w:r>
    </w:p>
    <w:p w14:paraId="48E41A3A" w14:textId="2454584E" w:rsidR="00AB3CD3" w:rsidRPr="00DD3001" w:rsidRDefault="00AB3CD3" w:rsidP="00DD3001">
      <w:pPr>
        <w:spacing w:line="480" w:lineRule="auto"/>
        <w:jc w:val="center"/>
        <w:rPr>
          <w:sz w:val="16"/>
          <w:szCs w:val="16"/>
        </w:rPr>
      </w:pPr>
      <w:r w:rsidRPr="00DD3001">
        <w:rPr>
          <w:sz w:val="16"/>
          <w:szCs w:val="16"/>
        </w:rPr>
        <w:t>Figure – 3: Average number of applications, admissions and enrollment</w:t>
      </w:r>
      <w:r w:rsidR="00DD3001" w:rsidRPr="00DD3001">
        <w:rPr>
          <w:sz w:val="16"/>
          <w:szCs w:val="16"/>
        </w:rPr>
        <w:t xml:space="preserve"> in the United States</w:t>
      </w:r>
    </w:p>
    <w:p w14:paraId="4FBA6B7A" w14:textId="549FF577" w:rsidR="00AB3CD3" w:rsidRPr="00DD3001" w:rsidRDefault="00DD3001" w:rsidP="00BD2F36">
      <w:pPr>
        <w:spacing w:line="480" w:lineRule="auto"/>
        <w:jc w:val="both"/>
        <w:rPr>
          <w:b/>
          <w:bCs/>
        </w:rPr>
      </w:pPr>
      <w:r w:rsidRPr="00DD3001">
        <w:rPr>
          <w:b/>
          <w:bCs/>
        </w:rPr>
        <w:lastRenderedPageBreak/>
        <w:t>Explanation:</w:t>
      </w:r>
    </w:p>
    <w:p w14:paraId="2577A04C" w14:textId="0EC33417" w:rsidR="00AB3CD3" w:rsidRDefault="00AB3CD3" w:rsidP="00BD2F36">
      <w:pPr>
        <w:spacing w:line="480" w:lineRule="auto"/>
        <w:jc w:val="both"/>
      </w:pPr>
      <w:r w:rsidRPr="00F22DB1">
        <w:t xml:space="preserve">Number of applications, Admissions and Enrollment are interdependent on each other. </w:t>
      </w:r>
      <w:r w:rsidR="00DD3001">
        <w:t xml:space="preserve">The above </w:t>
      </w:r>
      <w:r w:rsidRPr="00F22DB1">
        <w:t xml:space="preserve">bar graph </w:t>
      </w:r>
      <w:r w:rsidR="00DD3001">
        <w:t>shows the</w:t>
      </w:r>
      <w:r w:rsidRPr="00F22DB1">
        <w:t xml:space="preserve"> average number of applications, admissions and enrollment across different institutes in the United States.</w:t>
      </w:r>
    </w:p>
    <w:p w14:paraId="1FCC37F2" w14:textId="77101BC6" w:rsidR="00455AB0" w:rsidRDefault="00DD3001" w:rsidP="00DD3001">
      <w:pPr>
        <w:spacing w:line="480" w:lineRule="auto"/>
        <w:jc w:val="center"/>
      </w:pPr>
      <w:r w:rsidRPr="00DD3001">
        <w:rPr>
          <w:noProof/>
        </w:rPr>
        <w:drawing>
          <wp:inline distT="0" distB="0" distL="0" distR="0" wp14:anchorId="400683C0" wp14:editId="3F81E5DA">
            <wp:extent cx="4076700" cy="3589020"/>
            <wp:effectExtent l="0" t="0" r="0" b="0"/>
            <wp:docPr id="1490435671" name="Picture 1" descr="A graph of a number of students graduated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35671" name="Picture 1" descr="A graph of a number of students graduated by gender&#10;&#10;Description automatically generated"/>
                    <pic:cNvPicPr/>
                  </pic:nvPicPr>
                  <pic:blipFill>
                    <a:blip r:embed="rId10"/>
                    <a:stretch>
                      <a:fillRect/>
                    </a:stretch>
                  </pic:blipFill>
                  <pic:spPr>
                    <a:xfrm>
                      <a:off x="0" y="0"/>
                      <a:ext cx="4076700" cy="3589020"/>
                    </a:xfrm>
                    <a:prstGeom prst="rect">
                      <a:avLst/>
                    </a:prstGeom>
                  </pic:spPr>
                </pic:pic>
              </a:graphicData>
            </a:graphic>
          </wp:inline>
        </w:drawing>
      </w:r>
    </w:p>
    <w:p w14:paraId="59D917E4" w14:textId="73E40278" w:rsidR="00DD3001" w:rsidRPr="00DD3001" w:rsidRDefault="00DD3001" w:rsidP="00DD3001">
      <w:pPr>
        <w:spacing w:line="480" w:lineRule="auto"/>
        <w:jc w:val="center"/>
        <w:rPr>
          <w:sz w:val="16"/>
          <w:szCs w:val="16"/>
        </w:rPr>
      </w:pPr>
      <w:r w:rsidRPr="00DD3001">
        <w:rPr>
          <w:sz w:val="16"/>
          <w:szCs w:val="16"/>
        </w:rPr>
        <w:t>Figure – 4: Number of students graduated by gender</w:t>
      </w:r>
    </w:p>
    <w:p w14:paraId="7EBBA8DD" w14:textId="77777777" w:rsidR="00DD3001" w:rsidRPr="00DD3001" w:rsidRDefault="00DD3001" w:rsidP="00DD3001">
      <w:pPr>
        <w:spacing w:line="480" w:lineRule="auto"/>
        <w:jc w:val="both"/>
        <w:rPr>
          <w:b/>
          <w:bCs/>
        </w:rPr>
      </w:pPr>
      <w:r w:rsidRPr="00DD3001">
        <w:rPr>
          <w:b/>
          <w:bCs/>
        </w:rPr>
        <w:t>Explanation:</w:t>
      </w:r>
    </w:p>
    <w:p w14:paraId="384314B1" w14:textId="6A1F261C" w:rsidR="00DD3001" w:rsidRDefault="00DD3001" w:rsidP="00DD3001">
      <w:pPr>
        <w:spacing w:line="480" w:lineRule="auto"/>
        <w:jc w:val="both"/>
      </w:pPr>
      <w:r>
        <w:t xml:space="preserve">The above bar graph shows the total number of men and women students graduated in the year 2022. From Figure-4, </w:t>
      </w:r>
      <w:r w:rsidRPr="00F22DB1">
        <w:t>we can say that the graduation count is high in women when compared to men.</w:t>
      </w:r>
      <w:r>
        <w:t xml:space="preserve"> Total women graduates in 2022 are 10, 614,672, whereas men are 8,715,940.</w:t>
      </w:r>
    </w:p>
    <w:p w14:paraId="75281048" w14:textId="60927EA1" w:rsidR="00455AB0" w:rsidRDefault="00052F96" w:rsidP="00BD2F36">
      <w:pPr>
        <w:spacing w:line="480" w:lineRule="auto"/>
        <w:jc w:val="both"/>
        <w:rPr>
          <w:b/>
          <w:bCs/>
        </w:rPr>
      </w:pPr>
      <w:r w:rsidRPr="00052F96">
        <w:rPr>
          <w:b/>
          <w:bCs/>
          <w:noProof/>
        </w:rPr>
        <w:lastRenderedPageBreak/>
        <w:drawing>
          <wp:inline distT="0" distB="0" distL="0" distR="0" wp14:anchorId="6F10D827" wp14:editId="637111C4">
            <wp:extent cx="5943600" cy="4506595"/>
            <wp:effectExtent l="0" t="0" r="0" b="8255"/>
            <wp:docPr id="3316045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04583" name="Picture 1" descr="A screenshot of a graph&#10;&#10;Description automatically generated"/>
                    <pic:cNvPicPr/>
                  </pic:nvPicPr>
                  <pic:blipFill>
                    <a:blip r:embed="rId11"/>
                    <a:stretch>
                      <a:fillRect/>
                    </a:stretch>
                  </pic:blipFill>
                  <pic:spPr>
                    <a:xfrm>
                      <a:off x="0" y="0"/>
                      <a:ext cx="5943600" cy="4506595"/>
                    </a:xfrm>
                    <a:prstGeom prst="rect">
                      <a:avLst/>
                    </a:prstGeom>
                  </pic:spPr>
                </pic:pic>
              </a:graphicData>
            </a:graphic>
          </wp:inline>
        </w:drawing>
      </w:r>
    </w:p>
    <w:p w14:paraId="5F5D02C5" w14:textId="2449E1CF" w:rsidR="00DD3001" w:rsidRDefault="00DD3001" w:rsidP="00DD3001">
      <w:pPr>
        <w:spacing w:line="480" w:lineRule="auto"/>
        <w:jc w:val="center"/>
        <w:rPr>
          <w:sz w:val="16"/>
          <w:szCs w:val="16"/>
        </w:rPr>
      </w:pPr>
      <w:r w:rsidRPr="00DD3001">
        <w:rPr>
          <w:sz w:val="16"/>
          <w:szCs w:val="16"/>
        </w:rPr>
        <w:t>Figure – 5: Correlation Matrix</w:t>
      </w:r>
    </w:p>
    <w:p w14:paraId="2DD4D442" w14:textId="77777777" w:rsidR="00DD3001" w:rsidRPr="00DD3001" w:rsidRDefault="00DD3001" w:rsidP="00DD3001">
      <w:pPr>
        <w:spacing w:line="480" w:lineRule="auto"/>
        <w:rPr>
          <w:sz w:val="16"/>
          <w:szCs w:val="16"/>
        </w:rPr>
      </w:pPr>
    </w:p>
    <w:p w14:paraId="1F425549" w14:textId="77777777" w:rsidR="00052F96" w:rsidRPr="00052F96" w:rsidRDefault="00052F96" w:rsidP="00DD3001">
      <w:pPr>
        <w:spacing w:line="480" w:lineRule="auto"/>
        <w:jc w:val="both"/>
        <w:rPr>
          <w:b/>
          <w:bCs/>
        </w:rPr>
      </w:pPr>
      <w:r w:rsidRPr="00052F96">
        <w:rPr>
          <w:b/>
          <w:bCs/>
        </w:rPr>
        <w:t>Explanation:</w:t>
      </w:r>
    </w:p>
    <w:p w14:paraId="0DA932EB" w14:textId="3B0477FE" w:rsidR="00DD3001" w:rsidRPr="00F22DB1" w:rsidRDefault="00DD3001" w:rsidP="00DD3001">
      <w:pPr>
        <w:spacing w:line="480" w:lineRule="auto"/>
        <w:jc w:val="both"/>
      </w:pPr>
      <w:r w:rsidRPr="00F22DB1">
        <w:t xml:space="preserve">To understand the correlation between the variables in the data, we have created a correlation matrix. The highest correlation is observed in between </w:t>
      </w:r>
      <w:r w:rsidR="00052F96">
        <w:t>e</w:t>
      </w:r>
      <w:r w:rsidRPr="00F22DB1">
        <w:t xml:space="preserve">nrollment and </w:t>
      </w:r>
      <w:r w:rsidR="00052F96">
        <w:t>a</w:t>
      </w:r>
      <w:r w:rsidRPr="00F22DB1">
        <w:t>dmissions</w:t>
      </w:r>
      <w:r w:rsidR="00052F96">
        <w:t xml:space="preserve"> with the value of 0.90, followed by enrollment and graduation rate with the value of 0.78.</w:t>
      </w:r>
    </w:p>
    <w:p w14:paraId="0A698893" w14:textId="77777777" w:rsidR="00DD3001" w:rsidRDefault="00DD3001" w:rsidP="00BD2F36">
      <w:pPr>
        <w:spacing w:line="480" w:lineRule="auto"/>
        <w:jc w:val="both"/>
        <w:rPr>
          <w:b/>
          <w:bCs/>
        </w:rPr>
      </w:pPr>
    </w:p>
    <w:p w14:paraId="183E137F" w14:textId="07959606" w:rsidR="00D02055" w:rsidRDefault="00D02055" w:rsidP="00D02055">
      <w:pPr>
        <w:spacing w:line="480" w:lineRule="auto"/>
        <w:jc w:val="both"/>
      </w:pPr>
      <w:r w:rsidRPr="00F22DB1">
        <w:t>For our analysis, we use</w:t>
      </w:r>
      <w:r>
        <w:t>d</w:t>
      </w:r>
      <w:r w:rsidRPr="00F22DB1">
        <w:t xml:space="preserve"> linear regression, a regression-based statistical model that can predict </w:t>
      </w:r>
      <w:r w:rsidR="00640F5A">
        <w:t>the</w:t>
      </w:r>
      <w:r w:rsidRPr="00F22DB1">
        <w:t xml:space="preserve"> factors influencing an institution's enrollment. In our dataset, geographic information about institutions is represented as categorical variables, while the remaining data is numeric. As most of our data is numeric and to find factors affecting enrollment, it is best to use linear regression. </w:t>
      </w:r>
      <w:r w:rsidRPr="00F22DB1">
        <w:lastRenderedPageBreak/>
        <w:t>We</w:t>
      </w:r>
      <w:r>
        <w:t xml:space="preserve"> have built</w:t>
      </w:r>
      <w:r w:rsidRPr="00F22DB1">
        <w:t xml:space="preserve"> the model by dividing the data into training, testing and validation data. Additionally, we </w:t>
      </w:r>
      <w:r>
        <w:t>tried</w:t>
      </w:r>
      <w:r w:rsidRPr="00F22DB1">
        <w:t xml:space="preserve"> other models such as </w:t>
      </w:r>
      <w:r w:rsidR="00850B99">
        <w:t xml:space="preserve">random </w:t>
      </w:r>
      <w:r w:rsidR="00640F5A">
        <w:t>forest</w:t>
      </w:r>
      <w:r w:rsidR="00640F5A" w:rsidRPr="00F22DB1">
        <w:t xml:space="preserve"> and</w:t>
      </w:r>
      <w:r w:rsidRPr="00F22DB1">
        <w:t xml:space="preserve"> check</w:t>
      </w:r>
      <w:r>
        <w:t>ed</w:t>
      </w:r>
      <w:r w:rsidRPr="00F22DB1">
        <w:t xml:space="preserve"> their</w:t>
      </w:r>
      <w:r w:rsidR="00850B99">
        <w:t xml:space="preserve"> performance</w:t>
      </w:r>
      <w:r w:rsidRPr="00F22DB1">
        <w:t xml:space="preserve">. We </w:t>
      </w:r>
      <w:r>
        <w:t>have</w:t>
      </w:r>
      <w:r w:rsidRPr="00F22DB1">
        <w:t xml:space="preserve"> compar</w:t>
      </w:r>
      <w:r>
        <w:t>ed</w:t>
      </w:r>
      <w:r w:rsidRPr="00F22DB1">
        <w:t xml:space="preserve"> the results of different models</w:t>
      </w:r>
      <w:r w:rsidR="00B55652">
        <w:t>.</w:t>
      </w:r>
    </w:p>
    <w:p w14:paraId="207EA9A9" w14:textId="77777777" w:rsidR="00D02055" w:rsidRPr="00E3490A" w:rsidRDefault="00D02055" w:rsidP="00D02055">
      <w:pPr>
        <w:spacing w:line="480" w:lineRule="auto"/>
        <w:jc w:val="center"/>
        <w:rPr>
          <w:b/>
          <w:bCs/>
          <w:u w:val="single"/>
        </w:rPr>
      </w:pPr>
      <w:r w:rsidRPr="00E3490A">
        <w:rPr>
          <w:b/>
          <w:bCs/>
          <w:u w:val="single"/>
        </w:rPr>
        <w:t>RESULTS AND DISCUSSION</w:t>
      </w:r>
    </w:p>
    <w:p w14:paraId="0EBC3657" w14:textId="0114B45F" w:rsidR="00640F5A" w:rsidRDefault="00651903" w:rsidP="00640F5A">
      <w:pPr>
        <w:spacing w:line="480" w:lineRule="auto"/>
      </w:pPr>
      <w:r>
        <w:t>The analysis of IPEDS dataset revealed the factors affecting the enrollment in the educational institutions. The results of OLS regression model are shown below.</w:t>
      </w:r>
    </w:p>
    <w:p w14:paraId="44D84639" w14:textId="2EE1F5AA" w:rsidR="00651903" w:rsidRDefault="00651903" w:rsidP="00651903">
      <w:pPr>
        <w:spacing w:line="480" w:lineRule="auto"/>
        <w:jc w:val="center"/>
      </w:pPr>
      <w:r w:rsidRPr="00651903">
        <w:rPr>
          <w:noProof/>
        </w:rPr>
        <w:drawing>
          <wp:inline distT="0" distB="0" distL="0" distR="0" wp14:anchorId="6A342145" wp14:editId="089C4152">
            <wp:extent cx="4359018" cy="3673158"/>
            <wp:effectExtent l="0" t="0" r="3810" b="3810"/>
            <wp:docPr id="436170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70461" name="Picture 1" descr="A screenshot of a computer&#10;&#10;Description automatically generated"/>
                    <pic:cNvPicPr/>
                  </pic:nvPicPr>
                  <pic:blipFill>
                    <a:blip r:embed="rId12"/>
                    <a:stretch>
                      <a:fillRect/>
                    </a:stretch>
                  </pic:blipFill>
                  <pic:spPr>
                    <a:xfrm>
                      <a:off x="0" y="0"/>
                      <a:ext cx="4359018" cy="3673158"/>
                    </a:xfrm>
                    <a:prstGeom prst="rect">
                      <a:avLst/>
                    </a:prstGeom>
                  </pic:spPr>
                </pic:pic>
              </a:graphicData>
            </a:graphic>
          </wp:inline>
        </w:drawing>
      </w:r>
    </w:p>
    <w:p w14:paraId="100ED869" w14:textId="0249BF17" w:rsidR="00651903" w:rsidRDefault="00651903" w:rsidP="00651903">
      <w:pPr>
        <w:spacing w:line="480" w:lineRule="auto"/>
        <w:jc w:val="center"/>
        <w:rPr>
          <w:sz w:val="16"/>
          <w:szCs w:val="16"/>
        </w:rPr>
      </w:pPr>
      <w:r w:rsidRPr="00651903">
        <w:rPr>
          <w:sz w:val="16"/>
          <w:szCs w:val="16"/>
        </w:rPr>
        <w:t>Figure – 6: Regression Summary</w:t>
      </w:r>
    </w:p>
    <w:p w14:paraId="503F4027" w14:textId="3B53E6C0" w:rsidR="00651903" w:rsidRDefault="00651903" w:rsidP="00651903">
      <w:pPr>
        <w:spacing w:line="480" w:lineRule="auto"/>
      </w:pPr>
      <w:r>
        <w:t>Regression equation of the model is:</w:t>
      </w:r>
    </w:p>
    <w:p w14:paraId="472AC449" w14:textId="34D22127" w:rsidR="00651903" w:rsidRDefault="00651903" w:rsidP="00651903">
      <w:pPr>
        <w:spacing w:line="480" w:lineRule="auto"/>
      </w:pPr>
      <w:r>
        <w:t xml:space="preserve">ENRLT = 21.2575 + 0.0049 * APPLCN + 0.1319 * ADMSSN + 0.3047 </w:t>
      </w:r>
      <w:r w:rsidR="00F467B7">
        <w:t xml:space="preserve">* SAINSTT </w:t>
      </w:r>
      <w:r>
        <w:t>+ 0.0366</w:t>
      </w:r>
      <w:r w:rsidR="00F467B7">
        <w:t xml:space="preserve"> * GRTOTLT</w:t>
      </w:r>
      <w:r>
        <w:t xml:space="preserve"> – 0.0001</w:t>
      </w:r>
      <w:r w:rsidR="00F467B7">
        <w:t xml:space="preserve"> * NPIST2</w:t>
      </w:r>
      <w:r>
        <w:t xml:space="preserve"> +</w:t>
      </w:r>
      <w:r w:rsidR="00F467B7">
        <w:t xml:space="preserve"> 28.5549 * OBEREG – 6.7067 * CONTROL – 61.3839 * HOSPITAL</w:t>
      </w:r>
    </w:p>
    <w:p w14:paraId="25E208DE" w14:textId="20E12D0D" w:rsidR="00062B97" w:rsidRDefault="00F467B7" w:rsidP="00651903">
      <w:pPr>
        <w:spacing w:line="480" w:lineRule="auto"/>
      </w:pPr>
      <w:r>
        <w:lastRenderedPageBreak/>
        <w:t>The R</w:t>
      </w:r>
      <w:r>
        <w:rPr>
          <w:vertAlign w:val="superscript"/>
        </w:rPr>
        <w:t xml:space="preserve">2 </w:t>
      </w:r>
      <w:r>
        <w:t>value and adjusted R</w:t>
      </w:r>
      <w:r>
        <w:rPr>
          <w:vertAlign w:val="superscript"/>
        </w:rPr>
        <w:t>2</w:t>
      </w:r>
      <w:r>
        <w:t xml:space="preserve"> of the model are 0.877, which indicates that the model is good fit as </w:t>
      </w:r>
      <w:r w:rsidRPr="00F467B7">
        <w:t>variance in the dependent variable (ENRLT) is explained by the independent variables in the model</w:t>
      </w:r>
      <w:r>
        <w:t xml:space="preserve">. The p-value of F-statistics is 0.000, which indicates </w:t>
      </w:r>
      <w:r w:rsidR="00062B97">
        <w:t>the model</w:t>
      </w:r>
      <w:r w:rsidR="001D41AE">
        <w:t xml:space="preserve"> is statistically significant. </w:t>
      </w:r>
    </w:p>
    <w:tbl>
      <w:tblPr>
        <w:tblStyle w:val="TableGrid"/>
        <w:tblW w:w="0" w:type="auto"/>
        <w:tblLook w:val="04A0" w:firstRow="1" w:lastRow="0" w:firstColumn="1" w:lastColumn="0" w:noHBand="0" w:noVBand="1"/>
      </w:tblPr>
      <w:tblGrid>
        <w:gridCol w:w="3116"/>
        <w:gridCol w:w="3117"/>
        <w:gridCol w:w="3117"/>
      </w:tblGrid>
      <w:tr w:rsidR="00062B97" w14:paraId="5C81897C" w14:textId="77777777" w:rsidTr="00062B97">
        <w:trPr>
          <w:trHeight w:val="552"/>
        </w:trPr>
        <w:tc>
          <w:tcPr>
            <w:tcW w:w="3116" w:type="dxa"/>
            <w:hideMark/>
          </w:tcPr>
          <w:p w14:paraId="28B25B1D" w14:textId="77777777" w:rsidR="00062B97" w:rsidRPr="00062B97" w:rsidRDefault="00062B97">
            <w:pPr>
              <w:rPr>
                <w:b/>
                <w:bCs/>
                <w:color w:val="000000"/>
                <w:sz w:val="24"/>
                <w:szCs w:val="24"/>
              </w:rPr>
            </w:pPr>
            <w:r w:rsidRPr="00062B97">
              <w:rPr>
                <w:b/>
                <w:bCs/>
                <w:color w:val="000000"/>
                <w:sz w:val="24"/>
                <w:szCs w:val="24"/>
              </w:rPr>
              <w:t>Variable Name</w:t>
            </w:r>
          </w:p>
        </w:tc>
        <w:tc>
          <w:tcPr>
            <w:tcW w:w="3117" w:type="dxa"/>
            <w:hideMark/>
          </w:tcPr>
          <w:p w14:paraId="5D5E25CD" w14:textId="77777777" w:rsidR="00062B97" w:rsidRPr="00062B97" w:rsidRDefault="00062B97">
            <w:pPr>
              <w:rPr>
                <w:b/>
                <w:bCs/>
                <w:color w:val="000000"/>
                <w:sz w:val="24"/>
                <w:szCs w:val="24"/>
              </w:rPr>
            </w:pPr>
            <w:r w:rsidRPr="00062B97">
              <w:rPr>
                <w:b/>
                <w:bCs/>
                <w:color w:val="000000"/>
                <w:sz w:val="24"/>
                <w:szCs w:val="24"/>
              </w:rPr>
              <w:t>Coefficient</w:t>
            </w:r>
          </w:p>
        </w:tc>
        <w:tc>
          <w:tcPr>
            <w:tcW w:w="3117" w:type="dxa"/>
            <w:hideMark/>
          </w:tcPr>
          <w:p w14:paraId="7FDD0123" w14:textId="77777777" w:rsidR="00062B97" w:rsidRPr="00062B97" w:rsidRDefault="00062B97">
            <w:pPr>
              <w:rPr>
                <w:b/>
                <w:bCs/>
                <w:color w:val="000000"/>
                <w:sz w:val="24"/>
                <w:szCs w:val="24"/>
              </w:rPr>
            </w:pPr>
            <w:r w:rsidRPr="00062B97">
              <w:rPr>
                <w:b/>
                <w:bCs/>
                <w:color w:val="000000"/>
                <w:sz w:val="24"/>
                <w:szCs w:val="24"/>
              </w:rPr>
              <w:t>p-value</w:t>
            </w:r>
          </w:p>
        </w:tc>
      </w:tr>
      <w:tr w:rsidR="00062B97" w14:paraId="6B7D81FB" w14:textId="77777777" w:rsidTr="00062B97">
        <w:trPr>
          <w:trHeight w:val="276"/>
        </w:trPr>
        <w:tc>
          <w:tcPr>
            <w:tcW w:w="3116" w:type="dxa"/>
            <w:noWrap/>
            <w:hideMark/>
          </w:tcPr>
          <w:p w14:paraId="708437EE" w14:textId="77777777" w:rsidR="00062B97" w:rsidRPr="00062B97" w:rsidRDefault="00062B97">
            <w:pPr>
              <w:rPr>
                <w:color w:val="000000"/>
                <w:sz w:val="24"/>
                <w:szCs w:val="24"/>
              </w:rPr>
            </w:pPr>
            <w:r w:rsidRPr="00062B97">
              <w:rPr>
                <w:color w:val="000000"/>
                <w:sz w:val="24"/>
                <w:szCs w:val="24"/>
              </w:rPr>
              <w:t>APPCLN</w:t>
            </w:r>
          </w:p>
        </w:tc>
        <w:tc>
          <w:tcPr>
            <w:tcW w:w="3117" w:type="dxa"/>
            <w:noWrap/>
            <w:hideMark/>
          </w:tcPr>
          <w:p w14:paraId="1B629628" w14:textId="77777777" w:rsidR="00062B97" w:rsidRPr="00062B97" w:rsidRDefault="00062B97">
            <w:pPr>
              <w:rPr>
                <w:color w:val="000000"/>
                <w:sz w:val="24"/>
                <w:szCs w:val="24"/>
              </w:rPr>
            </w:pPr>
            <w:r w:rsidRPr="00062B97">
              <w:rPr>
                <w:color w:val="000000"/>
                <w:sz w:val="24"/>
                <w:szCs w:val="24"/>
              </w:rPr>
              <w:t>0.005</w:t>
            </w:r>
          </w:p>
        </w:tc>
        <w:tc>
          <w:tcPr>
            <w:tcW w:w="3117" w:type="dxa"/>
            <w:hideMark/>
          </w:tcPr>
          <w:p w14:paraId="30273734" w14:textId="77777777" w:rsidR="00062B97" w:rsidRPr="00062B97" w:rsidRDefault="00062B97">
            <w:pPr>
              <w:rPr>
                <w:color w:val="000000"/>
                <w:sz w:val="24"/>
                <w:szCs w:val="24"/>
              </w:rPr>
            </w:pPr>
            <w:r w:rsidRPr="00062B97">
              <w:rPr>
                <w:color w:val="000000"/>
                <w:sz w:val="24"/>
                <w:szCs w:val="24"/>
              </w:rPr>
              <w:t>0.000</w:t>
            </w:r>
          </w:p>
        </w:tc>
      </w:tr>
      <w:tr w:rsidR="00062B97" w14:paraId="70E05FC3" w14:textId="77777777" w:rsidTr="00062B97">
        <w:trPr>
          <w:trHeight w:val="276"/>
        </w:trPr>
        <w:tc>
          <w:tcPr>
            <w:tcW w:w="3116" w:type="dxa"/>
            <w:hideMark/>
          </w:tcPr>
          <w:p w14:paraId="48F06DF3" w14:textId="77777777" w:rsidR="00062B97" w:rsidRPr="00062B97" w:rsidRDefault="00062B97">
            <w:pPr>
              <w:rPr>
                <w:color w:val="000000"/>
                <w:sz w:val="24"/>
                <w:szCs w:val="24"/>
              </w:rPr>
            </w:pPr>
            <w:r w:rsidRPr="00062B97">
              <w:rPr>
                <w:color w:val="000000"/>
                <w:sz w:val="24"/>
                <w:szCs w:val="24"/>
              </w:rPr>
              <w:t>ADMSSN</w:t>
            </w:r>
          </w:p>
        </w:tc>
        <w:tc>
          <w:tcPr>
            <w:tcW w:w="3117" w:type="dxa"/>
            <w:noWrap/>
            <w:hideMark/>
          </w:tcPr>
          <w:p w14:paraId="4AB6CF2E" w14:textId="77777777" w:rsidR="00062B97" w:rsidRPr="00062B97" w:rsidRDefault="00062B97">
            <w:pPr>
              <w:rPr>
                <w:color w:val="000000"/>
                <w:sz w:val="24"/>
                <w:szCs w:val="24"/>
              </w:rPr>
            </w:pPr>
            <w:r w:rsidRPr="00062B97">
              <w:rPr>
                <w:color w:val="000000"/>
                <w:sz w:val="24"/>
                <w:szCs w:val="24"/>
              </w:rPr>
              <w:t>0.132</w:t>
            </w:r>
          </w:p>
        </w:tc>
        <w:tc>
          <w:tcPr>
            <w:tcW w:w="3117" w:type="dxa"/>
            <w:hideMark/>
          </w:tcPr>
          <w:p w14:paraId="6236F1A0" w14:textId="77777777" w:rsidR="00062B97" w:rsidRPr="00062B97" w:rsidRDefault="00062B97">
            <w:pPr>
              <w:rPr>
                <w:color w:val="000000"/>
                <w:sz w:val="24"/>
                <w:szCs w:val="24"/>
              </w:rPr>
            </w:pPr>
            <w:r w:rsidRPr="00062B97">
              <w:rPr>
                <w:color w:val="000000"/>
                <w:sz w:val="24"/>
                <w:szCs w:val="24"/>
              </w:rPr>
              <w:t>0.000</w:t>
            </w:r>
          </w:p>
        </w:tc>
      </w:tr>
      <w:tr w:rsidR="00062B97" w14:paraId="43691719" w14:textId="77777777" w:rsidTr="00062B97">
        <w:trPr>
          <w:trHeight w:val="276"/>
        </w:trPr>
        <w:tc>
          <w:tcPr>
            <w:tcW w:w="3116" w:type="dxa"/>
            <w:hideMark/>
          </w:tcPr>
          <w:p w14:paraId="6AC6B778" w14:textId="77777777" w:rsidR="00062B97" w:rsidRPr="00062B97" w:rsidRDefault="00062B97">
            <w:pPr>
              <w:rPr>
                <w:color w:val="000000"/>
                <w:sz w:val="24"/>
                <w:szCs w:val="24"/>
              </w:rPr>
            </w:pPr>
            <w:r w:rsidRPr="00062B97">
              <w:rPr>
                <w:color w:val="000000"/>
                <w:sz w:val="24"/>
                <w:szCs w:val="24"/>
              </w:rPr>
              <w:t>SAINSTT</w:t>
            </w:r>
          </w:p>
        </w:tc>
        <w:tc>
          <w:tcPr>
            <w:tcW w:w="3117" w:type="dxa"/>
            <w:noWrap/>
            <w:hideMark/>
          </w:tcPr>
          <w:p w14:paraId="64796BB4" w14:textId="77777777" w:rsidR="00062B97" w:rsidRPr="00062B97" w:rsidRDefault="00062B97">
            <w:pPr>
              <w:rPr>
                <w:color w:val="000000"/>
                <w:sz w:val="24"/>
                <w:szCs w:val="24"/>
              </w:rPr>
            </w:pPr>
            <w:r w:rsidRPr="00062B97">
              <w:rPr>
                <w:color w:val="000000"/>
                <w:sz w:val="24"/>
                <w:szCs w:val="24"/>
              </w:rPr>
              <w:t>0.305</w:t>
            </w:r>
          </w:p>
        </w:tc>
        <w:tc>
          <w:tcPr>
            <w:tcW w:w="3117" w:type="dxa"/>
            <w:hideMark/>
          </w:tcPr>
          <w:p w14:paraId="2125D500" w14:textId="77777777" w:rsidR="00062B97" w:rsidRPr="00062B97" w:rsidRDefault="00062B97">
            <w:pPr>
              <w:rPr>
                <w:color w:val="000000"/>
                <w:sz w:val="24"/>
                <w:szCs w:val="24"/>
              </w:rPr>
            </w:pPr>
            <w:r w:rsidRPr="00062B97">
              <w:rPr>
                <w:color w:val="000000"/>
                <w:sz w:val="24"/>
                <w:szCs w:val="24"/>
              </w:rPr>
              <w:t>0.000</w:t>
            </w:r>
          </w:p>
        </w:tc>
      </w:tr>
      <w:tr w:rsidR="00062B97" w14:paraId="14988E38" w14:textId="77777777" w:rsidTr="00062B97">
        <w:trPr>
          <w:trHeight w:val="276"/>
        </w:trPr>
        <w:tc>
          <w:tcPr>
            <w:tcW w:w="3116" w:type="dxa"/>
            <w:hideMark/>
          </w:tcPr>
          <w:p w14:paraId="31A7F978" w14:textId="77777777" w:rsidR="00062B97" w:rsidRPr="00062B97" w:rsidRDefault="00062B97">
            <w:pPr>
              <w:rPr>
                <w:color w:val="000000"/>
                <w:sz w:val="24"/>
                <w:szCs w:val="24"/>
              </w:rPr>
            </w:pPr>
            <w:r w:rsidRPr="00062B97">
              <w:rPr>
                <w:color w:val="000000"/>
                <w:sz w:val="24"/>
                <w:szCs w:val="24"/>
              </w:rPr>
              <w:t>GRTOTLT</w:t>
            </w:r>
          </w:p>
        </w:tc>
        <w:tc>
          <w:tcPr>
            <w:tcW w:w="3117" w:type="dxa"/>
            <w:noWrap/>
            <w:hideMark/>
          </w:tcPr>
          <w:p w14:paraId="141A2CD7" w14:textId="77777777" w:rsidR="00062B97" w:rsidRPr="00062B97" w:rsidRDefault="00062B97">
            <w:pPr>
              <w:rPr>
                <w:color w:val="000000"/>
                <w:sz w:val="24"/>
                <w:szCs w:val="24"/>
              </w:rPr>
            </w:pPr>
            <w:r w:rsidRPr="00062B97">
              <w:rPr>
                <w:color w:val="000000"/>
                <w:sz w:val="24"/>
                <w:szCs w:val="24"/>
              </w:rPr>
              <w:t>0.037</w:t>
            </w:r>
          </w:p>
        </w:tc>
        <w:tc>
          <w:tcPr>
            <w:tcW w:w="3117" w:type="dxa"/>
            <w:hideMark/>
          </w:tcPr>
          <w:p w14:paraId="4B36E914" w14:textId="77777777" w:rsidR="00062B97" w:rsidRPr="00062B97" w:rsidRDefault="00062B97">
            <w:pPr>
              <w:rPr>
                <w:color w:val="000000"/>
                <w:sz w:val="24"/>
                <w:szCs w:val="24"/>
              </w:rPr>
            </w:pPr>
            <w:r w:rsidRPr="00062B97">
              <w:rPr>
                <w:color w:val="000000"/>
                <w:sz w:val="24"/>
                <w:szCs w:val="24"/>
              </w:rPr>
              <w:t>0.000</w:t>
            </w:r>
          </w:p>
        </w:tc>
      </w:tr>
      <w:tr w:rsidR="00062B97" w14:paraId="35850013" w14:textId="77777777" w:rsidTr="00062B97">
        <w:trPr>
          <w:trHeight w:val="276"/>
        </w:trPr>
        <w:tc>
          <w:tcPr>
            <w:tcW w:w="3116" w:type="dxa"/>
            <w:hideMark/>
          </w:tcPr>
          <w:p w14:paraId="3B94A7AD" w14:textId="77777777" w:rsidR="00062B97" w:rsidRPr="00062B97" w:rsidRDefault="00062B97">
            <w:pPr>
              <w:rPr>
                <w:color w:val="000000"/>
                <w:sz w:val="24"/>
                <w:szCs w:val="24"/>
              </w:rPr>
            </w:pPr>
            <w:r w:rsidRPr="00062B97">
              <w:rPr>
                <w:color w:val="000000"/>
                <w:sz w:val="24"/>
                <w:szCs w:val="24"/>
              </w:rPr>
              <w:t>NPIST2</w:t>
            </w:r>
          </w:p>
        </w:tc>
        <w:tc>
          <w:tcPr>
            <w:tcW w:w="3117" w:type="dxa"/>
            <w:hideMark/>
          </w:tcPr>
          <w:p w14:paraId="50F16D91" w14:textId="77777777" w:rsidR="00062B97" w:rsidRPr="00062B97" w:rsidRDefault="00062B97">
            <w:pPr>
              <w:rPr>
                <w:color w:val="000000"/>
                <w:sz w:val="24"/>
                <w:szCs w:val="24"/>
              </w:rPr>
            </w:pPr>
            <w:r w:rsidRPr="00062B97">
              <w:rPr>
                <w:color w:val="000000"/>
                <w:sz w:val="24"/>
                <w:szCs w:val="24"/>
              </w:rPr>
              <w:t>0.000</w:t>
            </w:r>
          </w:p>
        </w:tc>
        <w:tc>
          <w:tcPr>
            <w:tcW w:w="3117" w:type="dxa"/>
            <w:hideMark/>
          </w:tcPr>
          <w:p w14:paraId="590525B9" w14:textId="77777777" w:rsidR="00062B97" w:rsidRPr="00062B97" w:rsidRDefault="00062B97">
            <w:pPr>
              <w:rPr>
                <w:color w:val="000000"/>
                <w:sz w:val="24"/>
                <w:szCs w:val="24"/>
              </w:rPr>
            </w:pPr>
            <w:r w:rsidRPr="00062B97">
              <w:rPr>
                <w:color w:val="000000"/>
                <w:sz w:val="24"/>
                <w:szCs w:val="24"/>
              </w:rPr>
              <w:t>0.899</w:t>
            </w:r>
          </w:p>
        </w:tc>
      </w:tr>
      <w:tr w:rsidR="00062B97" w14:paraId="1EC0DA04" w14:textId="77777777" w:rsidTr="00062B97">
        <w:trPr>
          <w:trHeight w:val="276"/>
        </w:trPr>
        <w:tc>
          <w:tcPr>
            <w:tcW w:w="3116" w:type="dxa"/>
            <w:hideMark/>
          </w:tcPr>
          <w:p w14:paraId="4A60B8E3" w14:textId="77777777" w:rsidR="00062B97" w:rsidRPr="00062B97" w:rsidRDefault="00062B97">
            <w:pPr>
              <w:rPr>
                <w:color w:val="000000"/>
                <w:sz w:val="24"/>
                <w:szCs w:val="24"/>
              </w:rPr>
            </w:pPr>
            <w:r w:rsidRPr="00062B97">
              <w:rPr>
                <w:color w:val="000000"/>
                <w:sz w:val="24"/>
                <w:szCs w:val="24"/>
              </w:rPr>
              <w:t>OBEREG</w:t>
            </w:r>
          </w:p>
        </w:tc>
        <w:tc>
          <w:tcPr>
            <w:tcW w:w="3117" w:type="dxa"/>
            <w:hideMark/>
          </w:tcPr>
          <w:p w14:paraId="7BA1AA16" w14:textId="77777777" w:rsidR="00062B97" w:rsidRPr="00062B97" w:rsidRDefault="00062B97">
            <w:pPr>
              <w:rPr>
                <w:color w:val="000000"/>
                <w:sz w:val="24"/>
                <w:szCs w:val="24"/>
              </w:rPr>
            </w:pPr>
            <w:r w:rsidRPr="00062B97">
              <w:rPr>
                <w:color w:val="000000"/>
                <w:sz w:val="24"/>
                <w:szCs w:val="24"/>
              </w:rPr>
              <w:t>28.555</w:t>
            </w:r>
          </w:p>
        </w:tc>
        <w:tc>
          <w:tcPr>
            <w:tcW w:w="3117" w:type="dxa"/>
            <w:hideMark/>
          </w:tcPr>
          <w:p w14:paraId="04071518" w14:textId="77777777" w:rsidR="00062B97" w:rsidRPr="00062B97" w:rsidRDefault="00062B97">
            <w:pPr>
              <w:rPr>
                <w:color w:val="000000"/>
                <w:sz w:val="24"/>
                <w:szCs w:val="24"/>
              </w:rPr>
            </w:pPr>
            <w:r w:rsidRPr="00062B97">
              <w:rPr>
                <w:color w:val="000000"/>
                <w:sz w:val="24"/>
                <w:szCs w:val="24"/>
              </w:rPr>
              <w:t>0.000</w:t>
            </w:r>
          </w:p>
        </w:tc>
      </w:tr>
      <w:tr w:rsidR="00062B97" w14:paraId="29ADB40F" w14:textId="77777777" w:rsidTr="00062B97">
        <w:trPr>
          <w:trHeight w:val="377"/>
        </w:trPr>
        <w:tc>
          <w:tcPr>
            <w:tcW w:w="3116" w:type="dxa"/>
            <w:hideMark/>
          </w:tcPr>
          <w:p w14:paraId="677889F1" w14:textId="77777777" w:rsidR="00062B97" w:rsidRPr="00062B97" w:rsidRDefault="00062B97">
            <w:pPr>
              <w:rPr>
                <w:color w:val="000000"/>
                <w:sz w:val="24"/>
                <w:szCs w:val="24"/>
              </w:rPr>
            </w:pPr>
            <w:r w:rsidRPr="00062B97">
              <w:rPr>
                <w:color w:val="000000"/>
                <w:sz w:val="24"/>
                <w:szCs w:val="24"/>
              </w:rPr>
              <w:t>CONTROL</w:t>
            </w:r>
          </w:p>
        </w:tc>
        <w:tc>
          <w:tcPr>
            <w:tcW w:w="3117" w:type="dxa"/>
            <w:hideMark/>
          </w:tcPr>
          <w:p w14:paraId="1650CF20" w14:textId="77777777" w:rsidR="00062B97" w:rsidRPr="00062B97" w:rsidRDefault="00062B97">
            <w:pPr>
              <w:rPr>
                <w:color w:val="000000"/>
                <w:sz w:val="24"/>
                <w:szCs w:val="24"/>
              </w:rPr>
            </w:pPr>
            <w:r w:rsidRPr="00062B97">
              <w:rPr>
                <w:color w:val="000000"/>
                <w:sz w:val="24"/>
                <w:szCs w:val="24"/>
              </w:rPr>
              <w:t>-6.707</w:t>
            </w:r>
          </w:p>
        </w:tc>
        <w:tc>
          <w:tcPr>
            <w:tcW w:w="3117" w:type="dxa"/>
            <w:hideMark/>
          </w:tcPr>
          <w:p w14:paraId="3526B9AB" w14:textId="77777777" w:rsidR="00062B97" w:rsidRPr="00062B97" w:rsidRDefault="00062B97">
            <w:pPr>
              <w:rPr>
                <w:color w:val="000000"/>
                <w:sz w:val="24"/>
                <w:szCs w:val="24"/>
              </w:rPr>
            </w:pPr>
            <w:r w:rsidRPr="00062B97">
              <w:rPr>
                <w:color w:val="000000"/>
                <w:sz w:val="24"/>
                <w:szCs w:val="24"/>
              </w:rPr>
              <w:t>0.384</w:t>
            </w:r>
          </w:p>
        </w:tc>
      </w:tr>
      <w:tr w:rsidR="00062B97" w14:paraId="34FE54A0" w14:textId="77777777" w:rsidTr="00062B97">
        <w:trPr>
          <w:trHeight w:val="276"/>
        </w:trPr>
        <w:tc>
          <w:tcPr>
            <w:tcW w:w="3116" w:type="dxa"/>
            <w:hideMark/>
          </w:tcPr>
          <w:p w14:paraId="07E15C40" w14:textId="77777777" w:rsidR="00062B97" w:rsidRPr="00062B97" w:rsidRDefault="00062B97">
            <w:pPr>
              <w:rPr>
                <w:color w:val="000000"/>
                <w:sz w:val="24"/>
                <w:szCs w:val="24"/>
              </w:rPr>
            </w:pPr>
            <w:r w:rsidRPr="00062B97">
              <w:rPr>
                <w:color w:val="000000"/>
                <w:sz w:val="24"/>
                <w:szCs w:val="24"/>
              </w:rPr>
              <w:t>HOSPITAL</w:t>
            </w:r>
          </w:p>
        </w:tc>
        <w:tc>
          <w:tcPr>
            <w:tcW w:w="3117" w:type="dxa"/>
            <w:hideMark/>
          </w:tcPr>
          <w:p w14:paraId="6B9CAA96" w14:textId="77777777" w:rsidR="00062B97" w:rsidRPr="00062B97" w:rsidRDefault="00062B97">
            <w:pPr>
              <w:rPr>
                <w:color w:val="000000"/>
                <w:sz w:val="24"/>
                <w:szCs w:val="24"/>
              </w:rPr>
            </w:pPr>
            <w:r w:rsidRPr="00062B97">
              <w:rPr>
                <w:color w:val="000000"/>
                <w:sz w:val="24"/>
                <w:szCs w:val="24"/>
              </w:rPr>
              <w:t>-61.384</w:t>
            </w:r>
          </w:p>
        </w:tc>
        <w:tc>
          <w:tcPr>
            <w:tcW w:w="3117" w:type="dxa"/>
            <w:hideMark/>
          </w:tcPr>
          <w:p w14:paraId="74492431" w14:textId="77777777" w:rsidR="00062B97" w:rsidRPr="00062B97" w:rsidRDefault="00062B97">
            <w:pPr>
              <w:rPr>
                <w:color w:val="000000"/>
                <w:sz w:val="24"/>
                <w:szCs w:val="24"/>
              </w:rPr>
            </w:pPr>
            <w:r w:rsidRPr="00062B97">
              <w:rPr>
                <w:color w:val="000000"/>
                <w:sz w:val="24"/>
                <w:szCs w:val="24"/>
              </w:rPr>
              <w:t>0.000</w:t>
            </w:r>
          </w:p>
        </w:tc>
      </w:tr>
    </w:tbl>
    <w:p w14:paraId="717FF2B0" w14:textId="5D985BC4" w:rsidR="00F467B7" w:rsidRPr="00062B97" w:rsidRDefault="00062B97" w:rsidP="00062B97">
      <w:pPr>
        <w:spacing w:line="480" w:lineRule="auto"/>
        <w:jc w:val="center"/>
        <w:rPr>
          <w:sz w:val="16"/>
          <w:szCs w:val="16"/>
        </w:rPr>
      </w:pPr>
      <w:r w:rsidRPr="00062B97">
        <w:rPr>
          <w:sz w:val="16"/>
          <w:szCs w:val="16"/>
        </w:rPr>
        <w:t>Table – 3: Variables and Coefficients</w:t>
      </w:r>
    </w:p>
    <w:p w14:paraId="5819255A" w14:textId="363FA2A4" w:rsidR="00062B97" w:rsidRDefault="00062B97" w:rsidP="00651903">
      <w:pPr>
        <w:spacing w:line="480" w:lineRule="auto"/>
      </w:pPr>
      <w:r>
        <w:t xml:space="preserve">The results says that APPCLN, ADMSSN, SAINSTT, GRTOTLT, OBEREG has high significance on enrollment. Hospital, OBEREG has no significance on enrollment. </w:t>
      </w:r>
      <w:r w:rsidRPr="00062B97">
        <w:t>This regression model</w:t>
      </w:r>
      <w:r>
        <w:t xml:space="preserve"> reveals</w:t>
      </w:r>
      <w:r w:rsidRPr="00062B97">
        <w:t xml:space="preserve"> </w:t>
      </w:r>
      <w:r>
        <w:t>that</w:t>
      </w:r>
      <w:r w:rsidRPr="00062B97">
        <w:t xml:space="preserve"> significant predictors like APPCLN, ADMSSN, and </w:t>
      </w:r>
      <w:r>
        <w:t>GRTOTLT</w:t>
      </w:r>
      <w:r w:rsidRPr="00062B97">
        <w:t xml:space="preserve"> </w:t>
      </w:r>
      <w:r>
        <w:t>are the crucial factors affecting</w:t>
      </w:r>
      <w:r w:rsidRPr="00062B97">
        <w:t xml:space="preserve"> enrollment.</w:t>
      </w:r>
    </w:p>
    <w:p w14:paraId="1375AFF8" w14:textId="00BEB314" w:rsidR="0048761F" w:rsidRDefault="0048761F" w:rsidP="0048761F">
      <w:pPr>
        <w:spacing w:line="480" w:lineRule="auto"/>
        <w:jc w:val="center"/>
      </w:pPr>
      <w:r w:rsidRPr="0048761F">
        <w:rPr>
          <w:noProof/>
        </w:rPr>
        <w:drawing>
          <wp:inline distT="0" distB="0" distL="0" distR="0" wp14:anchorId="2EE8A7D6" wp14:editId="71D897B7">
            <wp:extent cx="4526074" cy="3108960"/>
            <wp:effectExtent l="0" t="0" r="8255" b="0"/>
            <wp:docPr id="173309291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92916" name="Picture 1" descr="A diagram of a graph&#10;&#10;Description automatically generated"/>
                    <pic:cNvPicPr/>
                  </pic:nvPicPr>
                  <pic:blipFill>
                    <a:blip r:embed="rId13"/>
                    <a:stretch>
                      <a:fillRect/>
                    </a:stretch>
                  </pic:blipFill>
                  <pic:spPr>
                    <a:xfrm>
                      <a:off x="0" y="0"/>
                      <a:ext cx="4545443" cy="3122264"/>
                    </a:xfrm>
                    <a:prstGeom prst="rect">
                      <a:avLst/>
                    </a:prstGeom>
                  </pic:spPr>
                </pic:pic>
              </a:graphicData>
            </a:graphic>
          </wp:inline>
        </w:drawing>
      </w:r>
    </w:p>
    <w:p w14:paraId="6B03665B" w14:textId="4ED77B91" w:rsidR="0048761F" w:rsidRPr="0048761F" w:rsidRDefault="0048761F" w:rsidP="0048761F">
      <w:pPr>
        <w:spacing w:line="480" w:lineRule="auto"/>
        <w:jc w:val="center"/>
        <w:rPr>
          <w:sz w:val="16"/>
          <w:szCs w:val="16"/>
        </w:rPr>
      </w:pPr>
      <w:r w:rsidRPr="0048761F">
        <w:rPr>
          <w:sz w:val="16"/>
          <w:szCs w:val="16"/>
        </w:rPr>
        <w:t>Figure – 7: Scatter plot for predicted Vs actual values</w:t>
      </w:r>
    </w:p>
    <w:p w14:paraId="12CA03BC" w14:textId="6DDF97EF" w:rsidR="0048761F" w:rsidRDefault="0048761F" w:rsidP="0048761F">
      <w:pPr>
        <w:spacing w:line="480" w:lineRule="auto"/>
      </w:pPr>
      <w:r w:rsidRPr="0048761F">
        <w:lastRenderedPageBreak/>
        <w:t xml:space="preserve">The blue dots follow an upward trend, indicating that the model's predictions tend to increase as the actual values increase. The model </w:t>
      </w:r>
      <w:r>
        <w:t>suggested that</w:t>
      </w:r>
      <w:r w:rsidRPr="0048761F">
        <w:t xml:space="preserve"> some of the underlying relationships between the independent and dependent variables</w:t>
      </w:r>
      <w:r>
        <w:t xml:space="preserve"> are identified.</w:t>
      </w:r>
    </w:p>
    <w:p w14:paraId="3FD40A3D" w14:textId="17D878A6" w:rsidR="0048761F" w:rsidRDefault="0048761F" w:rsidP="0048761F">
      <w:pPr>
        <w:spacing w:line="480" w:lineRule="auto"/>
        <w:rPr>
          <w:b/>
          <w:bCs/>
        </w:rPr>
      </w:pPr>
      <w:r w:rsidRPr="0048761F">
        <w:rPr>
          <w:b/>
          <w:bCs/>
        </w:rPr>
        <w:t>Random Forest Regression</w:t>
      </w:r>
    </w:p>
    <w:p w14:paraId="40E308DD" w14:textId="7353FBF5" w:rsidR="0048761F" w:rsidRPr="00A6174E" w:rsidRDefault="00A6174E" w:rsidP="0048761F">
      <w:pPr>
        <w:spacing w:line="480" w:lineRule="auto"/>
      </w:pPr>
      <w:r>
        <w:t>R</w:t>
      </w:r>
      <w:r>
        <w:rPr>
          <w:vertAlign w:val="superscript"/>
        </w:rPr>
        <w:t xml:space="preserve">2 </w:t>
      </w:r>
      <w:r>
        <w:t xml:space="preserve">value of the random forest regression is 0.88, which </w:t>
      </w:r>
      <w:r w:rsidRPr="00A6174E">
        <w:t>means that approximately 88.53% of the variability in the target variable can be explained by the model.</w:t>
      </w:r>
      <w:r>
        <w:t xml:space="preserve"> The mean square error is low. </w:t>
      </w:r>
    </w:p>
    <w:p w14:paraId="1D8D6531" w14:textId="43BE3701" w:rsidR="0048761F" w:rsidRDefault="0048761F" w:rsidP="0048761F">
      <w:pPr>
        <w:spacing w:line="480" w:lineRule="auto"/>
        <w:rPr>
          <w:b/>
          <w:bCs/>
        </w:rPr>
      </w:pPr>
      <w:r w:rsidRPr="0048761F">
        <w:rPr>
          <w:b/>
          <w:bCs/>
          <w:noProof/>
        </w:rPr>
        <w:drawing>
          <wp:inline distT="0" distB="0" distL="0" distR="0" wp14:anchorId="73510697" wp14:editId="4E6D968A">
            <wp:extent cx="5943600" cy="3251835"/>
            <wp:effectExtent l="0" t="0" r="0" b="5715"/>
            <wp:docPr id="73734352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43527" name="Picture 1" descr="A graph with blue squares&#10;&#10;Description automatically generated"/>
                    <pic:cNvPicPr/>
                  </pic:nvPicPr>
                  <pic:blipFill>
                    <a:blip r:embed="rId14"/>
                    <a:stretch>
                      <a:fillRect/>
                    </a:stretch>
                  </pic:blipFill>
                  <pic:spPr>
                    <a:xfrm>
                      <a:off x="0" y="0"/>
                      <a:ext cx="5943600" cy="3251835"/>
                    </a:xfrm>
                    <a:prstGeom prst="rect">
                      <a:avLst/>
                    </a:prstGeom>
                  </pic:spPr>
                </pic:pic>
              </a:graphicData>
            </a:graphic>
          </wp:inline>
        </w:drawing>
      </w:r>
    </w:p>
    <w:p w14:paraId="0E9BC5B9" w14:textId="67BD439C" w:rsidR="00A6174E" w:rsidRPr="0048761F" w:rsidRDefault="00A6174E" w:rsidP="00A6174E">
      <w:pPr>
        <w:spacing w:line="480" w:lineRule="auto"/>
        <w:jc w:val="center"/>
        <w:rPr>
          <w:sz w:val="16"/>
          <w:szCs w:val="16"/>
        </w:rPr>
      </w:pPr>
      <w:r w:rsidRPr="0048761F">
        <w:rPr>
          <w:sz w:val="16"/>
          <w:szCs w:val="16"/>
        </w:rPr>
        <w:t xml:space="preserve">Figure – </w:t>
      </w:r>
      <w:r>
        <w:rPr>
          <w:sz w:val="16"/>
          <w:szCs w:val="16"/>
        </w:rPr>
        <w:t>8</w:t>
      </w:r>
      <w:r w:rsidRPr="0048761F">
        <w:rPr>
          <w:sz w:val="16"/>
          <w:szCs w:val="16"/>
        </w:rPr>
        <w:t xml:space="preserve">: </w:t>
      </w:r>
      <w:r>
        <w:rPr>
          <w:sz w:val="16"/>
          <w:szCs w:val="16"/>
        </w:rPr>
        <w:t>Feature Importance</w:t>
      </w:r>
    </w:p>
    <w:p w14:paraId="5246FDAF" w14:textId="77777777" w:rsidR="0094160F" w:rsidRDefault="0094160F" w:rsidP="00A6174E">
      <w:pPr>
        <w:spacing w:line="480" w:lineRule="auto"/>
      </w:pPr>
    </w:p>
    <w:p w14:paraId="0A33455B" w14:textId="77777777" w:rsidR="0094160F" w:rsidRDefault="0094160F" w:rsidP="00A6174E">
      <w:pPr>
        <w:spacing w:line="480" w:lineRule="auto"/>
      </w:pPr>
    </w:p>
    <w:p w14:paraId="3C59AA52" w14:textId="087EF96B" w:rsidR="00A6174E" w:rsidRPr="00A6174E" w:rsidRDefault="0094160F" w:rsidP="00A6174E">
      <w:pPr>
        <w:spacing w:line="480" w:lineRule="auto"/>
      </w:pPr>
      <w:r>
        <w:t xml:space="preserve">The factors affecting the enrollment are admissions, applications, graduation rate as per the random forest regression model. </w:t>
      </w:r>
      <w:r w:rsidR="00A6174E">
        <w:t>In Figure – 9, s</w:t>
      </w:r>
      <w:r w:rsidR="00A6174E" w:rsidRPr="00A6174E">
        <w:t>ome dots are closer to the line, while others are farther away. This indicates that the model's predictions are not perfectly accurate, and there is some variability in the predictions.</w:t>
      </w:r>
    </w:p>
    <w:p w14:paraId="5900CBEA" w14:textId="77777777" w:rsidR="00A6174E" w:rsidRDefault="00A6174E" w:rsidP="0048761F">
      <w:pPr>
        <w:spacing w:line="480" w:lineRule="auto"/>
        <w:rPr>
          <w:b/>
          <w:bCs/>
        </w:rPr>
      </w:pPr>
    </w:p>
    <w:p w14:paraId="565291B5" w14:textId="6472E0A3" w:rsidR="0048761F" w:rsidRDefault="0048761F" w:rsidP="0048761F">
      <w:pPr>
        <w:spacing w:line="480" w:lineRule="auto"/>
        <w:rPr>
          <w:b/>
          <w:bCs/>
        </w:rPr>
      </w:pPr>
      <w:r w:rsidRPr="0048761F">
        <w:rPr>
          <w:b/>
          <w:bCs/>
          <w:noProof/>
        </w:rPr>
        <w:lastRenderedPageBreak/>
        <w:drawing>
          <wp:inline distT="0" distB="0" distL="0" distR="0" wp14:anchorId="2620ABC7" wp14:editId="17666C3D">
            <wp:extent cx="5943600" cy="3775075"/>
            <wp:effectExtent l="0" t="0" r="0" b="0"/>
            <wp:docPr id="898357696" name="Picture 1" descr="A graph of a graph showing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57696" name="Picture 1" descr="A graph of a graph showing a line of blue dots&#10;&#10;Description automatically generated with medium confidence"/>
                    <pic:cNvPicPr/>
                  </pic:nvPicPr>
                  <pic:blipFill>
                    <a:blip r:embed="rId15"/>
                    <a:stretch>
                      <a:fillRect/>
                    </a:stretch>
                  </pic:blipFill>
                  <pic:spPr>
                    <a:xfrm>
                      <a:off x="0" y="0"/>
                      <a:ext cx="5943600" cy="3775075"/>
                    </a:xfrm>
                    <a:prstGeom prst="rect">
                      <a:avLst/>
                    </a:prstGeom>
                  </pic:spPr>
                </pic:pic>
              </a:graphicData>
            </a:graphic>
          </wp:inline>
        </w:drawing>
      </w:r>
    </w:p>
    <w:p w14:paraId="2B5AB6EC" w14:textId="6B62D3E1" w:rsidR="00A6174E" w:rsidRDefault="00A6174E" w:rsidP="00A6174E">
      <w:pPr>
        <w:spacing w:line="480" w:lineRule="auto"/>
        <w:jc w:val="center"/>
        <w:rPr>
          <w:sz w:val="16"/>
          <w:szCs w:val="16"/>
        </w:rPr>
      </w:pPr>
      <w:r w:rsidRPr="0048761F">
        <w:rPr>
          <w:sz w:val="16"/>
          <w:szCs w:val="16"/>
        </w:rPr>
        <w:t xml:space="preserve">Figure – </w:t>
      </w:r>
      <w:r>
        <w:rPr>
          <w:sz w:val="16"/>
          <w:szCs w:val="16"/>
        </w:rPr>
        <w:t>9</w:t>
      </w:r>
      <w:r w:rsidRPr="0048761F">
        <w:rPr>
          <w:sz w:val="16"/>
          <w:szCs w:val="16"/>
        </w:rPr>
        <w:t>: Scatter plot for predicted Vs actual values</w:t>
      </w:r>
    </w:p>
    <w:p w14:paraId="08132405" w14:textId="7B29E059" w:rsidR="0094160F" w:rsidRDefault="0094160F" w:rsidP="0094160F">
      <w:pPr>
        <w:spacing w:line="480" w:lineRule="auto"/>
      </w:pPr>
      <w:r>
        <w:t xml:space="preserve">Considering the results of both the models, we can say that admissions, applications, graduation rate and regions highly affect the enrollment in any educational institution. Hospital facilities and the type of institution, like private and public institutions, </w:t>
      </w:r>
      <w:r w:rsidR="001D5800">
        <w:t>do</w:t>
      </w:r>
      <w:r>
        <w:t xml:space="preserve"> not affect the enrollment rate. </w:t>
      </w:r>
    </w:p>
    <w:p w14:paraId="30D9C06A" w14:textId="4014E97C" w:rsidR="0094160F" w:rsidRPr="001D5800" w:rsidRDefault="0094160F" w:rsidP="0094160F">
      <w:pPr>
        <w:spacing w:line="480" w:lineRule="auto"/>
        <w:rPr>
          <w:color w:val="000000"/>
        </w:rPr>
      </w:pPr>
      <w:r w:rsidRPr="00F22DB1">
        <w:rPr>
          <w:color w:val="000000"/>
        </w:rPr>
        <w:t>The study offers information for institutional strategic planning.</w:t>
      </w:r>
      <w:r>
        <w:rPr>
          <w:color w:val="000000"/>
        </w:rPr>
        <w:t xml:space="preserve"> P</w:t>
      </w:r>
      <w:r w:rsidRPr="00F22DB1">
        <w:rPr>
          <w:color w:val="000000"/>
        </w:rPr>
        <w:t>rogram creation and comprehension of changing dynamics in higher education</w:t>
      </w:r>
      <w:r>
        <w:rPr>
          <w:color w:val="000000"/>
        </w:rPr>
        <w:t xml:space="preserve">. </w:t>
      </w:r>
      <w:r w:rsidRPr="00F22DB1">
        <w:rPr>
          <w:color w:val="000000"/>
        </w:rPr>
        <w:t>Policymakers can create more</w:t>
      </w:r>
      <w:r w:rsidR="001D5800">
        <w:rPr>
          <w:color w:val="000000"/>
        </w:rPr>
        <w:t xml:space="preserve"> </w:t>
      </w:r>
      <w:r w:rsidRPr="00F22DB1">
        <w:rPr>
          <w:color w:val="000000"/>
        </w:rPr>
        <w:t>focused educational</w:t>
      </w:r>
      <w:r w:rsidR="001D5800">
        <w:rPr>
          <w:color w:val="000000"/>
        </w:rPr>
        <w:t xml:space="preserve"> </w:t>
      </w:r>
      <w:r w:rsidR="00E3490A" w:rsidRPr="00F22DB1">
        <w:rPr>
          <w:color w:val="000000"/>
        </w:rPr>
        <w:t>initiative</w:t>
      </w:r>
      <w:r w:rsidR="00E3490A">
        <w:rPr>
          <w:color w:val="000000"/>
        </w:rPr>
        <w:t>s,</w:t>
      </w:r>
      <w:r w:rsidR="001D5800">
        <w:rPr>
          <w:color w:val="000000"/>
        </w:rPr>
        <w:t xml:space="preserve"> and the</w:t>
      </w:r>
      <w:r w:rsidRPr="00F22DB1">
        <w:rPr>
          <w:color w:val="000000"/>
        </w:rPr>
        <w:t xml:space="preserve"> administrators can use data-driven insights.</w:t>
      </w:r>
      <w:r w:rsidRPr="00F22DB1">
        <w:rPr>
          <w:color w:val="000000"/>
        </w:rPr>
        <w:br/>
        <w:t>Prospective students are able to make better informed decisions about their education.</w:t>
      </w:r>
      <w:r>
        <w:rPr>
          <w:color w:val="000000"/>
        </w:rPr>
        <w:t xml:space="preserve"> </w:t>
      </w:r>
      <w:r w:rsidRPr="00F22DB1">
        <w:rPr>
          <w:color w:val="000000"/>
        </w:rPr>
        <w:t>Although</w:t>
      </w:r>
      <w:r w:rsidR="001D5800">
        <w:rPr>
          <w:color w:val="000000"/>
        </w:rPr>
        <w:t xml:space="preserve"> </w:t>
      </w:r>
      <w:r w:rsidRPr="00F22DB1">
        <w:rPr>
          <w:color w:val="000000"/>
        </w:rPr>
        <w:t>the study only includes data from 2022. Future investigations could</w:t>
      </w:r>
      <w:r w:rsidR="001D5800">
        <w:rPr>
          <w:color w:val="000000"/>
        </w:rPr>
        <w:t xml:space="preserve"> e</w:t>
      </w:r>
      <w:r w:rsidRPr="00F22DB1">
        <w:rPr>
          <w:color w:val="000000"/>
        </w:rPr>
        <w:t>xtend temporal analysis</w:t>
      </w:r>
      <w:r w:rsidR="001D5800">
        <w:rPr>
          <w:color w:val="000000"/>
        </w:rPr>
        <w:t>, i</w:t>
      </w:r>
      <w:r w:rsidRPr="00F22DB1">
        <w:rPr>
          <w:color w:val="000000"/>
        </w:rPr>
        <w:t>nclude more detailed demographic information</w:t>
      </w:r>
      <w:r w:rsidR="001D5800">
        <w:rPr>
          <w:color w:val="000000"/>
        </w:rPr>
        <w:t>, e</w:t>
      </w:r>
      <w:r w:rsidRPr="00F22DB1">
        <w:rPr>
          <w:color w:val="000000"/>
        </w:rPr>
        <w:t>xamine new developments in online and hybrid education.</w:t>
      </w:r>
      <w:r w:rsidRPr="00F22DB1">
        <w:rPr>
          <w:color w:val="000000"/>
        </w:rPr>
        <w:br/>
      </w:r>
      <w:r w:rsidRPr="00F22DB1">
        <w:rPr>
          <w:color w:val="000000"/>
        </w:rPr>
        <w:br/>
      </w:r>
    </w:p>
    <w:p w14:paraId="2E80A26E" w14:textId="3F1175E2" w:rsidR="00B7773F" w:rsidRPr="00337FE1" w:rsidRDefault="00D02055" w:rsidP="001D5800">
      <w:pPr>
        <w:spacing w:line="480" w:lineRule="auto"/>
        <w:jc w:val="center"/>
        <w:rPr>
          <w:b/>
          <w:bCs/>
          <w:u w:val="single"/>
        </w:rPr>
      </w:pPr>
      <w:r w:rsidRPr="00337FE1">
        <w:rPr>
          <w:b/>
          <w:bCs/>
          <w:u w:val="single"/>
        </w:rPr>
        <w:lastRenderedPageBreak/>
        <w:t>REFERENCES</w:t>
      </w:r>
    </w:p>
    <w:p w14:paraId="1A80A373" w14:textId="0871E51B" w:rsidR="00D4362E" w:rsidRPr="0094160F" w:rsidRDefault="00332983" w:rsidP="0094160F">
      <w:pPr>
        <w:spacing w:line="480" w:lineRule="auto"/>
        <w:jc w:val="both"/>
      </w:pPr>
      <w:r w:rsidRPr="0094160F">
        <w:t>Romero, C., &amp; Ventura, S. (2024). Educational Data Mining and Learning Analytics: An</w:t>
      </w:r>
      <w:r w:rsidRPr="0094160F">
        <w:br/>
        <w:t>Updated Survey. arXiv preprint arXiv:2402.07956.</w:t>
      </w:r>
    </w:p>
    <w:p w14:paraId="3B2AB938" w14:textId="4BD3AAD0" w:rsidR="00D4362E" w:rsidRPr="0094160F" w:rsidRDefault="00332983" w:rsidP="0094160F">
      <w:pPr>
        <w:spacing w:line="480" w:lineRule="auto"/>
        <w:jc w:val="both"/>
      </w:pPr>
      <w:r w:rsidRPr="0094160F">
        <w:t>Global Data Set on Education Quality (1965-2015)" - Altinok, N., Angrist, N., &amp; Patrinos, H. A. (2018). World Bank</w:t>
      </w:r>
    </w:p>
    <w:p w14:paraId="5CE312AA" w14:textId="5D7EBB00" w:rsidR="00D4362E" w:rsidRDefault="00D4362E" w:rsidP="0094160F">
      <w:pPr>
        <w:spacing w:line="480" w:lineRule="auto"/>
        <w:jc w:val="both"/>
      </w:pPr>
      <w:r w:rsidRPr="0094160F">
        <w:t xml:space="preserve">Lee, Y., et al. (2024). </w:t>
      </w:r>
      <w:r w:rsidRPr="0094160F">
        <w:rPr>
          <w:i/>
          <w:iCs/>
        </w:rPr>
        <w:t>EdNet: A Large-Scale Hierarchical Dataset in Education</w:t>
      </w:r>
      <w:r w:rsidRPr="0094160F">
        <w:t xml:space="preserve">. </w:t>
      </w:r>
      <w:r w:rsidRPr="0094160F">
        <w:rPr>
          <w:i/>
          <w:iCs/>
        </w:rPr>
        <w:t>arXiv preprint arXiv:1912.03072</w:t>
      </w:r>
      <w:r w:rsidRPr="0094160F">
        <w:t>.</w:t>
      </w:r>
    </w:p>
    <w:p w14:paraId="045755EA" w14:textId="6DC89FD9" w:rsidR="00F75A9C" w:rsidRPr="0094160F" w:rsidRDefault="00F75A9C" w:rsidP="0094160F">
      <w:pPr>
        <w:spacing w:line="480" w:lineRule="auto"/>
        <w:jc w:val="both"/>
      </w:pPr>
      <w:r w:rsidRPr="00F75A9C">
        <w:t>Gašević, D., Dawson, S. &amp; Siemens, G. Let’s not forget: Learning analytics are about learning. </w:t>
      </w:r>
      <w:r w:rsidRPr="00F75A9C">
        <w:rPr>
          <w:i/>
          <w:iCs/>
        </w:rPr>
        <w:t>TECHTRENDS TECH TRENDS</w:t>
      </w:r>
      <w:r w:rsidRPr="00F75A9C">
        <w:t> </w:t>
      </w:r>
      <w:r w:rsidRPr="00F75A9C">
        <w:rPr>
          <w:b/>
          <w:bCs/>
        </w:rPr>
        <w:t>59</w:t>
      </w:r>
      <w:r w:rsidRPr="00F75A9C">
        <w:t>, 64–71 (2015). https://doi.org/10.1007/s11528-014-0822-x</w:t>
      </w:r>
    </w:p>
    <w:p w14:paraId="2BC099AF" w14:textId="77777777" w:rsidR="00AC3AC1" w:rsidRPr="00330E55" w:rsidRDefault="00AC3AC1" w:rsidP="00BD2F36">
      <w:pPr>
        <w:jc w:val="both"/>
        <w:rPr>
          <w:b/>
          <w:bCs/>
        </w:rPr>
      </w:pPr>
    </w:p>
    <w:sectPr w:rsidR="00AC3AC1" w:rsidRPr="0033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557A5"/>
    <w:multiLevelType w:val="hybridMultilevel"/>
    <w:tmpl w:val="4634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92481"/>
    <w:multiLevelType w:val="hybridMultilevel"/>
    <w:tmpl w:val="4384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90DBD"/>
    <w:multiLevelType w:val="hybridMultilevel"/>
    <w:tmpl w:val="9CA6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64C69"/>
    <w:multiLevelType w:val="hybridMultilevel"/>
    <w:tmpl w:val="50BE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57B51"/>
    <w:multiLevelType w:val="hybridMultilevel"/>
    <w:tmpl w:val="34DC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972095">
    <w:abstractNumId w:val="4"/>
  </w:num>
  <w:num w:numId="2" w16cid:durableId="1758018290">
    <w:abstractNumId w:val="3"/>
  </w:num>
  <w:num w:numId="3" w16cid:durableId="966930480">
    <w:abstractNumId w:val="2"/>
  </w:num>
  <w:num w:numId="4" w16cid:durableId="717584423">
    <w:abstractNumId w:val="0"/>
  </w:num>
  <w:num w:numId="5" w16cid:durableId="313262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7C"/>
    <w:rsid w:val="00013E09"/>
    <w:rsid w:val="00033055"/>
    <w:rsid w:val="0003777C"/>
    <w:rsid w:val="00051EDA"/>
    <w:rsid w:val="00052F96"/>
    <w:rsid w:val="00062B97"/>
    <w:rsid w:val="001176F4"/>
    <w:rsid w:val="00135D5C"/>
    <w:rsid w:val="00156D44"/>
    <w:rsid w:val="00167CAD"/>
    <w:rsid w:val="001A6C8B"/>
    <w:rsid w:val="001D26BF"/>
    <w:rsid w:val="001D41AE"/>
    <w:rsid w:val="001D5800"/>
    <w:rsid w:val="001D6C38"/>
    <w:rsid w:val="0027235C"/>
    <w:rsid w:val="00277BF6"/>
    <w:rsid w:val="002C0CB0"/>
    <w:rsid w:val="002D26A2"/>
    <w:rsid w:val="002D423E"/>
    <w:rsid w:val="00325E8A"/>
    <w:rsid w:val="00330E55"/>
    <w:rsid w:val="00332983"/>
    <w:rsid w:val="00337FE1"/>
    <w:rsid w:val="00346784"/>
    <w:rsid w:val="003613FC"/>
    <w:rsid w:val="003669BF"/>
    <w:rsid w:val="0039582B"/>
    <w:rsid w:val="003C036D"/>
    <w:rsid w:val="003F37E8"/>
    <w:rsid w:val="00422991"/>
    <w:rsid w:val="00434CBF"/>
    <w:rsid w:val="00440AF8"/>
    <w:rsid w:val="00442C2D"/>
    <w:rsid w:val="00444C1F"/>
    <w:rsid w:val="00455AB0"/>
    <w:rsid w:val="00457042"/>
    <w:rsid w:val="0048761F"/>
    <w:rsid w:val="004D0118"/>
    <w:rsid w:val="004F289E"/>
    <w:rsid w:val="005172A9"/>
    <w:rsid w:val="005173A4"/>
    <w:rsid w:val="00556F97"/>
    <w:rsid w:val="00587677"/>
    <w:rsid w:val="00616D2C"/>
    <w:rsid w:val="00640F5A"/>
    <w:rsid w:val="00651903"/>
    <w:rsid w:val="0069660F"/>
    <w:rsid w:val="006D0187"/>
    <w:rsid w:val="007441FE"/>
    <w:rsid w:val="00744C36"/>
    <w:rsid w:val="007B6119"/>
    <w:rsid w:val="007C000E"/>
    <w:rsid w:val="007F7A86"/>
    <w:rsid w:val="008137B1"/>
    <w:rsid w:val="00850B99"/>
    <w:rsid w:val="00857906"/>
    <w:rsid w:val="00866304"/>
    <w:rsid w:val="00866F0E"/>
    <w:rsid w:val="00892ACA"/>
    <w:rsid w:val="008A3845"/>
    <w:rsid w:val="008C7E00"/>
    <w:rsid w:val="009352AD"/>
    <w:rsid w:val="00936754"/>
    <w:rsid w:val="0094160F"/>
    <w:rsid w:val="009D5A7D"/>
    <w:rsid w:val="00A43DB7"/>
    <w:rsid w:val="00A6174E"/>
    <w:rsid w:val="00AA2238"/>
    <w:rsid w:val="00AB3CD3"/>
    <w:rsid w:val="00AC3AC1"/>
    <w:rsid w:val="00B55652"/>
    <w:rsid w:val="00B7773F"/>
    <w:rsid w:val="00B91B99"/>
    <w:rsid w:val="00B96E13"/>
    <w:rsid w:val="00BB3FF6"/>
    <w:rsid w:val="00BD02C2"/>
    <w:rsid w:val="00BD2F36"/>
    <w:rsid w:val="00D02055"/>
    <w:rsid w:val="00D35624"/>
    <w:rsid w:val="00D4362E"/>
    <w:rsid w:val="00D552B1"/>
    <w:rsid w:val="00D833B2"/>
    <w:rsid w:val="00DD3001"/>
    <w:rsid w:val="00DD5A95"/>
    <w:rsid w:val="00DE4059"/>
    <w:rsid w:val="00DF10B4"/>
    <w:rsid w:val="00E3490A"/>
    <w:rsid w:val="00EC04A9"/>
    <w:rsid w:val="00F10AD2"/>
    <w:rsid w:val="00F140EA"/>
    <w:rsid w:val="00F22DB1"/>
    <w:rsid w:val="00F437E1"/>
    <w:rsid w:val="00F467B7"/>
    <w:rsid w:val="00F64B7B"/>
    <w:rsid w:val="00F75A9C"/>
    <w:rsid w:val="00F83D71"/>
    <w:rsid w:val="00FC3C18"/>
    <w:rsid w:val="00FD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FAAC"/>
  <w15:chartTrackingRefBased/>
  <w15:docId w15:val="{C15E0523-0777-8742-83F1-891CDF7C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90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3777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3777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3777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3777C"/>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3777C"/>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3777C"/>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3777C"/>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3777C"/>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3777C"/>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77C"/>
    <w:rPr>
      <w:rFonts w:eastAsiaTheme="majorEastAsia" w:cstheme="majorBidi"/>
      <w:color w:val="272727" w:themeColor="text1" w:themeTint="D8"/>
    </w:rPr>
  </w:style>
  <w:style w:type="paragraph" w:styleId="Title">
    <w:name w:val="Title"/>
    <w:basedOn w:val="Normal"/>
    <w:next w:val="Normal"/>
    <w:link w:val="TitleChar"/>
    <w:uiPriority w:val="10"/>
    <w:qFormat/>
    <w:rsid w:val="0003777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37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77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37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77C"/>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3777C"/>
    <w:rPr>
      <w:i/>
      <w:iCs/>
      <w:color w:val="404040" w:themeColor="text1" w:themeTint="BF"/>
    </w:rPr>
  </w:style>
  <w:style w:type="paragraph" w:styleId="ListParagraph">
    <w:name w:val="List Paragraph"/>
    <w:basedOn w:val="Normal"/>
    <w:uiPriority w:val="34"/>
    <w:qFormat/>
    <w:rsid w:val="0003777C"/>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3777C"/>
    <w:rPr>
      <w:i/>
      <w:iCs/>
      <w:color w:val="0F4761" w:themeColor="accent1" w:themeShade="BF"/>
    </w:rPr>
  </w:style>
  <w:style w:type="paragraph" w:styleId="IntenseQuote">
    <w:name w:val="Intense Quote"/>
    <w:basedOn w:val="Normal"/>
    <w:next w:val="Normal"/>
    <w:link w:val="IntenseQuoteChar"/>
    <w:uiPriority w:val="30"/>
    <w:qFormat/>
    <w:rsid w:val="0003777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3777C"/>
    <w:rPr>
      <w:i/>
      <w:iCs/>
      <w:color w:val="0F4761" w:themeColor="accent1" w:themeShade="BF"/>
    </w:rPr>
  </w:style>
  <w:style w:type="character" w:styleId="IntenseReference">
    <w:name w:val="Intense Reference"/>
    <w:basedOn w:val="DefaultParagraphFont"/>
    <w:uiPriority w:val="32"/>
    <w:qFormat/>
    <w:rsid w:val="0003777C"/>
    <w:rPr>
      <w:b/>
      <w:bCs/>
      <w:smallCaps/>
      <w:color w:val="0F4761" w:themeColor="accent1" w:themeShade="BF"/>
      <w:spacing w:val="5"/>
    </w:rPr>
  </w:style>
  <w:style w:type="table" w:styleId="TableGrid">
    <w:name w:val="Table Grid"/>
    <w:basedOn w:val="TableNormal"/>
    <w:uiPriority w:val="39"/>
    <w:rsid w:val="00455AB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0118"/>
    <w:rPr>
      <w:color w:val="467886" w:themeColor="hyperlink"/>
      <w:u w:val="single"/>
    </w:rPr>
  </w:style>
  <w:style w:type="character" w:styleId="UnresolvedMention">
    <w:name w:val="Unresolved Mention"/>
    <w:basedOn w:val="DefaultParagraphFont"/>
    <w:uiPriority w:val="99"/>
    <w:semiHidden/>
    <w:unhideWhenUsed/>
    <w:rsid w:val="004D0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77577">
      <w:bodyDiv w:val="1"/>
      <w:marLeft w:val="0"/>
      <w:marRight w:val="0"/>
      <w:marTop w:val="0"/>
      <w:marBottom w:val="0"/>
      <w:divBdr>
        <w:top w:val="none" w:sz="0" w:space="0" w:color="auto"/>
        <w:left w:val="none" w:sz="0" w:space="0" w:color="auto"/>
        <w:bottom w:val="none" w:sz="0" w:space="0" w:color="auto"/>
        <w:right w:val="none" w:sz="0" w:space="0" w:color="auto"/>
      </w:divBdr>
    </w:div>
    <w:div w:id="170874500">
      <w:bodyDiv w:val="1"/>
      <w:marLeft w:val="0"/>
      <w:marRight w:val="0"/>
      <w:marTop w:val="0"/>
      <w:marBottom w:val="0"/>
      <w:divBdr>
        <w:top w:val="none" w:sz="0" w:space="0" w:color="auto"/>
        <w:left w:val="none" w:sz="0" w:space="0" w:color="auto"/>
        <w:bottom w:val="none" w:sz="0" w:space="0" w:color="auto"/>
        <w:right w:val="none" w:sz="0" w:space="0" w:color="auto"/>
      </w:divBdr>
    </w:div>
    <w:div w:id="202668884">
      <w:bodyDiv w:val="1"/>
      <w:marLeft w:val="0"/>
      <w:marRight w:val="0"/>
      <w:marTop w:val="0"/>
      <w:marBottom w:val="0"/>
      <w:divBdr>
        <w:top w:val="none" w:sz="0" w:space="0" w:color="auto"/>
        <w:left w:val="none" w:sz="0" w:space="0" w:color="auto"/>
        <w:bottom w:val="none" w:sz="0" w:space="0" w:color="auto"/>
        <w:right w:val="none" w:sz="0" w:space="0" w:color="auto"/>
      </w:divBdr>
    </w:div>
    <w:div w:id="238373627">
      <w:bodyDiv w:val="1"/>
      <w:marLeft w:val="0"/>
      <w:marRight w:val="0"/>
      <w:marTop w:val="0"/>
      <w:marBottom w:val="0"/>
      <w:divBdr>
        <w:top w:val="none" w:sz="0" w:space="0" w:color="auto"/>
        <w:left w:val="none" w:sz="0" w:space="0" w:color="auto"/>
        <w:bottom w:val="none" w:sz="0" w:space="0" w:color="auto"/>
        <w:right w:val="none" w:sz="0" w:space="0" w:color="auto"/>
      </w:divBdr>
    </w:div>
    <w:div w:id="285625760">
      <w:bodyDiv w:val="1"/>
      <w:marLeft w:val="0"/>
      <w:marRight w:val="0"/>
      <w:marTop w:val="0"/>
      <w:marBottom w:val="0"/>
      <w:divBdr>
        <w:top w:val="none" w:sz="0" w:space="0" w:color="auto"/>
        <w:left w:val="none" w:sz="0" w:space="0" w:color="auto"/>
        <w:bottom w:val="none" w:sz="0" w:space="0" w:color="auto"/>
        <w:right w:val="none" w:sz="0" w:space="0" w:color="auto"/>
      </w:divBdr>
    </w:div>
    <w:div w:id="304043742">
      <w:bodyDiv w:val="1"/>
      <w:marLeft w:val="0"/>
      <w:marRight w:val="0"/>
      <w:marTop w:val="0"/>
      <w:marBottom w:val="0"/>
      <w:divBdr>
        <w:top w:val="none" w:sz="0" w:space="0" w:color="auto"/>
        <w:left w:val="none" w:sz="0" w:space="0" w:color="auto"/>
        <w:bottom w:val="none" w:sz="0" w:space="0" w:color="auto"/>
        <w:right w:val="none" w:sz="0" w:space="0" w:color="auto"/>
      </w:divBdr>
    </w:div>
    <w:div w:id="320279522">
      <w:bodyDiv w:val="1"/>
      <w:marLeft w:val="0"/>
      <w:marRight w:val="0"/>
      <w:marTop w:val="0"/>
      <w:marBottom w:val="0"/>
      <w:divBdr>
        <w:top w:val="none" w:sz="0" w:space="0" w:color="auto"/>
        <w:left w:val="none" w:sz="0" w:space="0" w:color="auto"/>
        <w:bottom w:val="none" w:sz="0" w:space="0" w:color="auto"/>
        <w:right w:val="none" w:sz="0" w:space="0" w:color="auto"/>
      </w:divBdr>
    </w:div>
    <w:div w:id="453329788">
      <w:bodyDiv w:val="1"/>
      <w:marLeft w:val="0"/>
      <w:marRight w:val="0"/>
      <w:marTop w:val="0"/>
      <w:marBottom w:val="0"/>
      <w:divBdr>
        <w:top w:val="none" w:sz="0" w:space="0" w:color="auto"/>
        <w:left w:val="none" w:sz="0" w:space="0" w:color="auto"/>
        <w:bottom w:val="none" w:sz="0" w:space="0" w:color="auto"/>
        <w:right w:val="none" w:sz="0" w:space="0" w:color="auto"/>
      </w:divBdr>
    </w:div>
    <w:div w:id="660162254">
      <w:bodyDiv w:val="1"/>
      <w:marLeft w:val="0"/>
      <w:marRight w:val="0"/>
      <w:marTop w:val="0"/>
      <w:marBottom w:val="0"/>
      <w:divBdr>
        <w:top w:val="none" w:sz="0" w:space="0" w:color="auto"/>
        <w:left w:val="none" w:sz="0" w:space="0" w:color="auto"/>
        <w:bottom w:val="none" w:sz="0" w:space="0" w:color="auto"/>
        <w:right w:val="none" w:sz="0" w:space="0" w:color="auto"/>
      </w:divBdr>
    </w:div>
    <w:div w:id="800535324">
      <w:bodyDiv w:val="1"/>
      <w:marLeft w:val="0"/>
      <w:marRight w:val="0"/>
      <w:marTop w:val="0"/>
      <w:marBottom w:val="0"/>
      <w:divBdr>
        <w:top w:val="none" w:sz="0" w:space="0" w:color="auto"/>
        <w:left w:val="none" w:sz="0" w:space="0" w:color="auto"/>
        <w:bottom w:val="none" w:sz="0" w:space="0" w:color="auto"/>
        <w:right w:val="none" w:sz="0" w:space="0" w:color="auto"/>
      </w:divBdr>
    </w:div>
    <w:div w:id="954679011">
      <w:bodyDiv w:val="1"/>
      <w:marLeft w:val="0"/>
      <w:marRight w:val="0"/>
      <w:marTop w:val="0"/>
      <w:marBottom w:val="0"/>
      <w:divBdr>
        <w:top w:val="none" w:sz="0" w:space="0" w:color="auto"/>
        <w:left w:val="none" w:sz="0" w:space="0" w:color="auto"/>
        <w:bottom w:val="none" w:sz="0" w:space="0" w:color="auto"/>
        <w:right w:val="none" w:sz="0" w:space="0" w:color="auto"/>
      </w:divBdr>
      <w:divsChild>
        <w:div w:id="92827885">
          <w:marLeft w:val="0"/>
          <w:marRight w:val="0"/>
          <w:marTop w:val="0"/>
          <w:marBottom w:val="0"/>
          <w:divBdr>
            <w:top w:val="none" w:sz="0" w:space="0" w:color="auto"/>
            <w:left w:val="none" w:sz="0" w:space="0" w:color="auto"/>
            <w:bottom w:val="none" w:sz="0" w:space="0" w:color="auto"/>
            <w:right w:val="none" w:sz="0" w:space="0" w:color="auto"/>
          </w:divBdr>
          <w:divsChild>
            <w:div w:id="17393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984">
      <w:bodyDiv w:val="1"/>
      <w:marLeft w:val="0"/>
      <w:marRight w:val="0"/>
      <w:marTop w:val="0"/>
      <w:marBottom w:val="0"/>
      <w:divBdr>
        <w:top w:val="none" w:sz="0" w:space="0" w:color="auto"/>
        <w:left w:val="none" w:sz="0" w:space="0" w:color="auto"/>
        <w:bottom w:val="none" w:sz="0" w:space="0" w:color="auto"/>
        <w:right w:val="none" w:sz="0" w:space="0" w:color="auto"/>
      </w:divBdr>
    </w:div>
    <w:div w:id="1256524168">
      <w:bodyDiv w:val="1"/>
      <w:marLeft w:val="0"/>
      <w:marRight w:val="0"/>
      <w:marTop w:val="0"/>
      <w:marBottom w:val="0"/>
      <w:divBdr>
        <w:top w:val="none" w:sz="0" w:space="0" w:color="auto"/>
        <w:left w:val="none" w:sz="0" w:space="0" w:color="auto"/>
        <w:bottom w:val="none" w:sz="0" w:space="0" w:color="auto"/>
        <w:right w:val="none" w:sz="0" w:space="0" w:color="auto"/>
      </w:divBdr>
    </w:div>
    <w:div w:id="1315456130">
      <w:bodyDiv w:val="1"/>
      <w:marLeft w:val="0"/>
      <w:marRight w:val="0"/>
      <w:marTop w:val="0"/>
      <w:marBottom w:val="0"/>
      <w:divBdr>
        <w:top w:val="none" w:sz="0" w:space="0" w:color="auto"/>
        <w:left w:val="none" w:sz="0" w:space="0" w:color="auto"/>
        <w:bottom w:val="none" w:sz="0" w:space="0" w:color="auto"/>
        <w:right w:val="none" w:sz="0" w:space="0" w:color="auto"/>
      </w:divBdr>
    </w:div>
    <w:div w:id="1333754869">
      <w:bodyDiv w:val="1"/>
      <w:marLeft w:val="0"/>
      <w:marRight w:val="0"/>
      <w:marTop w:val="0"/>
      <w:marBottom w:val="0"/>
      <w:divBdr>
        <w:top w:val="none" w:sz="0" w:space="0" w:color="auto"/>
        <w:left w:val="none" w:sz="0" w:space="0" w:color="auto"/>
        <w:bottom w:val="none" w:sz="0" w:space="0" w:color="auto"/>
        <w:right w:val="none" w:sz="0" w:space="0" w:color="auto"/>
      </w:divBdr>
    </w:div>
    <w:div w:id="1444811021">
      <w:bodyDiv w:val="1"/>
      <w:marLeft w:val="0"/>
      <w:marRight w:val="0"/>
      <w:marTop w:val="0"/>
      <w:marBottom w:val="0"/>
      <w:divBdr>
        <w:top w:val="none" w:sz="0" w:space="0" w:color="auto"/>
        <w:left w:val="none" w:sz="0" w:space="0" w:color="auto"/>
        <w:bottom w:val="none" w:sz="0" w:space="0" w:color="auto"/>
        <w:right w:val="none" w:sz="0" w:space="0" w:color="auto"/>
      </w:divBdr>
    </w:div>
    <w:div w:id="1548688331">
      <w:bodyDiv w:val="1"/>
      <w:marLeft w:val="0"/>
      <w:marRight w:val="0"/>
      <w:marTop w:val="0"/>
      <w:marBottom w:val="0"/>
      <w:divBdr>
        <w:top w:val="none" w:sz="0" w:space="0" w:color="auto"/>
        <w:left w:val="none" w:sz="0" w:space="0" w:color="auto"/>
        <w:bottom w:val="none" w:sz="0" w:space="0" w:color="auto"/>
        <w:right w:val="none" w:sz="0" w:space="0" w:color="auto"/>
      </w:divBdr>
    </w:div>
    <w:div w:id="1581527908">
      <w:bodyDiv w:val="1"/>
      <w:marLeft w:val="0"/>
      <w:marRight w:val="0"/>
      <w:marTop w:val="0"/>
      <w:marBottom w:val="0"/>
      <w:divBdr>
        <w:top w:val="none" w:sz="0" w:space="0" w:color="auto"/>
        <w:left w:val="none" w:sz="0" w:space="0" w:color="auto"/>
        <w:bottom w:val="none" w:sz="0" w:space="0" w:color="auto"/>
        <w:right w:val="none" w:sz="0" w:space="0" w:color="auto"/>
      </w:divBdr>
    </w:div>
    <w:div w:id="1616642309">
      <w:bodyDiv w:val="1"/>
      <w:marLeft w:val="0"/>
      <w:marRight w:val="0"/>
      <w:marTop w:val="0"/>
      <w:marBottom w:val="0"/>
      <w:divBdr>
        <w:top w:val="none" w:sz="0" w:space="0" w:color="auto"/>
        <w:left w:val="none" w:sz="0" w:space="0" w:color="auto"/>
        <w:bottom w:val="none" w:sz="0" w:space="0" w:color="auto"/>
        <w:right w:val="none" w:sz="0" w:space="0" w:color="auto"/>
      </w:divBdr>
    </w:div>
    <w:div w:id="1626690116">
      <w:bodyDiv w:val="1"/>
      <w:marLeft w:val="0"/>
      <w:marRight w:val="0"/>
      <w:marTop w:val="0"/>
      <w:marBottom w:val="0"/>
      <w:divBdr>
        <w:top w:val="none" w:sz="0" w:space="0" w:color="auto"/>
        <w:left w:val="none" w:sz="0" w:space="0" w:color="auto"/>
        <w:bottom w:val="none" w:sz="0" w:space="0" w:color="auto"/>
        <w:right w:val="none" w:sz="0" w:space="0" w:color="auto"/>
      </w:divBdr>
      <w:divsChild>
        <w:div w:id="433522513">
          <w:marLeft w:val="0"/>
          <w:marRight w:val="0"/>
          <w:marTop w:val="0"/>
          <w:marBottom w:val="0"/>
          <w:divBdr>
            <w:top w:val="none" w:sz="0" w:space="0" w:color="auto"/>
            <w:left w:val="none" w:sz="0" w:space="0" w:color="auto"/>
            <w:bottom w:val="none" w:sz="0" w:space="0" w:color="auto"/>
            <w:right w:val="none" w:sz="0" w:space="0" w:color="auto"/>
          </w:divBdr>
          <w:divsChild>
            <w:div w:id="19562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2829">
      <w:bodyDiv w:val="1"/>
      <w:marLeft w:val="0"/>
      <w:marRight w:val="0"/>
      <w:marTop w:val="0"/>
      <w:marBottom w:val="0"/>
      <w:divBdr>
        <w:top w:val="none" w:sz="0" w:space="0" w:color="auto"/>
        <w:left w:val="none" w:sz="0" w:space="0" w:color="auto"/>
        <w:bottom w:val="none" w:sz="0" w:space="0" w:color="auto"/>
        <w:right w:val="none" w:sz="0" w:space="0" w:color="auto"/>
      </w:divBdr>
    </w:div>
    <w:div w:id="1690140662">
      <w:bodyDiv w:val="1"/>
      <w:marLeft w:val="0"/>
      <w:marRight w:val="0"/>
      <w:marTop w:val="0"/>
      <w:marBottom w:val="0"/>
      <w:divBdr>
        <w:top w:val="none" w:sz="0" w:space="0" w:color="auto"/>
        <w:left w:val="none" w:sz="0" w:space="0" w:color="auto"/>
        <w:bottom w:val="none" w:sz="0" w:space="0" w:color="auto"/>
        <w:right w:val="none" w:sz="0" w:space="0" w:color="auto"/>
      </w:divBdr>
    </w:div>
    <w:div w:id="1894194187">
      <w:bodyDiv w:val="1"/>
      <w:marLeft w:val="0"/>
      <w:marRight w:val="0"/>
      <w:marTop w:val="0"/>
      <w:marBottom w:val="0"/>
      <w:divBdr>
        <w:top w:val="none" w:sz="0" w:space="0" w:color="auto"/>
        <w:left w:val="none" w:sz="0" w:space="0" w:color="auto"/>
        <w:bottom w:val="none" w:sz="0" w:space="0" w:color="auto"/>
        <w:right w:val="none" w:sz="0" w:space="0" w:color="auto"/>
      </w:divBdr>
    </w:div>
    <w:div w:id="2000228956">
      <w:bodyDiv w:val="1"/>
      <w:marLeft w:val="0"/>
      <w:marRight w:val="0"/>
      <w:marTop w:val="0"/>
      <w:marBottom w:val="0"/>
      <w:divBdr>
        <w:top w:val="none" w:sz="0" w:space="0" w:color="auto"/>
        <w:left w:val="none" w:sz="0" w:space="0" w:color="auto"/>
        <w:bottom w:val="none" w:sz="0" w:space="0" w:color="auto"/>
        <w:right w:val="none" w:sz="0" w:space="0" w:color="auto"/>
      </w:divBdr>
    </w:div>
    <w:div w:id="2038693923">
      <w:bodyDiv w:val="1"/>
      <w:marLeft w:val="0"/>
      <w:marRight w:val="0"/>
      <w:marTop w:val="0"/>
      <w:marBottom w:val="0"/>
      <w:divBdr>
        <w:top w:val="none" w:sz="0" w:space="0" w:color="auto"/>
        <w:left w:val="none" w:sz="0" w:space="0" w:color="auto"/>
        <w:bottom w:val="none" w:sz="0" w:space="0" w:color="auto"/>
        <w:right w:val="none" w:sz="0" w:space="0" w:color="auto"/>
      </w:divBdr>
    </w:div>
    <w:div w:id="21117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ces.ed.gov/ipeds/datacenter/DataFiles.aspx?gotoReportId=7&amp;fromIpeds=true&amp;sid=0ac149b7-68fe-4246-94d6-3c2cc39f3d5f&amp;rtid=1" TargetMode="External"/><Relationship Id="rId11" Type="http://schemas.openxmlformats.org/officeDocument/2006/relationships/image" Target="media/image5.png"/><Relationship Id="rId5" Type="http://schemas.openxmlformats.org/officeDocument/2006/relationships/hyperlink" Target="https://nces.ed.gov/ipeds/datacenter/DataFiles.aspx?gotoReportId=7&amp;fromIpeds=true&amp;sid=0ac149b7-68fe-4246-94d6-3c2cc39f3d5f&amp;rtid=1"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Privilege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17</TotalTime>
  <Pages>16</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Laasya Reddy</dc:creator>
  <cp:keywords/>
  <dc:description/>
  <cp:lastModifiedBy>Meghana kota</cp:lastModifiedBy>
  <cp:revision>8</cp:revision>
  <dcterms:created xsi:type="dcterms:W3CDTF">2024-12-06T02:17:00Z</dcterms:created>
  <dcterms:modified xsi:type="dcterms:W3CDTF">2025-03-12T05:29:00Z</dcterms:modified>
</cp:coreProperties>
</file>