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DFA88" w14:textId="77777777" w:rsidR="001464AA" w:rsidRDefault="00000000">
      <w:pPr>
        <w:spacing w:before="480" w:after="120"/>
        <w:jc w:val="center"/>
      </w:pPr>
      <w:r>
        <w:rPr>
          <w:b/>
          <w:bCs/>
          <w:color w:val="1B3A6B"/>
          <w:sz w:val="44"/>
          <w:szCs w:val="44"/>
        </w:rPr>
        <w:t>AUTONOMOUS DRUG REPURPOSING PLATFORM</w:t>
      </w:r>
    </w:p>
    <w:p w14:paraId="2FD0FF76" w14:textId="77777777" w:rsidR="001464AA" w:rsidRDefault="00000000">
      <w:pPr>
        <w:spacing w:after="80"/>
        <w:jc w:val="center"/>
      </w:pPr>
      <w:r>
        <w:rPr>
          <w:color w:val="2E6DA4"/>
          <w:sz w:val="28"/>
          <w:szCs w:val="28"/>
        </w:rPr>
        <w:t>Project Build Process &amp; Technical Architecture</w:t>
      </w:r>
    </w:p>
    <w:p w14:paraId="7FE5135A" w14:textId="77777777" w:rsidR="001464AA" w:rsidRDefault="00000000">
      <w:pPr>
        <w:spacing w:after="60"/>
        <w:jc w:val="center"/>
      </w:pPr>
      <w:r>
        <w:rPr>
          <w:i/>
          <w:iCs/>
          <w:color w:val="666666"/>
        </w:rPr>
        <w:t>Team Cosmic  ·  VentureLab</w:t>
      </w:r>
    </w:p>
    <w:p w14:paraId="12245A76" w14:textId="14457D7E" w:rsidR="001464AA" w:rsidRDefault="00000000">
      <w:pPr>
        <w:spacing w:after="480"/>
        <w:jc w:val="center"/>
      </w:pPr>
      <w:r>
        <w:rPr>
          <w:color w:val="888888"/>
          <w:sz w:val="20"/>
          <w:szCs w:val="20"/>
        </w:rPr>
        <w:t>Manoj  ·  Rohan  ·  Aseem</w:t>
      </w:r>
    </w:p>
    <w:p w14:paraId="17AF1099" w14:textId="77777777" w:rsidR="001464AA" w:rsidRDefault="00000000">
      <w:pPr>
        <w:pStyle w:val="Heading1"/>
        <w:pBdr>
          <w:bottom w:val="single" w:sz="4" w:space="4" w:color="2E6DA4"/>
        </w:pBdr>
      </w:pPr>
      <w:r>
        <w:t>1. Project Overview</w:t>
      </w:r>
    </w:p>
    <w:p w14:paraId="321C8C1C" w14:textId="77777777" w:rsidR="001464AA" w:rsidRDefault="00000000">
      <w:pPr>
        <w:spacing w:before="80" w:after="100"/>
      </w:pPr>
      <w:r>
        <w:t>The Autonomous Drug Repurposing Platform is a pure machine-learning system that systematically mines all 10,000 FDA-approved drugs against every known disease. Rather than spending 12 years and $2.6 billion developing a new molecule, this platform finds hidden therapeutic value in drugs that already passed safety trials. The entire V1 is built on free, publicly available biomedical data — making the $0 data-cost model viable from day one.</w:t>
      </w:r>
    </w:p>
    <w:p w14:paraId="0C37CF70" w14:textId="77777777" w:rsidR="001464AA" w:rsidRDefault="001464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4AA" w14:paraId="13094218" w14:textId="77777777">
        <w:tblPrEx>
          <w:tblCellMar>
            <w:top w:w="0" w:type="dxa"/>
            <w:bottom w:w="0" w:type="dxa"/>
          </w:tblCellMar>
        </w:tblPrEx>
        <w:tc>
          <w:tcPr>
            <w:tcW w:w="9360" w:type="dxa"/>
            <w:tcBorders>
              <w:top w:val="single" w:sz="2" w:space="0" w:color="2E6DA4"/>
              <w:left w:val="single" w:sz="12" w:space="0" w:color="0F9D58"/>
              <w:bottom w:val="single" w:sz="2" w:space="0" w:color="2E6DA4"/>
              <w:right w:val="single" w:sz="2" w:space="0" w:color="2E6DA4"/>
            </w:tcBorders>
            <w:shd w:val="clear" w:color="auto" w:fill="EAF5FF"/>
            <w:tcMar>
              <w:top w:w="120" w:type="dxa"/>
              <w:left w:w="200" w:type="dxa"/>
              <w:bottom w:w="120" w:type="dxa"/>
              <w:right w:w="120" w:type="dxa"/>
            </w:tcMar>
          </w:tcPr>
          <w:p w14:paraId="541DB72E" w14:textId="77777777" w:rsidR="001464AA" w:rsidRDefault="00000000">
            <w:r>
              <w:rPr>
                <w:i/>
                <w:iCs/>
                <w:color w:val="1A3A5C"/>
                <w:sz w:val="20"/>
                <w:szCs w:val="20"/>
              </w:rPr>
              <w:t>Core Insight: COVID-19 repurposing of dexamethasone and baricitinib saved millions of lives. Our platform automates exactly this discovery process at 10,000x the scale, in weeks instead of years.</w:t>
            </w:r>
          </w:p>
        </w:tc>
      </w:tr>
    </w:tbl>
    <w:p w14:paraId="65395926" w14:textId="77777777" w:rsidR="001464AA" w:rsidRDefault="001464AA">
      <w:pPr>
        <w:spacing w:before="60" w:after="60"/>
      </w:pPr>
    </w:p>
    <w:p w14:paraId="641DFD1D" w14:textId="77777777" w:rsidR="001464AA" w:rsidRDefault="00000000">
      <w:pPr>
        <w:spacing w:before="80" w:after="100"/>
      </w:pPr>
      <w:r>
        <w:t>The platform operates through three chained AI systems:</w:t>
      </w:r>
    </w:p>
    <w:p w14:paraId="6D843A78" w14:textId="77777777" w:rsidR="001464AA" w:rsidRDefault="00000000">
      <w:pPr>
        <w:pStyle w:val="ListParagraph"/>
        <w:numPr>
          <w:ilvl w:val="0"/>
          <w:numId w:val="2"/>
        </w:numPr>
        <w:spacing w:before="60" w:after="60"/>
      </w:pPr>
      <w:r>
        <w:rPr>
          <w:b/>
          <w:bCs/>
          <w:color w:val="1B3A6B"/>
        </w:rPr>
        <w:t xml:space="preserve">Multi-Modal Biomedical Knowledge Graph </w:t>
      </w:r>
      <w:r>
        <w:t>— connects every known relationship between drugs, proteins, biological pathways, diseases, and clinical outcomes.</w:t>
      </w:r>
    </w:p>
    <w:p w14:paraId="04C3EDE1" w14:textId="77777777" w:rsidR="001464AA" w:rsidRDefault="00000000">
      <w:pPr>
        <w:pStyle w:val="ListParagraph"/>
        <w:numPr>
          <w:ilvl w:val="0"/>
          <w:numId w:val="2"/>
        </w:numPr>
        <w:spacing w:before="60" w:after="60"/>
      </w:pPr>
      <w:r>
        <w:rPr>
          <w:b/>
          <w:bCs/>
          <w:color w:val="1B3A6B"/>
        </w:rPr>
        <w:t xml:space="preserve">Graph Transformer </w:t>
      </w:r>
      <w:r>
        <w:t>— a deep learning model that reads the knowledge graph and predicts interaction scores for every untested drug-disease pair.</w:t>
      </w:r>
    </w:p>
    <w:p w14:paraId="6B8993F2" w14:textId="77777777" w:rsidR="001464AA" w:rsidRDefault="00000000">
      <w:pPr>
        <w:pStyle w:val="ListParagraph"/>
        <w:numPr>
          <w:ilvl w:val="0"/>
          <w:numId w:val="2"/>
        </w:numPr>
        <w:spacing w:before="60" w:after="60"/>
      </w:pPr>
      <w:r>
        <w:rPr>
          <w:b/>
          <w:bCs/>
          <w:color w:val="1B3A6B"/>
        </w:rPr>
        <w:t xml:space="preserve">RL-Driven Hypothesis Ranker </w:t>
      </w:r>
      <w:r>
        <w:t>— a reinforcement learning agent that ranks the top predictions by plausibility, safety signal, and commercial opportunity.</w:t>
      </w:r>
    </w:p>
    <w:p w14:paraId="17FDA87F" w14:textId="77777777" w:rsidR="001464AA" w:rsidRDefault="001464AA">
      <w:pPr>
        <w:spacing w:before="60" w:after="60"/>
      </w:pPr>
    </w:p>
    <w:p w14:paraId="7935D418" w14:textId="77777777" w:rsidR="001464AA" w:rsidRDefault="00000000">
      <w:pPr>
        <w:pStyle w:val="Heading1"/>
        <w:pBdr>
          <w:bottom w:val="single" w:sz="4" w:space="4" w:color="2E6DA4"/>
        </w:pBdr>
      </w:pPr>
      <w:r>
        <w:t>2. Build Phases at a Glance</w:t>
      </w:r>
    </w:p>
    <w:p w14:paraId="21169342" w14:textId="77777777" w:rsidR="001464AA" w:rsidRDefault="00000000">
      <w:pPr>
        <w:spacing w:before="80" w:after="100"/>
      </w:pPr>
      <w:r>
        <w:t>The entire platform is built in six sequential phases spanning 7 weeks. Each phase produces a concrete deliverable that feeds the next.</w:t>
      </w:r>
    </w:p>
    <w:p w14:paraId="7A1C0C3C" w14:textId="77777777" w:rsidR="001464AA" w:rsidRDefault="001464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00"/>
        <w:gridCol w:w="2500"/>
        <w:gridCol w:w="4160"/>
      </w:tblGrid>
      <w:tr w:rsidR="001464AA" w14:paraId="6F146D95" w14:textId="77777777">
        <w:tblPrEx>
          <w:tblCellMar>
            <w:top w:w="0" w:type="dxa"/>
            <w:bottom w:w="0" w:type="dxa"/>
          </w:tblCellMar>
        </w:tblPrEx>
        <w:trPr>
          <w:tblHeader/>
        </w:trPr>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80" w:type="dxa"/>
              <w:left w:w="120" w:type="dxa"/>
              <w:bottom w:w="80" w:type="dxa"/>
              <w:right w:w="120" w:type="dxa"/>
            </w:tcMar>
          </w:tcPr>
          <w:p w14:paraId="210E6205" w14:textId="77777777" w:rsidR="001464AA" w:rsidRDefault="00000000">
            <w:pPr>
              <w:jc w:val="center"/>
            </w:pPr>
            <w:r>
              <w:rPr>
                <w:b/>
                <w:bCs/>
                <w:color w:val="FFFFFF"/>
                <w:sz w:val="20"/>
                <w:szCs w:val="20"/>
              </w:rPr>
              <w:t>Phase</w:t>
            </w:r>
          </w:p>
        </w:tc>
        <w:tc>
          <w:tcPr>
            <w:tcW w:w="1300" w:type="dxa"/>
            <w:tcBorders>
              <w:top w:val="single" w:sz="1" w:space="0" w:color="C8D8E8"/>
              <w:left w:val="single" w:sz="1" w:space="0" w:color="C8D8E8"/>
              <w:bottom w:val="single" w:sz="1" w:space="0" w:color="C8D8E8"/>
              <w:right w:val="single" w:sz="1" w:space="0" w:color="C8D8E8"/>
            </w:tcBorders>
            <w:shd w:val="clear" w:color="auto" w:fill="1B3A6B"/>
            <w:tcMar>
              <w:top w:w="80" w:type="dxa"/>
              <w:left w:w="120" w:type="dxa"/>
              <w:bottom w:w="80" w:type="dxa"/>
              <w:right w:w="120" w:type="dxa"/>
            </w:tcMar>
          </w:tcPr>
          <w:p w14:paraId="3FD315FC" w14:textId="77777777" w:rsidR="001464AA" w:rsidRDefault="00000000">
            <w:pPr>
              <w:jc w:val="center"/>
            </w:pPr>
            <w:r>
              <w:rPr>
                <w:b/>
                <w:bCs/>
                <w:color w:val="FFFFFF"/>
                <w:sz w:val="20"/>
                <w:szCs w:val="20"/>
              </w:rPr>
              <w:t>Timeline</w:t>
            </w:r>
          </w:p>
        </w:tc>
        <w:tc>
          <w:tcPr>
            <w:tcW w:w="2500" w:type="dxa"/>
            <w:tcBorders>
              <w:top w:val="single" w:sz="1" w:space="0" w:color="C8D8E8"/>
              <w:left w:val="single" w:sz="1" w:space="0" w:color="C8D8E8"/>
              <w:bottom w:val="single" w:sz="1" w:space="0" w:color="C8D8E8"/>
              <w:right w:val="single" w:sz="1" w:space="0" w:color="C8D8E8"/>
            </w:tcBorders>
            <w:shd w:val="clear" w:color="auto" w:fill="1B3A6B"/>
            <w:tcMar>
              <w:top w:w="80" w:type="dxa"/>
              <w:left w:w="120" w:type="dxa"/>
              <w:bottom w:w="80" w:type="dxa"/>
              <w:right w:w="120" w:type="dxa"/>
            </w:tcMar>
          </w:tcPr>
          <w:p w14:paraId="1FFF38EB" w14:textId="77777777" w:rsidR="001464AA" w:rsidRDefault="00000000">
            <w:pPr>
              <w:jc w:val="center"/>
            </w:pPr>
            <w:r>
              <w:rPr>
                <w:b/>
                <w:bCs/>
                <w:color w:val="FFFFFF"/>
                <w:sz w:val="20"/>
                <w:szCs w:val="20"/>
              </w:rPr>
              <w:t>Focus</w:t>
            </w:r>
          </w:p>
        </w:tc>
        <w:tc>
          <w:tcPr>
            <w:tcW w:w="4160" w:type="dxa"/>
            <w:tcBorders>
              <w:top w:val="single" w:sz="1" w:space="0" w:color="C8D8E8"/>
              <w:left w:val="single" w:sz="1" w:space="0" w:color="C8D8E8"/>
              <w:bottom w:val="single" w:sz="1" w:space="0" w:color="C8D8E8"/>
              <w:right w:val="single" w:sz="1" w:space="0" w:color="C8D8E8"/>
            </w:tcBorders>
            <w:shd w:val="clear" w:color="auto" w:fill="1B3A6B"/>
            <w:tcMar>
              <w:top w:w="80" w:type="dxa"/>
              <w:left w:w="120" w:type="dxa"/>
              <w:bottom w:w="80" w:type="dxa"/>
              <w:right w:w="120" w:type="dxa"/>
            </w:tcMar>
          </w:tcPr>
          <w:p w14:paraId="1D375714" w14:textId="77777777" w:rsidR="001464AA" w:rsidRDefault="00000000">
            <w:pPr>
              <w:jc w:val="center"/>
            </w:pPr>
            <w:r>
              <w:rPr>
                <w:b/>
                <w:bCs/>
                <w:color w:val="FFFFFF"/>
                <w:sz w:val="20"/>
                <w:szCs w:val="20"/>
              </w:rPr>
              <w:t>Deliverable</w:t>
            </w:r>
          </w:p>
        </w:tc>
      </w:tr>
      <w:tr w:rsidR="001464AA" w14:paraId="54BB433C" w14:textId="77777777">
        <w:tblPrEx>
          <w:tblCellMar>
            <w:top w:w="0" w:type="dxa"/>
            <w:bottom w:w="0" w:type="dxa"/>
          </w:tblCellMar>
        </w:tblPrEx>
        <w:tc>
          <w:tcPr>
            <w:tcW w:w="140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7DBCECBA" w14:textId="77777777" w:rsidR="001464AA" w:rsidRDefault="00000000">
            <w:r>
              <w:rPr>
                <w:b/>
                <w:bCs/>
                <w:color w:val="1B3A6B"/>
                <w:sz w:val="20"/>
                <w:szCs w:val="20"/>
              </w:rPr>
              <w:t>Phase 1</w:t>
            </w:r>
          </w:p>
        </w:tc>
        <w:tc>
          <w:tcPr>
            <w:tcW w:w="130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53D2A8A9" w14:textId="77777777" w:rsidR="001464AA" w:rsidRDefault="00000000">
            <w:r>
              <w:rPr>
                <w:color w:val="000000"/>
                <w:sz w:val="20"/>
                <w:szCs w:val="20"/>
              </w:rPr>
              <w:t>Weeks 1-2</w:t>
            </w:r>
          </w:p>
        </w:tc>
        <w:tc>
          <w:tcPr>
            <w:tcW w:w="250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539D366E" w14:textId="4198A574" w:rsidR="001464AA" w:rsidRDefault="00000000">
            <w:r>
              <w:rPr>
                <w:color w:val="000000"/>
                <w:sz w:val="20"/>
                <w:szCs w:val="20"/>
              </w:rPr>
              <w:t xml:space="preserve">Data Ingestion &amp; figma ui to create mock ui </w:t>
            </w:r>
          </w:p>
        </w:tc>
        <w:tc>
          <w:tcPr>
            <w:tcW w:w="416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513E0E66" w14:textId="77777777" w:rsidR="001464AA" w:rsidRDefault="00000000">
            <w:r>
              <w:rPr>
                <w:color w:val="000000"/>
                <w:sz w:val="20"/>
                <w:szCs w:val="20"/>
              </w:rPr>
              <w:t>ChEMBL, DrugBank, UniProt pipelines live; cleaned datasets</w:t>
            </w:r>
          </w:p>
        </w:tc>
      </w:tr>
      <w:tr w:rsidR="001464AA" w14:paraId="24439DD7" w14:textId="77777777">
        <w:tblPrEx>
          <w:tblCellMar>
            <w:top w:w="0" w:type="dxa"/>
            <w:bottom w:w="0" w:type="dxa"/>
          </w:tblCellMar>
        </w:tblPrEx>
        <w:tc>
          <w:tcPr>
            <w:tcW w:w="1400" w:type="dxa"/>
            <w:tcBorders>
              <w:top w:val="single" w:sz="1" w:space="0" w:color="C8D8E8"/>
              <w:left w:val="single" w:sz="1" w:space="0" w:color="C8D8E8"/>
              <w:bottom w:val="single" w:sz="1" w:space="0" w:color="C8D8E8"/>
              <w:right w:val="single" w:sz="1" w:space="0" w:color="C8D8E8"/>
            </w:tcBorders>
            <w:shd w:val="clear" w:color="auto" w:fill="F0F8EE"/>
            <w:tcMar>
              <w:top w:w="80" w:type="dxa"/>
              <w:left w:w="120" w:type="dxa"/>
              <w:bottom w:w="80" w:type="dxa"/>
              <w:right w:w="120" w:type="dxa"/>
            </w:tcMar>
          </w:tcPr>
          <w:p w14:paraId="2F0F2905" w14:textId="77777777" w:rsidR="001464AA" w:rsidRDefault="00000000">
            <w:r>
              <w:rPr>
                <w:b/>
                <w:bCs/>
                <w:color w:val="1B3A6B"/>
                <w:sz w:val="20"/>
                <w:szCs w:val="20"/>
              </w:rPr>
              <w:t>Phase 2</w:t>
            </w:r>
          </w:p>
        </w:tc>
        <w:tc>
          <w:tcPr>
            <w:tcW w:w="1300" w:type="dxa"/>
            <w:tcBorders>
              <w:top w:val="single" w:sz="1" w:space="0" w:color="C8D8E8"/>
              <w:left w:val="single" w:sz="1" w:space="0" w:color="C8D8E8"/>
              <w:bottom w:val="single" w:sz="1" w:space="0" w:color="C8D8E8"/>
              <w:right w:val="single" w:sz="1" w:space="0" w:color="C8D8E8"/>
            </w:tcBorders>
            <w:shd w:val="clear" w:color="auto" w:fill="F0F8EE"/>
            <w:tcMar>
              <w:top w:w="80" w:type="dxa"/>
              <w:left w:w="120" w:type="dxa"/>
              <w:bottom w:w="80" w:type="dxa"/>
              <w:right w:w="120" w:type="dxa"/>
            </w:tcMar>
          </w:tcPr>
          <w:p w14:paraId="73A55E95" w14:textId="77777777" w:rsidR="001464AA" w:rsidRDefault="00000000">
            <w:r>
              <w:rPr>
                <w:color w:val="000000"/>
                <w:sz w:val="20"/>
                <w:szCs w:val="20"/>
              </w:rPr>
              <w:t>Weeks 2-3</w:t>
            </w:r>
          </w:p>
        </w:tc>
        <w:tc>
          <w:tcPr>
            <w:tcW w:w="2500" w:type="dxa"/>
            <w:tcBorders>
              <w:top w:val="single" w:sz="1" w:space="0" w:color="C8D8E8"/>
              <w:left w:val="single" w:sz="1" w:space="0" w:color="C8D8E8"/>
              <w:bottom w:val="single" w:sz="1" w:space="0" w:color="C8D8E8"/>
              <w:right w:val="single" w:sz="1" w:space="0" w:color="C8D8E8"/>
            </w:tcBorders>
            <w:shd w:val="clear" w:color="auto" w:fill="F0F8EE"/>
            <w:tcMar>
              <w:top w:w="80" w:type="dxa"/>
              <w:left w:w="120" w:type="dxa"/>
              <w:bottom w:w="80" w:type="dxa"/>
              <w:right w:w="120" w:type="dxa"/>
            </w:tcMar>
          </w:tcPr>
          <w:p w14:paraId="2A2A7C0E" w14:textId="77777777" w:rsidR="001464AA" w:rsidRDefault="00000000">
            <w:r>
              <w:rPr>
                <w:color w:val="000000"/>
                <w:sz w:val="20"/>
                <w:szCs w:val="20"/>
              </w:rPr>
              <w:t>Knowledge Graph Build</w:t>
            </w:r>
          </w:p>
        </w:tc>
        <w:tc>
          <w:tcPr>
            <w:tcW w:w="4160" w:type="dxa"/>
            <w:tcBorders>
              <w:top w:val="single" w:sz="1" w:space="0" w:color="C8D8E8"/>
              <w:left w:val="single" w:sz="1" w:space="0" w:color="C8D8E8"/>
              <w:bottom w:val="single" w:sz="1" w:space="0" w:color="C8D8E8"/>
              <w:right w:val="single" w:sz="1" w:space="0" w:color="C8D8E8"/>
            </w:tcBorders>
            <w:shd w:val="clear" w:color="auto" w:fill="F0F8EE"/>
            <w:tcMar>
              <w:top w:w="80" w:type="dxa"/>
              <w:left w:w="120" w:type="dxa"/>
              <w:bottom w:w="80" w:type="dxa"/>
              <w:right w:w="120" w:type="dxa"/>
            </w:tcMar>
          </w:tcPr>
          <w:p w14:paraId="3AE5FDBA" w14:textId="77777777" w:rsidR="001464AA" w:rsidRDefault="00000000">
            <w:r>
              <w:rPr>
                <w:color w:val="000000"/>
                <w:sz w:val="20"/>
                <w:szCs w:val="20"/>
              </w:rPr>
              <w:t>Neo4j graph with 10K drugs, proteins, pathways, diseases</w:t>
            </w:r>
          </w:p>
        </w:tc>
      </w:tr>
      <w:tr w:rsidR="001464AA" w14:paraId="673E7AEB" w14:textId="77777777">
        <w:tblPrEx>
          <w:tblCellMar>
            <w:top w:w="0" w:type="dxa"/>
            <w:bottom w:w="0" w:type="dxa"/>
          </w:tblCellMar>
        </w:tblPrEx>
        <w:tc>
          <w:tcPr>
            <w:tcW w:w="140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510B0FB4" w14:textId="77777777" w:rsidR="001464AA" w:rsidRDefault="00000000">
            <w:r>
              <w:rPr>
                <w:b/>
                <w:bCs/>
                <w:color w:val="1B3A6B"/>
                <w:sz w:val="20"/>
                <w:szCs w:val="20"/>
              </w:rPr>
              <w:t>Phase 3</w:t>
            </w:r>
          </w:p>
        </w:tc>
        <w:tc>
          <w:tcPr>
            <w:tcW w:w="130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30665AFC" w14:textId="77777777" w:rsidR="001464AA" w:rsidRDefault="00000000">
            <w:r>
              <w:rPr>
                <w:color w:val="000000"/>
                <w:sz w:val="20"/>
                <w:szCs w:val="20"/>
              </w:rPr>
              <w:t>Weeks 3-5</w:t>
            </w:r>
          </w:p>
        </w:tc>
        <w:tc>
          <w:tcPr>
            <w:tcW w:w="250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61BD5348" w14:textId="77777777" w:rsidR="001464AA" w:rsidRDefault="00000000">
            <w:r>
              <w:rPr>
                <w:color w:val="000000"/>
                <w:sz w:val="20"/>
                <w:szCs w:val="20"/>
              </w:rPr>
              <w:t>Graph Transformer Training</w:t>
            </w:r>
          </w:p>
        </w:tc>
        <w:tc>
          <w:tcPr>
            <w:tcW w:w="416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3730D3EA" w14:textId="77777777" w:rsidR="001464AA" w:rsidRDefault="00000000">
            <w:r>
              <w:rPr>
                <w:color w:val="000000"/>
                <w:sz w:val="20"/>
                <w:szCs w:val="20"/>
              </w:rPr>
              <w:t>Trained GNN model with drug-disease interaction scores</w:t>
            </w:r>
          </w:p>
        </w:tc>
      </w:tr>
      <w:tr w:rsidR="001464AA" w14:paraId="15A65D88" w14:textId="77777777">
        <w:tblPrEx>
          <w:tblCellMar>
            <w:top w:w="0" w:type="dxa"/>
            <w:bottom w:w="0" w:type="dxa"/>
          </w:tblCellMar>
        </w:tblPrEx>
        <w:tc>
          <w:tcPr>
            <w:tcW w:w="1400" w:type="dxa"/>
            <w:tcBorders>
              <w:top w:val="single" w:sz="1" w:space="0" w:color="C8D8E8"/>
              <w:left w:val="single" w:sz="1" w:space="0" w:color="C8D8E8"/>
              <w:bottom w:val="single" w:sz="1" w:space="0" w:color="C8D8E8"/>
              <w:right w:val="single" w:sz="1" w:space="0" w:color="C8D8E8"/>
            </w:tcBorders>
            <w:shd w:val="clear" w:color="auto" w:fill="F0F8EE"/>
            <w:tcMar>
              <w:top w:w="80" w:type="dxa"/>
              <w:left w:w="120" w:type="dxa"/>
              <w:bottom w:w="80" w:type="dxa"/>
              <w:right w:w="120" w:type="dxa"/>
            </w:tcMar>
          </w:tcPr>
          <w:p w14:paraId="62FE6B13" w14:textId="77777777" w:rsidR="001464AA" w:rsidRDefault="00000000">
            <w:r>
              <w:rPr>
                <w:b/>
                <w:bCs/>
                <w:color w:val="1B3A6B"/>
                <w:sz w:val="20"/>
                <w:szCs w:val="20"/>
              </w:rPr>
              <w:lastRenderedPageBreak/>
              <w:t>Phase 4</w:t>
            </w:r>
          </w:p>
        </w:tc>
        <w:tc>
          <w:tcPr>
            <w:tcW w:w="1300" w:type="dxa"/>
            <w:tcBorders>
              <w:top w:val="single" w:sz="1" w:space="0" w:color="C8D8E8"/>
              <w:left w:val="single" w:sz="1" w:space="0" w:color="C8D8E8"/>
              <w:bottom w:val="single" w:sz="1" w:space="0" w:color="C8D8E8"/>
              <w:right w:val="single" w:sz="1" w:space="0" w:color="C8D8E8"/>
            </w:tcBorders>
            <w:shd w:val="clear" w:color="auto" w:fill="F0F8EE"/>
            <w:tcMar>
              <w:top w:w="80" w:type="dxa"/>
              <w:left w:w="120" w:type="dxa"/>
              <w:bottom w:w="80" w:type="dxa"/>
              <w:right w:w="120" w:type="dxa"/>
            </w:tcMar>
          </w:tcPr>
          <w:p w14:paraId="555EB2B5" w14:textId="77777777" w:rsidR="001464AA" w:rsidRDefault="00000000">
            <w:r>
              <w:rPr>
                <w:color w:val="000000"/>
                <w:sz w:val="20"/>
                <w:szCs w:val="20"/>
              </w:rPr>
              <w:t>Weeks 5-6</w:t>
            </w:r>
          </w:p>
        </w:tc>
        <w:tc>
          <w:tcPr>
            <w:tcW w:w="2500" w:type="dxa"/>
            <w:tcBorders>
              <w:top w:val="single" w:sz="1" w:space="0" w:color="C8D8E8"/>
              <w:left w:val="single" w:sz="1" w:space="0" w:color="C8D8E8"/>
              <w:bottom w:val="single" w:sz="1" w:space="0" w:color="C8D8E8"/>
              <w:right w:val="single" w:sz="1" w:space="0" w:color="C8D8E8"/>
            </w:tcBorders>
            <w:shd w:val="clear" w:color="auto" w:fill="F0F8EE"/>
            <w:tcMar>
              <w:top w:w="80" w:type="dxa"/>
              <w:left w:w="120" w:type="dxa"/>
              <w:bottom w:w="80" w:type="dxa"/>
              <w:right w:w="120" w:type="dxa"/>
            </w:tcMar>
          </w:tcPr>
          <w:p w14:paraId="2CFABECB" w14:textId="77777777" w:rsidR="001464AA" w:rsidRDefault="00000000">
            <w:r>
              <w:rPr>
                <w:color w:val="000000"/>
                <w:sz w:val="20"/>
                <w:szCs w:val="20"/>
              </w:rPr>
              <w:t>RL Agent Development</w:t>
            </w:r>
          </w:p>
        </w:tc>
        <w:tc>
          <w:tcPr>
            <w:tcW w:w="4160" w:type="dxa"/>
            <w:tcBorders>
              <w:top w:val="single" w:sz="1" w:space="0" w:color="C8D8E8"/>
              <w:left w:val="single" w:sz="1" w:space="0" w:color="C8D8E8"/>
              <w:bottom w:val="single" w:sz="1" w:space="0" w:color="C8D8E8"/>
              <w:right w:val="single" w:sz="1" w:space="0" w:color="C8D8E8"/>
            </w:tcBorders>
            <w:shd w:val="clear" w:color="auto" w:fill="F0F8EE"/>
            <w:tcMar>
              <w:top w:w="80" w:type="dxa"/>
              <w:left w:w="120" w:type="dxa"/>
              <w:bottom w:w="80" w:type="dxa"/>
              <w:right w:w="120" w:type="dxa"/>
            </w:tcMar>
          </w:tcPr>
          <w:p w14:paraId="2A7640F2" w14:textId="77777777" w:rsidR="001464AA" w:rsidRDefault="00000000">
            <w:r>
              <w:rPr>
                <w:color w:val="000000"/>
                <w:sz w:val="20"/>
                <w:szCs w:val="20"/>
              </w:rPr>
              <w:t>RL agent ranking hypotheses by plausibility &amp; safety</w:t>
            </w:r>
          </w:p>
        </w:tc>
      </w:tr>
      <w:tr w:rsidR="001464AA" w14:paraId="7635B3F5" w14:textId="77777777">
        <w:tblPrEx>
          <w:tblCellMar>
            <w:top w:w="0" w:type="dxa"/>
            <w:bottom w:w="0" w:type="dxa"/>
          </w:tblCellMar>
        </w:tblPrEx>
        <w:tc>
          <w:tcPr>
            <w:tcW w:w="140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2A5EE72D" w14:textId="77777777" w:rsidR="001464AA" w:rsidRDefault="00000000">
            <w:r>
              <w:rPr>
                <w:b/>
                <w:bCs/>
                <w:color w:val="1B3A6B"/>
                <w:sz w:val="20"/>
                <w:szCs w:val="20"/>
              </w:rPr>
              <w:t>Phase 5</w:t>
            </w:r>
          </w:p>
        </w:tc>
        <w:tc>
          <w:tcPr>
            <w:tcW w:w="130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15D768BD" w14:textId="77777777" w:rsidR="001464AA" w:rsidRDefault="00000000">
            <w:r>
              <w:rPr>
                <w:color w:val="000000"/>
                <w:sz w:val="20"/>
                <w:szCs w:val="20"/>
              </w:rPr>
              <w:t>Week 7</w:t>
            </w:r>
          </w:p>
        </w:tc>
        <w:tc>
          <w:tcPr>
            <w:tcW w:w="250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03D9E7C4" w14:textId="77777777" w:rsidR="001464AA" w:rsidRDefault="00000000">
            <w:r>
              <w:rPr>
                <w:color w:val="000000"/>
                <w:sz w:val="20"/>
                <w:szCs w:val="20"/>
              </w:rPr>
              <w:t>API, Dashboard &amp; V1 Launch</w:t>
            </w:r>
          </w:p>
        </w:tc>
        <w:tc>
          <w:tcPr>
            <w:tcW w:w="4160" w:type="dxa"/>
            <w:tcBorders>
              <w:top w:val="single" w:sz="1" w:space="0" w:color="C8D8E8"/>
              <w:left w:val="single" w:sz="1" w:space="0" w:color="C8D8E8"/>
              <w:bottom w:val="single" w:sz="1" w:space="0" w:color="C8D8E8"/>
              <w:right w:val="single" w:sz="1" w:space="0" w:color="C8D8E8"/>
            </w:tcBorders>
            <w:shd w:val="clear" w:color="auto" w:fill="EBF4FF"/>
            <w:tcMar>
              <w:top w:w="80" w:type="dxa"/>
              <w:left w:w="120" w:type="dxa"/>
              <w:bottom w:w="80" w:type="dxa"/>
              <w:right w:w="120" w:type="dxa"/>
            </w:tcMar>
          </w:tcPr>
          <w:p w14:paraId="599CFA28" w14:textId="77777777" w:rsidR="001464AA" w:rsidRDefault="00000000">
            <w:r>
              <w:rPr>
                <w:color w:val="000000"/>
                <w:sz w:val="20"/>
                <w:szCs w:val="20"/>
              </w:rPr>
              <w:t>REST API + interactive web dashboard for researchers; Validated V1 platform with first external user demos</w:t>
            </w:r>
          </w:p>
        </w:tc>
      </w:tr>
    </w:tbl>
    <w:p w14:paraId="207A9E09" w14:textId="77777777" w:rsidR="001464AA" w:rsidRDefault="001464AA">
      <w:pPr>
        <w:spacing w:before="60" w:after="60"/>
      </w:pPr>
    </w:p>
    <w:p w14:paraId="1B0D742C" w14:textId="77777777" w:rsidR="001464AA" w:rsidRDefault="00000000">
      <w:pPr>
        <w:pStyle w:val="Heading1"/>
        <w:pBdr>
          <w:bottom w:val="single" w:sz="4" w:space="4" w:color="2E6DA4"/>
        </w:pBdr>
      </w:pPr>
      <w:r>
        <w:t>3. Phase 1 — Data Ingestion &amp; Pipeline Setup (Weeks 1–2)</w:t>
      </w:r>
    </w:p>
    <w:p w14:paraId="6E2E7899" w14:textId="77777777" w:rsidR="001464AA" w:rsidRDefault="00000000">
      <w:pPr>
        <w:pStyle w:val="Heading2"/>
      </w:pPr>
      <w:r>
        <w:t>What We Are Doing</w:t>
      </w:r>
    </w:p>
    <w:p w14:paraId="07D583C4" w14:textId="77777777" w:rsidR="001464AA" w:rsidRDefault="00000000">
      <w:pPr>
        <w:spacing w:before="80" w:after="100"/>
      </w:pPr>
      <w:r>
        <w:t>Before any model can be trained, we need clean, structured biomedical data. In this phase we identify, download, and clean data from 7 free public biomedical databases. A fully automated pipeline is built so that whenever a database releases a new version, our system picks up the update without manual work.</w:t>
      </w:r>
    </w:p>
    <w:p w14:paraId="252CA52F" w14:textId="77777777" w:rsidR="001464AA" w:rsidRDefault="001464AA">
      <w:pPr>
        <w:spacing w:before="60" w:after="60"/>
      </w:pPr>
    </w:p>
    <w:p w14:paraId="3CC9D1A5" w14:textId="77777777" w:rsidR="001464AA" w:rsidRDefault="00000000">
      <w:pPr>
        <w:pStyle w:val="Heading2"/>
      </w:pPr>
      <w:r>
        <w:t>The 7 Data Sources We Use</w:t>
      </w:r>
    </w:p>
    <w:p w14:paraId="257C6B0E" w14:textId="77777777" w:rsidR="001464AA" w:rsidRDefault="00000000">
      <w:pPr>
        <w:pStyle w:val="ListParagraph"/>
        <w:numPr>
          <w:ilvl w:val="0"/>
          <w:numId w:val="2"/>
        </w:numPr>
        <w:spacing w:before="60" w:after="60"/>
      </w:pPr>
      <w:r>
        <w:rPr>
          <w:b/>
          <w:bCs/>
          <w:color w:val="1B3A6B"/>
        </w:rPr>
        <w:t xml:space="preserve">ChEMBL </w:t>
      </w:r>
      <w:r>
        <w:t>— 2M+ chemical compounds with biological activity data. This is the backbone of drug-protein interaction information.</w:t>
      </w:r>
    </w:p>
    <w:p w14:paraId="3123AFD5" w14:textId="77777777" w:rsidR="001464AA" w:rsidRDefault="00000000">
      <w:pPr>
        <w:pStyle w:val="ListParagraph"/>
        <w:numPr>
          <w:ilvl w:val="0"/>
          <w:numId w:val="2"/>
        </w:numPr>
        <w:spacing w:before="60" w:after="60"/>
      </w:pPr>
      <w:r>
        <w:rPr>
          <w:b/>
          <w:bCs/>
          <w:color w:val="1B3A6B"/>
        </w:rPr>
        <w:t xml:space="preserve">DrugBank </w:t>
      </w:r>
      <w:r>
        <w:t>— Detailed profiles of all FDA-approved drugs, their mechanisms, targets, and known indications.</w:t>
      </w:r>
    </w:p>
    <w:p w14:paraId="411D5D9D" w14:textId="77777777" w:rsidR="001464AA" w:rsidRDefault="00000000">
      <w:pPr>
        <w:pStyle w:val="ListParagraph"/>
        <w:numPr>
          <w:ilvl w:val="0"/>
          <w:numId w:val="2"/>
        </w:numPr>
        <w:spacing w:before="60" w:after="60"/>
      </w:pPr>
      <w:r>
        <w:rPr>
          <w:b/>
          <w:bCs/>
          <w:color w:val="1B3A6B"/>
        </w:rPr>
        <w:t xml:space="preserve">UniProt </w:t>
      </w:r>
      <w:r>
        <w:t>— The definitive database of protein sequences and functions. Tells us what each drug target actually does in the body.</w:t>
      </w:r>
    </w:p>
    <w:p w14:paraId="1E9D24B5" w14:textId="77777777" w:rsidR="001464AA" w:rsidRDefault="00000000">
      <w:pPr>
        <w:pStyle w:val="ListParagraph"/>
        <w:numPr>
          <w:ilvl w:val="0"/>
          <w:numId w:val="2"/>
        </w:numPr>
        <w:spacing w:before="60" w:after="60"/>
      </w:pPr>
      <w:r>
        <w:rPr>
          <w:b/>
          <w:bCs/>
          <w:color w:val="1B3A6B"/>
        </w:rPr>
        <w:t xml:space="preserve">STRING </w:t>
      </w:r>
      <w:r>
        <w:t>— Maps protein-protein interaction networks, showing which proteins work together in the same pathways.</w:t>
      </w:r>
    </w:p>
    <w:p w14:paraId="0D95F0F9" w14:textId="77777777" w:rsidR="001464AA" w:rsidRDefault="00000000">
      <w:pPr>
        <w:pStyle w:val="ListParagraph"/>
        <w:numPr>
          <w:ilvl w:val="0"/>
          <w:numId w:val="2"/>
        </w:numPr>
        <w:spacing w:before="60" w:after="60"/>
      </w:pPr>
      <w:r>
        <w:rPr>
          <w:b/>
          <w:bCs/>
          <w:color w:val="1B3A6B"/>
        </w:rPr>
        <w:t xml:space="preserve">DisGeNET </w:t>
      </w:r>
      <w:r>
        <w:t>— Curated gene-disease associations derived from thousands of published clinical studies.</w:t>
      </w:r>
    </w:p>
    <w:p w14:paraId="4C4A434B" w14:textId="77777777" w:rsidR="001464AA" w:rsidRDefault="00000000">
      <w:pPr>
        <w:pStyle w:val="ListParagraph"/>
        <w:numPr>
          <w:ilvl w:val="0"/>
          <w:numId w:val="2"/>
        </w:numPr>
        <w:spacing w:before="60" w:after="60"/>
      </w:pPr>
      <w:r>
        <w:rPr>
          <w:b/>
          <w:bCs/>
          <w:color w:val="1B3A6B"/>
        </w:rPr>
        <w:t xml:space="preserve">OMIM </w:t>
      </w:r>
      <w:r>
        <w:t>— Online Mendelian Inheritance in Man — genetic basis of diseases, critical for rare disease use cases.</w:t>
      </w:r>
    </w:p>
    <w:p w14:paraId="58046EFC" w14:textId="77777777" w:rsidR="001464AA" w:rsidRDefault="00000000">
      <w:pPr>
        <w:pStyle w:val="ListParagraph"/>
        <w:numPr>
          <w:ilvl w:val="0"/>
          <w:numId w:val="2"/>
        </w:numPr>
        <w:spacing w:before="60" w:after="60"/>
      </w:pPr>
      <w:r>
        <w:rPr>
          <w:b/>
          <w:bCs/>
          <w:color w:val="1B3A6B"/>
        </w:rPr>
        <w:t xml:space="preserve">PubChem </w:t>
      </w:r>
      <w:r>
        <w:t>— Structural and property data for chemical compounds; used for molecular fingerprinting.</w:t>
      </w:r>
    </w:p>
    <w:p w14:paraId="3D22921D" w14:textId="77777777" w:rsidR="001464AA" w:rsidRDefault="001464AA">
      <w:pPr>
        <w:spacing w:before="60" w:after="60"/>
      </w:pPr>
    </w:p>
    <w:p w14:paraId="724C30D5" w14:textId="77777777" w:rsidR="001464AA" w:rsidRDefault="00000000">
      <w:pPr>
        <w:pStyle w:val="Heading2"/>
      </w:pPr>
      <w:r>
        <w:t>Why These Sources</w:t>
      </w:r>
    </w:p>
    <w:p w14:paraId="6FFA5476" w14:textId="77777777" w:rsidR="001464AA" w:rsidRDefault="00000000">
      <w:pPr>
        <w:spacing w:before="80" w:after="100"/>
      </w:pPr>
      <w:r>
        <w:t>All 7 are maintained by governments, universities, or global consortia, making them perpetually free and scientifically trusted. They are also the same sources used by the world’s top pharmaceutical research institutions, so our training data is already validated by the broader scientific community.</w:t>
      </w:r>
    </w:p>
    <w:p w14:paraId="71872116" w14:textId="77777777" w:rsidR="001464AA" w:rsidRDefault="001464AA">
      <w:pPr>
        <w:spacing w:before="60" w:after="60"/>
      </w:pPr>
    </w:p>
    <w:p w14:paraId="680D2A52" w14:textId="77777777" w:rsidR="001464AA" w:rsidRDefault="00000000">
      <w:pPr>
        <w:pStyle w:val="Heading2"/>
      </w:pPr>
      <w:r>
        <w:t>How the Pipeline Works</w:t>
      </w:r>
    </w:p>
    <w:p w14:paraId="5C1D8A31" w14:textId="77777777" w:rsidR="001464AA" w:rsidRDefault="00000000">
      <w:pPr>
        <w:pStyle w:val="ListParagraph"/>
        <w:numPr>
          <w:ilvl w:val="0"/>
          <w:numId w:val="3"/>
        </w:numPr>
        <w:spacing w:before="80" w:after="80"/>
      </w:pPr>
      <w:r>
        <w:rPr>
          <w:b/>
          <w:bCs/>
          <w:color w:val="1B3A6B"/>
        </w:rPr>
        <w:lastRenderedPageBreak/>
        <w:t xml:space="preserve">Download </w:t>
      </w:r>
      <w:r>
        <w:t>raw data from all 7 databases on a scheduled basis using Apache Airflow (an industry-standard pipeline orchestration tool).</w:t>
      </w:r>
    </w:p>
    <w:p w14:paraId="744B640C" w14:textId="77777777" w:rsidR="001464AA" w:rsidRDefault="00000000">
      <w:pPr>
        <w:pStyle w:val="ListParagraph"/>
        <w:numPr>
          <w:ilvl w:val="0"/>
          <w:numId w:val="3"/>
        </w:numPr>
        <w:spacing w:before="80" w:after="80"/>
      </w:pPr>
      <w:r>
        <w:rPr>
          <w:b/>
          <w:bCs/>
          <w:color w:val="1B3A6B"/>
        </w:rPr>
        <w:t xml:space="preserve">Clean &amp; Normalize </w:t>
      </w:r>
      <w:r>
        <w:t>each dataset — standardize drug identifiers, remove duplicates, handle missing values, and convert all compound IDs to a common format (InChIKey).</w:t>
      </w:r>
    </w:p>
    <w:p w14:paraId="0B4A0FEE" w14:textId="77777777" w:rsidR="001464AA" w:rsidRDefault="00000000">
      <w:pPr>
        <w:pStyle w:val="ListParagraph"/>
        <w:numPr>
          <w:ilvl w:val="0"/>
          <w:numId w:val="3"/>
        </w:numPr>
        <w:spacing w:before="80" w:after="80"/>
      </w:pPr>
      <w:r>
        <w:rPr>
          <w:b/>
          <w:bCs/>
          <w:color w:val="1B3A6B"/>
        </w:rPr>
        <w:t xml:space="preserve">Entity Resolution </w:t>
      </w:r>
      <w:r>
        <w:t>— match the same drug or protein when it appears under different names across databases (e.g., “Aspirin” in DrugBank = “acetylsalicylic acid” in ChEMBL).</w:t>
      </w:r>
    </w:p>
    <w:p w14:paraId="3351E2C5" w14:textId="77777777" w:rsidR="001464AA" w:rsidRDefault="00000000">
      <w:pPr>
        <w:pStyle w:val="ListParagraph"/>
        <w:numPr>
          <w:ilvl w:val="0"/>
          <w:numId w:val="3"/>
        </w:numPr>
        <w:spacing w:before="80" w:after="80"/>
      </w:pPr>
      <w:r>
        <w:rPr>
          <w:b/>
          <w:bCs/>
          <w:color w:val="1B3A6B"/>
        </w:rPr>
        <w:t xml:space="preserve">Load </w:t>
      </w:r>
      <w:r>
        <w:t>the cleaned, unified data into a staging database, ready for the knowledge graph construction in Phase 2.</w:t>
      </w:r>
    </w:p>
    <w:p w14:paraId="67757A14" w14:textId="77777777" w:rsidR="001464AA" w:rsidRDefault="001464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4AA" w14:paraId="48C4608C" w14:textId="77777777">
        <w:tblPrEx>
          <w:tblCellMar>
            <w:top w:w="0" w:type="dxa"/>
            <w:bottom w:w="0" w:type="dxa"/>
          </w:tblCellMar>
        </w:tblPrEx>
        <w:tc>
          <w:tcPr>
            <w:tcW w:w="9360" w:type="dxa"/>
            <w:tcBorders>
              <w:top w:val="single" w:sz="2" w:space="0" w:color="2E6DA4"/>
              <w:left w:val="single" w:sz="12" w:space="0" w:color="0F9D58"/>
              <w:bottom w:val="single" w:sz="2" w:space="0" w:color="2E6DA4"/>
              <w:right w:val="single" w:sz="2" w:space="0" w:color="2E6DA4"/>
            </w:tcBorders>
            <w:shd w:val="clear" w:color="auto" w:fill="EAF5FF"/>
            <w:tcMar>
              <w:top w:w="120" w:type="dxa"/>
              <w:left w:w="200" w:type="dxa"/>
              <w:bottom w:w="120" w:type="dxa"/>
              <w:right w:w="120" w:type="dxa"/>
            </w:tcMar>
          </w:tcPr>
          <w:p w14:paraId="20D93B4B" w14:textId="77777777" w:rsidR="001464AA" w:rsidRDefault="00000000">
            <w:r>
              <w:rPr>
                <w:i/>
                <w:iCs/>
                <w:color w:val="1A3A5C"/>
                <w:sz w:val="20"/>
                <w:szCs w:val="20"/>
              </w:rPr>
              <w:t>Key reason for Airflow: If any one source updates (say ChEMBL releases new drug-protein activity data), the pipeline re-runs automatically — keeping our knowledge graph fresh without any manual developer intervention.</w:t>
            </w:r>
          </w:p>
        </w:tc>
      </w:tr>
    </w:tbl>
    <w:p w14:paraId="30B8AC75" w14:textId="77777777" w:rsidR="001464AA" w:rsidRDefault="001464AA">
      <w:pPr>
        <w:spacing w:before="60" w:after="60"/>
      </w:pPr>
    </w:p>
    <w:p w14:paraId="11B2C3D4" w14:textId="77777777" w:rsidR="001464AA" w:rsidRDefault="00000000">
      <w:pPr>
        <w:pStyle w:val="Heading2"/>
      </w:pPr>
      <w:r>
        <w:t>Figma Mock UI Design</w:t>
      </w:r>
    </w:p>
    <w:p w14:paraId="11B2C3D5" w14:textId="77777777" w:rsidR="001464AA" w:rsidRDefault="00000000">
      <w:pPr>
        <w:spacing w:before="80" w:after="100"/>
      </w:pPr>
      <w:r>
        <w:t>Alongside the data pipeline work in Week 1, the team creates a full-fidelity mock UI in Figma. This prototype visualizes the complete researcher-facing dashboard before a single line of front-end code is written, enabling early feedback from stakeholders and de-risking the Phase 5 build.</w:t>
      </w:r>
    </w:p>
    <w:p w14:paraId="11B2C3D6" w14:textId="77777777" w:rsidR="001464AA" w:rsidRDefault="00000000">
      <w:pPr>
        <w:spacing w:before="80" w:after="100"/>
      </w:pPr>
      <w:r>
        <w:t>The Figma prototype covers four core screens:</w:t>
      </w:r>
    </w:p>
    <w:p w14:paraId="11B2C3D7" w14:textId="77777777" w:rsidR="001464AA" w:rsidRDefault="00000000">
      <w:pPr>
        <w:pStyle w:val="ListParagraph"/>
        <w:numPr>
          <w:ilvl w:val="0"/>
          <w:numId w:val="2"/>
        </w:numPr>
        <w:spacing w:before="60" w:after="60"/>
      </w:pPr>
      <w:r>
        <w:rPr>
          <w:b/>
          <w:bCs/>
          <w:color w:val="1B3A6B"/>
        </w:rPr>
        <w:t xml:space="preserve">Drug Search &amp; Results Screen </w:t>
      </w:r>
      <w:r>
        <w:t>— A search interface where a researcher types a drug name and sees a ranked list of disease repurposing candidates with their predicted scores and safety flags.</w:t>
      </w:r>
    </w:p>
    <w:p w14:paraId="11B2C3D8" w14:textId="77777777" w:rsidR="001464AA" w:rsidRDefault="00000000">
      <w:pPr>
        <w:pStyle w:val="ListParagraph"/>
        <w:numPr>
          <w:ilvl w:val="0"/>
          <w:numId w:val="2"/>
        </w:numPr>
        <w:spacing w:before="60" w:after="60"/>
      </w:pPr>
      <w:r>
        <w:rPr>
          <w:b/>
          <w:bCs/>
          <w:color w:val="1B3A6B"/>
        </w:rPr>
        <w:t xml:space="preserve">Knowledge Graph Explorer </w:t>
      </w:r>
      <w:r>
        <w:t>— An interactive node-link diagram showing the biological pathway chain connecting a selected drug to a target disease, making the AI’s reasoning transparent and auditable.</w:t>
      </w:r>
    </w:p>
    <w:p w14:paraId="11B2C3D9" w14:textId="77777777" w:rsidR="001464AA" w:rsidRDefault="00000000">
      <w:pPr>
        <w:pStyle w:val="ListParagraph"/>
        <w:numPr>
          <w:ilvl w:val="0"/>
          <w:numId w:val="2"/>
        </w:numPr>
        <w:spacing w:before="60" w:after="60"/>
      </w:pPr>
      <w:r>
        <w:rPr>
          <w:b/>
          <w:bCs/>
          <w:color w:val="1B3A6B"/>
        </w:rPr>
        <w:t xml:space="preserve">Hypothesis Detail View </w:t>
      </w:r>
      <w:r>
        <w:t>— A detailed card for each repurposing candidate showing the interaction score, confidence bounds, key pathways, and a one-click PDF export button for the full research package.</w:t>
      </w:r>
    </w:p>
    <w:p w14:paraId="11B2C3DA" w14:textId="77777777" w:rsidR="001464AA" w:rsidRDefault="00000000">
      <w:pPr>
        <w:pStyle w:val="ListParagraph"/>
        <w:numPr>
          <w:ilvl w:val="0"/>
          <w:numId w:val="2"/>
        </w:numPr>
        <w:spacing w:before="60" w:after="60"/>
      </w:pPr>
      <w:r>
        <w:rPr>
          <w:b/>
          <w:bCs/>
          <w:color w:val="1B3A6B"/>
        </w:rPr>
        <w:t xml:space="preserve">Disease Query View </w:t>
      </w:r>
      <w:r>
        <w:t>— A reverse lookup screen where a researcher inputs a disease and sees the best candidate drugs ranked by the RL agent, along with market opportunity context.</w:t>
      </w:r>
    </w:p>
    <w:p w14:paraId="11B2C3DB" w14:textId="77777777" w:rsidR="001464AA" w:rsidRDefault="00000000">
      <w:pPr>
        <w:spacing w:before="80" w:after="100"/>
      </w:pPr>
      <w:r>
        <w:rPr>
          <w:b/>
          <w:bCs/>
          <w:color w:val="1B3A6B"/>
        </w:rPr>
        <w:t xml:space="preserve">Why Figma First: </w:t>
      </w:r>
      <w:r>
        <w:t>Building the prototype in Week 1 allows the team to align on the user experience before committing to any implementation decisions. It also serves as a demo artifact for early pharma partner conversations — showing a credible product vision even while the data pipeline is still being built. All screens are designed with Figma’s component library and auto-layout so they can be handed off directly to the React developer in Phase 5 with minimal re-specification.</w:t>
      </w:r>
    </w:p>
    <w:p w14:paraId="11B2C3DC" w14:textId="77777777" w:rsidR="001464AA" w:rsidRDefault="001464AA">
      <w:pPr>
        <w:spacing w:before="60" w:after="60"/>
      </w:pPr>
    </w:p>
    <w:p w14:paraId="37BCD6ED" w14:textId="77777777" w:rsidR="001464AA" w:rsidRDefault="00000000">
      <w:pPr>
        <w:pStyle w:val="Heading1"/>
        <w:pBdr>
          <w:bottom w:val="single" w:sz="4" w:space="4" w:color="2E6DA4"/>
        </w:pBdr>
      </w:pPr>
      <w:r>
        <w:t>4. Phase 2 — Knowledge Graph Construction (Weeks 2–3)</w:t>
      </w:r>
    </w:p>
    <w:p w14:paraId="628E1471" w14:textId="77777777" w:rsidR="001464AA" w:rsidRDefault="00000000">
      <w:pPr>
        <w:pStyle w:val="Heading2"/>
      </w:pPr>
      <w:r>
        <w:t>What We Are Doing</w:t>
      </w:r>
    </w:p>
    <w:p w14:paraId="7FB324CA" w14:textId="77777777" w:rsidR="001464AA" w:rsidRDefault="00000000">
      <w:pPr>
        <w:spacing w:before="80" w:after="100"/>
      </w:pPr>
      <w:r>
        <w:t>A Knowledge Graph is a database that stores information as a network of connected entities rather than rows and columns. Instead of a table of “drugs” and a separate table of “diseases”, a knowledge graph stores: Drug A → targets → Protein B → involved in → Pathway C → disrupted in → Disease D.</w:t>
      </w:r>
    </w:p>
    <w:p w14:paraId="16974F3F" w14:textId="77777777" w:rsidR="001464AA" w:rsidRDefault="00000000">
      <w:pPr>
        <w:spacing w:before="80" w:after="100"/>
      </w:pPr>
      <w:r>
        <w:t>This structure lets the AI model see hidden multi-hop connections that flat databases completely miss. It is the foundation everything else runs on.</w:t>
      </w:r>
    </w:p>
    <w:p w14:paraId="45C7F316" w14:textId="77777777" w:rsidR="001464AA" w:rsidRDefault="001464AA">
      <w:pPr>
        <w:spacing w:before="60" w:after="60"/>
      </w:pPr>
    </w:p>
    <w:p w14:paraId="22C56C9C" w14:textId="77777777" w:rsidR="001464AA" w:rsidRDefault="00000000">
      <w:pPr>
        <w:pStyle w:val="Heading2"/>
      </w:pPr>
      <w:r>
        <w:t>Graph Structure</w:t>
      </w:r>
    </w:p>
    <w:p w14:paraId="0AE45971" w14:textId="77777777" w:rsidR="001464AA" w:rsidRDefault="00000000">
      <w:pPr>
        <w:spacing w:before="80" w:after="100"/>
      </w:pPr>
      <w:r>
        <w:t>The graph has five types of nodes (entities):</w:t>
      </w:r>
    </w:p>
    <w:p w14:paraId="75480370" w14:textId="77777777" w:rsidR="001464AA" w:rsidRDefault="00000000">
      <w:pPr>
        <w:pStyle w:val="ListParagraph"/>
        <w:numPr>
          <w:ilvl w:val="0"/>
          <w:numId w:val="2"/>
        </w:numPr>
        <w:spacing w:before="60" w:after="60"/>
      </w:pPr>
      <w:r>
        <w:rPr>
          <w:b/>
          <w:bCs/>
          <w:color w:val="1B3A6B"/>
        </w:rPr>
        <w:t xml:space="preserve">Drugs </w:t>
      </w:r>
      <w:r>
        <w:t>(10,000 FDA-approved compounds)</w:t>
      </w:r>
    </w:p>
    <w:p w14:paraId="66B8D326" w14:textId="77777777" w:rsidR="001464AA" w:rsidRDefault="00000000">
      <w:pPr>
        <w:pStyle w:val="ListParagraph"/>
        <w:numPr>
          <w:ilvl w:val="0"/>
          <w:numId w:val="2"/>
        </w:numPr>
        <w:spacing w:before="60" w:after="60"/>
      </w:pPr>
      <w:r>
        <w:rPr>
          <w:b/>
          <w:bCs/>
          <w:color w:val="1B3A6B"/>
        </w:rPr>
        <w:t xml:space="preserve">Proteins </w:t>
      </w:r>
      <w:r>
        <w:t>(targets that drugs bind to, sourced from UniProt and ChEMBL)</w:t>
      </w:r>
    </w:p>
    <w:p w14:paraId="5B89558F" w14:textId="77777777" w:rsidR="001464AA" w:rsidRDefault="00000000">
      <w:pPr>
        <w:pStyle w:val="ListParagraph"/>
        <w:numPr>
          <w:ilvl w:val="0"/>
          <w:numId w:val="2"/>
        </w:numPr>
        <w:spacing w:before="60" w:after="60"/>
      </w:pPr>
      <w:r>
        <w:rPr>
          <w:b/>
          <w:bCs/>
          <w:color w:val="1B3A6B"/>
        </w:rPr>
        <w:t xml:space="preserve">Biological Pathways </w:t>
      </w:r>
      <w:r>
        <w:t>(chains of molecular events, sourced from STRING)</w:t>
      </w:r>
    </w:p>
    <w:p w14:paraId="3EA43959" w14:textId="77777777" w:rsidR="001464AA" w:rsidRDefault="00000000">
      <w:pPr>
        <w:pStyle w:val="ListParagraph"/>
        <w:numPr>
          <w:ilvl w:val="0"/>
          <w:numId w:val="2"/>
        </w:numPr>
        <w:spacing w:before="60" w:after="60"/>
      </w:pPr>
      <w:r>
        <w:rPr>
          <w:b/>
          <w:bCs/>
          <w:color w:val="1B3A6B"/>
        </w:rPr>
        <w:t xml:space="preserve">Diseases </w:t>
      </w:r>
      <w:r>
        <w:t>(medical conditions, sourced from DisGeNET and OMIM)</w:t>
      </w:r>
    </w:p>
    <w:p w14:paraId="3D38E279" w14:textId="77777777" w:rsidR="001464AA" w:rsidRDefault="00000000">
      <w:pPr>
        <w:pStyle w:val="ListParagraph"/>
        <w:numPr>
          <w:ilvl w:val="0"/>
          <w:numId w:val="2"/>
        </w:numPr>
        <w:spacing w:before="60" w:after="60"/>
      </w:pPr>
      <w:r>
        <w:rPr>
          <w:b/>
          <w:bCs/>
          <w:color w:val="1B3A6B"/>
        </w:rPr>
        <w:t xml:space="preserve">Clinical Outcomes </w:t>
      </w:r>
      <w:r>
        <w:t>(measured effects like efficacy scores and adverse events)</w:t>
      </w:r>
    </w:p>
    <w:p w14:paraId="4A551F50" w14:textId="77777777" w:rsidR="001464AA" w:rsidRDefault="001464AA">
      <w:pPr>
        <w:spacing w:before="60" w:after="60"/>
      </w:pPr>
    </w:p>
    <w:p w14:paraId="3E9F145B" w14:textId="77777777" w:rsidR="001464AA" w:rsidRDefault="00000000">
      <w:pPr>
        <w:spacing w:before="80" w:after="100"/>
      </w:pPr>
      <w:r>
        <w:t>Edges (relationships) connect these nodes:</w:t>
      </w:r>
    </w:p>
    <w:p w14:paraId="77DCCE28" w14:textId="77777777" w:rsidR="001464AA" w:rsidRDefault="00000000">
      <w:pPr>
        <w:pStyle w:val="ListParagraph"/>
        <w:numPr>
          <w:ilvl w:val="0"/>
          <w:numId w:val="2"/>
        </w:numPr>
        <w:spacing w:before="60" w:after="60"/>
      </w:pPr>
      <w:r>
        <w:t>Drug → inhibits/activates → Protein</w:t>
      </w:r>
    </w:p>
    <w:p w14:paraId="6CDDD255" w14:textId="77777777" w:rsidR="001464AA" w:rsidRDefault="00000000">
      <w:pPr>
        <w:pStyle w:val="ListParagraph"/>
        <w:numPr>
          <w:ilvl w:val="0"/>
          <w:numId w:val="2"/>
        </w:numPr>
        <w:spacing w:before="60" w:after="60"/>
      </w:pPr>
      <w:r>
        <w:t>Protein → is part of → Pathway</w:t>
      </w:r>
    </w:p>
    <w:p w14:paraId="14DB062F" w14:textId="77777777" w:rsidR="001464AA" w:rsidRDefault="00000000">
      <w:pPr>
        <w:pStyle w:val="ListParagraph"/>
        <w:numPr>
          <w:ilvl w:val="0"/>
          <w:numId w:val="2"/>
        </w:numPr>
        <w:spacing w:before="60" w:after="60"/>
      </w:pPr>
      <w:r>
        <w:t>Pathway → is disrupted in → Disease</w:t>
      </w:r>
    </w:p>
    <w:p w14:paraId="318903EE" w14:textId="77777777" w:rsidR="001464AA" w:rsidRDefault="00000000">
      <w:pPr>
        <w:pStyle w:val="ListParagraph"/>
        <w:numPr>
          <w:ilvl w:val="0"/>
          <w:numId w:val="2"/>
        </w:numPr>
        <w:spacing w:before="60" w:after="60"/>
      </w:pPr>
      <w:r>
        <w:t>Drug → treats/is tested for → Disease</w:t>
      </w:r>
    </w:p>
    <w:p w14:paraId="7068868B" w14:textId="77777777" w:rsidR="001464AA" w:rsidRDefault="00000000">
      <w:pPr>
        <w:pStyle w:val="ListParagraph"/>
        <w:numPr>
          <w:ilvl w:val="0"/>
          <w:numId w:val="2"/>
        </w:numPr>
        <w:spacing w:before="60" w:after="60"/>
      </w:pPr>
      <w:r>
        <w:t>Drug → causes → Adverse Event</w:t>
      </w:r>
    </w:p>
    <w:p w14:paraId="74FE6E77" w14:textId="77777777" w:rsidR="001464AA" w:rsidRDefault="001464AA">
      <w:pPr>
        <w:spacing w:before="60" w:after="60"/>
      </w:pPr>
    </w:p>
    <w:p w14:paraId="5FE0C1B1" w14:textId="77777777" w:rsidR="001464AA" w:rsidRDefault="00000000">
      <w:pPr>
        <w:pStyle w:val="Heading2"/>
      </w:pPr>
      <w:r>
        <w:lastRenderedPageBreak/>
        <w:t>Why Neo4j</w:t>
      </w:r>
    </w:p>
    <w:p w14:paraId="4C7383E2" w14:textId="77777777" w:rsidR="001464AA" w:rsidRDefault="00000000">
      <w:pPr>
        <w:spacing w:before="80" w:after="100"/>
      </w:pPr>
      <w:r>
        <w:t>We store the knowledge graph in Neo4j, the industry-leading graph database. Neo4j is chosen because its native graph engine is orders of magnitude faster than a relational database (like MySQL) for querying multi-hop paths. When the model asks “which diseases share proteins with Drug X?”, Neo4j traverses millions of relationships in milliseconds. It also has a clean query language (Cypher) that makes it easy to inspect and debug the graph.</w:t>
      </w:r>
    </w:p>
    <w:p w14:paraId="0697541D" w14:textId="77777777" w:rsidR="001464AA" w:rsidRDefault="001464AA">
      <w:pPr>
        <w:spacing w:before="60" w:after="60"/>
      </w:pPr>
    </w:p>
    <w:p w14:paraId="76829C4C" w14:textId="77777777" w:rsidR="001464AA" w:rsidRDefault="00000000">
      <w:pPr>
        <w:pStyle w:val="Heading2"/>
      </w:pPr>
      <w:r>
        <w:t>Why This Structure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4AA" w14:paraId="6D02AC72" w14:textId="77777777">
        <w:tblPrEx>
          <w:tblCellMar>
            <w:top w:w="0" w:type="dxa"/>
            <w:bottom w:w="0" w:type="dxa"/>
          </w:tblCellMar>
        </w:tblPrEx>
        <w:tc>
          <w:tcPr>
            <w:tcW w:w="9360" w:type="dxa"/>
            <w:tcBorders>
              <w:top w:val="single" w:sz="2" w:space="0" w:color="2E6DA4"/>
              <w:left w:val="single" w:sz="12" w:space="0" w:color="0F9D58"/>
              <w:bottom w:val="single" w:sz="2" w:space="0" w:color="2E6DA4"/>
              <w:right w:val="single" w:sz="2" w:space="0" w:color="2E6DA4"/>
            </w:tcBorders>
            <w:shd w:val="clear" w:color="auto" w:fill="EAF5FF"/>
            <w:tcMar>
              <w:top w:w="120" w:type="dxa"/>
              <w:left w:w="200" w:type="dxa"/>
              <w:bottom w:w="120" w:type="dxa"/>
              <w:right w:w="120" w:type="dxa"/>
            </w:tcMar>
          </w:tcPr>
          <w:p w14:paraId="0BB2FF8E" w14:textId="77777777" w:rsidR="001464AA" w:rsidRDefault="00000000">
            <w:r>
              <w:rPr>
                <w:i/>
                <w:iCs/>
                <w:color w:val="1A3A5C"/>
                <w:sz w:val="20"/>
                <w:szCs w:val="20"/>
              </w:rPr>
              <w:t>Example: Metformin (a diabetes drug) may treat certain cancers. A flat database would never surface this. The knowledge graph shows: Metformin → inhibits → mTOR protein → upregulated in → Multiple Cancer Pathways. This multi-hop signal is invisible to traditional databases but trivially readable for a graph model.</w:t>
            </w:r>
          </w:p>
        </w:tc>
      </w:tr>
    </w:tbl>
    <w:p w14:paraId="1A9E84A8" w14:textId="77777777" w:rsidR="001464AA" w:rsidRDefault="001464AA">
      <w:pPr>
        <w:spacing w:before="60" w:after="60"/>
      </w:pPr>
    </w:p>
    <w:p w14:paraId="4E53E298" w14:textId="77777777" w:rsidR="001464AA" w:rsidRDefault="00000000">
      <w:pPr>
        <w:pStyle w:val="Heading1"/>
        <w:pBdr>
          <w:bottom w:val="single" w:sz="4" w:space="4" w:color="2E6DA4"/>
        </w:pBdr>
      </w:pPr>
      <w:r>
        <w:t>5. Phase 3 — Graph Transformer Model Training (Weeks 3–5)</w:t>
      </w:r>
    </w:p>
    <w:p w14:paraId="0328B897" w14:textId="77777777" w:rsidR="001464AA" w:rsidRDefault="00000000">
      <w:pPr>
        <w:pStyle w:val="Heading2"/>
      </w:pPr>
      <w:r>
        <w:t>What We Are Doing</w:t>
      </w:r>
    </w:p>
    <w:p w14:paraId="4C3E2463" w14:textId="77777777" w:rsidR="001464AA" w:rsidRDefault="00000000">
      <w:pPr>
        <w:spacing w:before="80" w:after="100"/>
      </w:pPr>
      <w:r>
        <w:t>This is the core AI engine. A Graph Transformer is a deep learning model that reads the knowledge graph and learns to predict whether a given drug-disease pair has a meaningful therapeutic relationship — even when no one has ever tested that combination in a lab.</w:t>
      </w:r>
    </w:p>
    <w:p w14:paraId="0706D844" w14:textId="77777777" w:rsidR="001464AA" w:rsidRDefault="001464AA">
      <w:pPr>
        <w:spacing w:before="60" w:after="60"/>
      </w:pPr>
    </w:p>
    <w:p w14:paraId="2CA35B35" w14:textId="77777777" w:rsidR="001464AA" w:rsidRDefault="00000000">
      <w:pPr>
        <w:pStyle w:val="Heading2"/>
      </w:pPr>
      <w:r>
        <w:t>How Graph Transformers Work (Non-Technical)</w:t>
      </w:r>
    </w:p>
    <w:p w14:paraId="11EEC411" w14:textId="77777777" w:rsidR="001464AA" w:rsidRDefault="00000000">
      <w:pPr>
        <w:pStyle w:val="ListParagraph"/>
        <w:numPr>
          <w:ilvl w:val="0"/>
          <w:numId w:val="3"/>
        </w:numPr>
        <w:spacing w:before="80" w:after="80"/>
      </w:pPr>
      <w:r>
        <w:rPr>
          <w:b/>
          <w:bCs/>
          <w:color w:val="1B3A6B"/>
        </w:rPr>
        <w:t xml:space="preserve">Node Embedding: </w:t>
      </w:r>
      <w:r>
        <w:t>Each drug, protein, and disease in the graph gets converted into a numerical vector (a list of numbers) that captures its ‘identity’ based on all its known connections.</w:t>
      </w:r>
    </w:p>
    <w:p w14:paraId="0FE4826A" w14:textId="77777777" w:rsidR="001464AA" w:rsidRDefault="00000000">
      <w:pPr>
        <w:pStyle w:val="ListParagraph"/>
        <w:numPr>
          <w:ilvl w:val="0"/>
          <w:numId w:val="3"/>
        </w:numPr>
        <w:spacing w:before="80" w:after="80"/>
      </w:pPr>
      <w:r>
        <w:rPr>
          <w:b/>
          <w:bCs/>
          <w:color w:val="1B3A6B"/>
        </w:rPr>
        <w:t xml:space="preserve">Message Passing: </w:t>
      </w:r>
      <w:r>
        <w:t>Each node shares information with its neighbors. A drug node “listens” to all the proteins it targets; those proteins “listened” to their pathways; those pathways “listened” to the diseases they’re linked to. After several rounds, every node’s representation encodes multi-hop context from the whole graph.</w:t>
      </w:r>
    </w:p>
    <w:p w14:paraId="4C6BE5DD" w14:textId="77777777" w:rsidR="001464AA" w:rsidRDefault="00000000">
      <w:pPr>
        <w:pStyle w:val="ListParagraph"/>
        <w:numPr>
          <w:ilvl w:val="0"/>
          <w:numId w:val="3"/>
        </w:numPr>
        <w:spacing w:before="80" w:after="80"/>
      </w:pPr>
      <w:r>
        <w:rPr>
          <w:b/>
          <w:bCs/>
          <w:color w:val="1B3A6B"/>
        </w:rPr>
        <w:t xml:space="preserve">Attention Mechanism: </w:t>
      </w:r>
      <w:r>
        <w:t>The Transformer part uses “attention” to weight which neighboring nodes matter most. Not all connections are equally important — the model learns which ones are biologically meaningful.</w:t>
      </w:r>
    </w:p>
    <w:p w14:paraId="625E2274" w14:textId="77777777" w:rsidR="001464AA" w:rsidRDefault="00000000">
      <w:pPr>
        <w:pStyle w:val="ListParagraph"/>
        <w:numPr>
          <w:ilvl w:val="0"/>
          <w:numId w:val="3"/>
        </w:numPr>
        <w:spacing w:before="80" w:after="80"/>
      </w:pPr>
      <w:r>
        <w:rPr>
          <w:b/>
          <w:bCs/>
          <w:color w:val="1B3A6B"/>
        </w:rPr>
        <w:t xml:space="preserve">Link Prediction: </w:t>
      </w:r>
      <w:r>
        <w:t>Given two nodes (e.g., Drug X and Disease Y), the model predicts a score from 0 to 1 representing the likelihood of a therapeutic relationship. High scores surface as repurposing candidates.</w:t>
      </w:r>
    </w:p>
    <w:p w14:paraId="505CADCE" w14:textId="77777777" w:rsidR="001464AA" w:rsidRDefault="001464AA">
      <w:pPr>
        <w:spacing w:before="60" w:after="60"/>
      </w:pPr>
    </w:p>
    <w:p w14:paraId="0E84A6BC" w14:textId="77777777" w:rsidR="001464AA" w:rsidRDefault="00000000">
      <w:pPr>
        <w:pStyle w:val="Heading2"/>
      </w:pPr>
      <w:r>
        <w:t>What We Train On</w:t>
      </w:r>
    </w:p>
    <w:p w14:paraId="11FD272F" w14:textId="77777777" w:rsidR="001464AA" w:rsidRDefault="00000000">
      <w:pPr>
        <w:pStyle w:val="ListParagraph"/>
        <w:numPr>
          <w:ilvl w:val="0"/>
          <w:numId w:val="2"/>
        </w:numPr>
        <w:spacing w:before="60" w:after="60"/>
      </w:pPr>
      <w:r>
        <w:rPr>
          <w:b/>
          <w:bCs/>
          <w:color w:val="1B3A6B"/>
        </w:rPr>
        <w:t xml:space="preserve">Positive examples: </w:t>
      </w:r>
      <w:r>
        <w:t>Known drug-disease pairs that are already approved (e.g., Aspirin for cardiovascular disease).</w:t>
      </w:r>
    </w:p>
    <w:p w14:paraId="37D4E1FC" w14:textId="77777777" w:rsidR="001464AA" w:rsidRDefault="00000000">
      <w:pPr>
        <w:pStyle w:val="ListParagraph"/>
        <w:numPr>
          <w:ilvl w:val="0"/>
          <w:numId w:val="2"/>
        </w:numPr>
        <w:spacing w:before="60" w:after="60"/>
      </w:pPr>
      <w:r>
        <w:rPr>
          <w:b/>
          <w:bCs/>
          <w:color w:val="1B3A6B"/>
        </w:rPr>
        <w:lastRenderedPageBreak/>
        <w:t xml:space="preserve">Negative examples: </w:t>
      </w:r>
      <w:r>
        <w:t>Drug-disease pairs with no known relationship, used to teach the model what a non-interaction looks like.</w:t>
      </w:r>
    </w:p>
    <w:p w14:paraId="7CEE44F4" w14:textId="77777777" w:rsidR="001464AA" w:rsidRDefault="00000000">
      <w:pPr>
        <w:pStyle w:val="ListParagraph"/>
        <w:numPr>
          <w:ilvl w:val="0"/>
          <w:numId w:val="2"/>
        </w:numPr>
        <w:spacing w:before="60" w:after="60"/>
      </w:pPr>
      <w:r>
        <w:rPr>
          <w:b/>
          <w:bCs/>
          <w:color w:val="1B3A6B"/>
        </w:rPr>
        <w:t xml:space="preserve">Self-supervised signals: </w:t>
      </w:r>
      <w:r>
        <w:t>Structural features of the graph itself (clustering, path distances) used to pre-train the model before fine-tuning on labeled pairs.</w:t>
      </w:r>
    </w:p>
    <w:p w14:paraId="5BD83E9F" w14:textId="77777777" w:rsidR="001464AA" w:rsidRDefault="001464AA">
      <w:pPr>
        <w:spacing w:before="60" w:after="60"/>
      </w:pPr>
    </w:p>
    <w:p w14:paraId="11E74EE1" w14:textId="77777777" w:rsidR="001464AA" w:rsidRDefault="00000000">
      <w:pPr>
        <w:pStyle w:val="Heading2"/>
      </w:pPr>
      <w:r>
        <w:t>Why PyTorch + PyTorch Geometric</w:t>
      </w:r>
    </w:p>
    <w:p w14:paraId="71C9BD8A" w14:textId="77777777" w:rsidR="001464AA" w:rsidRDefault="00000000">
      <w:pPr>
        <w:spacing w:before="80" w:after="100"/>
      </w:pPr>
      <w:r>
        <w:t>PyTorch is the world’s leading deep learning framework used by Meta, Google, and virtually every academic research group. PyTorch Geometric (PyG) extends it with built-in Graph Transformer and GNN layer implementations, saving months of engineering work. This stack also means we can run training on any GPU cloud platform (AWS, GCP, Azure) without vendor lock-in.</w:t>
      </w:r>
    </w:p>
    <w:p w14:paraId="637952FD" w14:textId="77777777" w:rsidR="001464AA" w:rsidRDefault="001464AA">
      <w:pPr>
        <w:spacing w:before="60" w:after="60"/>
      </w:pPr>
    </w:p>
    <w:p w14:paraId="4071977D" w14:textId="77777777" w:rsidR="001464AA" w:rsidRDefault="00000000">
      <w:pPr>
        <w:pStyle w:val="Heading2"/>
      </w:pPr>
      <w:r>
        <w:t>Model Outputs</w:t>
      </w:r>
    </w:p>
    <w:p w14:paraId="60CD7F9C" w14:textId="77777777" w:rsidR="001464AA" w:rsidRDefault="00000000">
      <w:pPr>
        <w:spacing w:before="80" w:after="100"/>
      </w:pPr>
      <w:r>
        <w:t>For every drug-disease pair in the database (millions of combinations), the model outputs:</w:t>
      </w:r>
    </w:p>
    <w:p w14:paraId="46A55E69" w14:textId="77777777" w:rsidR="001464AA" w:rsidRDefault="00000000">
      <w:pPr>
        <w:pStyle w:val="ListParagraph"/>
        <w:numPr>
          <w:ilvl w:val="0"/>
          <w:numId w:val="2"/>
        </w:numPr>
        <w:spacing w:before="60" w:after="60"/>
      </w:pPr>
      <w:r>
        <w:t>A numerical score (0–1) indicating repurposing likelihood</w:t>
      </w:r>
    </w:p>
    <w:p w14:paraId="5123BAB6" w14:textId="77777777" w:rsidR="001464AA" w:rsidRDefault="00000000">
      <w:pPr>
        <w:pStyle w:val="ListParagraph"/>
        <w:numPr>
          <w:ilvl w:val="0"/>
          <w:numId w:val="2"/>
        </w:numPr>
        <w:spacing w:before="60" w:after="60"/>
      </w:pPr>
      <w:r>
        <w:t>Confidence bounds based on how well-connected each entity is in the graph</w:t>
      </w:r>
    </w:p>
    <w:p w14:paraId="62BEA66A" w14:textId="77777777" w:rsidR="001464AA" w:rsidRDefault="00000000">
      <w:pPr>
        <w:pStyle w:val="ListParagraph"/>
        <w:numPr>
          <w:ilvl w:val="0"/>
          <w:numId w:val="2"/>
        </w:numPr>
        <w:spacing w:before="60" w:after="60"/>
      </w:pPr>
      <w:r>
        <w:t>The key biological pathways driving the prediction (for scientific explainability)</w:t>
      </w:r>
    </w:p>
    <w:p w14:paraId="47032998" w14:textId="77777777" w:rsidR="001464AA" w:rsidRDefault="001464AA">
      <w:pPr>
        <w:spacing w:before="60" w:after="60"/>
      </w:pPr>
    </w:p>
    <w:p w14:paraId="5F5F7413" w14:textId="77777777" w:rsidR="001464AA" w:rsidRDefault="00000000">
      <w:pPr>
        <w:pStyle w:val="Heading1"/>
        <w:pBdr>
          <w:bottom w:val="single" w:sz="4" w:space="4" w:color="2E6DA4"/>
        </w:pBdr>
      </w:pPr>
      <w:r>
        <w:t>6. Phase 4 — RL-Driven Hypothesis Ranking (Weeks 5–6)</w:t>
      </w:r>
    </w:p>
    <w:p w14:paraId="6BF4DE28" w14:textId="77777777" w:rsidR="001464AA" w:rsidRDefault="00000000">
      <w:pPr>
        <w:pStyle w:val="Heading2"/>
      </w:pPr>
      <w:r>
        <w:t>What We Are Doing</w:t>
      </w:r>
    </w:p>
    <w:p w14:paraId="2BFB9BE5" w14:textId="77777777" w:rsidR="001464AA" w:rsidRDefault="00000000">
      <w:pPr>
        <w:spacing w:before="80" w:after="100"/>
      </w:pPr>
      <w:r>
        <w:t>The Graph Transformer produces millions of scored predictions. But a pharmaceutical company does not want a list of a million candidates — they want the top 10 most commercially viable and scientifically credible leads. This is what the Reinforcement Learning (RL) agent does.</w:t>
      </w:r>
    </w:p>
    <w:p w14:paraId="6E98614D" w14:textId="77777777" w:rsidR="001464AA" w:rsidRDefault="001464AA">
      <w:pPr>
        <w:spacing w:before="60" w:after="60"/>
      </w:pPr>
    </w:p>
    <w:p w14:paraId="66D9C141" w14:textId="77777777" w:rsidR="001464AA" w:rsidRDefault="00000000">
      <w:pPr>
        <w:pStyle w:val="Heading2"/>
      </w:pPr>
      <w:r>
        <w:t>How the RL Agent Works</w:t>
      </w:r>
    </w:p>
    <w:p w14:paraId="4AD7C53C" w14:textId="77777777" w:rsidR="001464AA" w:rsidRDefault="00000000">
      <w:pPr>
        <w:spacing w:before="80" w:after="100"/>
      </w:pPr>
      <w:r>
        <w:t>Reinforcement learning trains an AI agent by rewarding it for good decisions and penalizing bad ones. Our RL agent learns to prioritize drug-disease hypotheses based on three dimensions simultaneously:</w:t>
      </w:r>
    </w:p>
    <w:p w14:paraId="52B67AD8" w14:textId="77777777" w:rsidR="001464AA" w:rsidRDefault="00000000">
      <w:pPr>
        <w:pStyle w:val="ListParagraph"/>
        <w:numPr>
          <w:ilvl w:val="0"/>
          <w:numId w:val="2"/>
        </w:numPr>
        <w:spacing w:before="60" w:after="60"/>
      </w:pPr>
      <w:r>
        <w:rPr>
          <w:b/>
          <w:bCs/>
          <w:color w:val="1B3A6B"/>
        </w:rPr>
        <w:t xml:space="preserve">Scientific Plausibility </w:t>
      </w:r>
      <w:r>
        <w:t>— How strong is the graph evidence? How well-validated are the connecting pathways? Does the prediction align with known biochemistry?</w:t>
      </w:r>
    </w:p>
    <w:p w14:paraId="3D938776" w14:textId="77777777" w:rsidR="001464AA" w:rsidRDefault="00000000">
      <w:pPr>
        <w:pStyle w:val="ListParagraph"/>
        <w:numPr>
          <w:ilvl w:val="0"/>
          <w:numId w:val="2"/>
        </w:numPr>
        <w:spacing w:before="60" w:after="60"/>
      </w:pPr>
      <w:r>
        <w:rPr>
          <w:b/>
          <w:bCs/>
          <w:color w:val="1B3A6B"/>
        </w:rPr>
        <w:t xml:space="preserve">Safety Signal </w:t>
      </w:r>
      <w:r>
        <w:t>— Does the drug have a clean safety record? Are there known severe adverse events that would make this repurposing clinically infeasible?</w:t>
      </w:r>
    </w:p>
    <w:p w14:paraId="5FC08F49" w14:textId="77777777" w:rsidR="001464AA" w:rsidRDefault="00000000">
      <w:pPr>
        <w:pStyle w:val="ListParagraph"/>
        <w:numPr>
          <w:ilvl w:val="0"/>
          <w:numId w:val="2"/>
        </w:numPr>
        <w:spacing w:before="60" w:after="60"/>
      </w:pPr>
      <w:r>
        <w:rPr>
          <w:b/>
          <w:bCs/>
          <w:color w:val="1B3A6B"/>
        </w:rPr>
        <w:t xml:space="preserve">Market Opportunity </w:t>
      </w:r>
      <w:r>
        <w:t>— Is the target disease under-served (rare disease, few existing treatments)? Is the drug still on-patent (higher licensing value) or off-patent (generic, harder to monetize)?</w:t>
      </w:r>
    </w:p>
    <w:p w14:paraId="7945C00E" w14:textId="77777777" w:rsidR="001464AA" w:rsidRDefault="001464AA">
      <w:pPr>
        <w:spacing w:before="60" w:after="60"/>
      </w:pPr>
    </w:p>
    <w:p w14:paraId="03E5BF71" w14:textId="77777777" w:rsidR="001464AA" w:rsidRDefault="00000000">
      <w:pPr>
        <w:pStyle w:val="Heading2"/>
      </w:pPr>
      <w:r>
        <w:t>Why Reinforcement Learning Instead of Simple Sorting</w:t>
      </w:r>
    </w:p>
    <w:p w14:paraId="1FEE0A53" w14:textId="77777777" w:rsidR="001464AA" w:rsidRDefault="00000000">
      <w:pPr>
        <w:spacing w:before="80" w:after="100"/>
      </w:pPr>
      <w:r>
        <w:lastRenderedPageBreak/>
        <w:t>A simple sort by model score would rank by plausibility alone. But a drug with a 0.92 plausibility score and terrible safety profile is worthless. Conversely, a drug with a 0.78 score targeting an orphan disease with zero existing treatments could be a $500M opportunity. The RL agent learns to balance all three factors together — in a way that no fixed formula can.</w:t>
      </w:r>
    </w:p>
    <w:p w14:paraId="0A0ED571" w14:textId="77777777" w:rsidR="001464AA" w:rsidRDefault="001464AA">
      <w:pPr>
        <w:spacing w:before="60" w:after="60"/>
      </w:pPr>
    </w:p>
    <w:p w14:paraId="761F07DF" w14:textId="77777777" w:rsidR="001464AA" w:rsidRDefault="00000000">
      <w:pPr>
        <w:pStyle w:val="Heading2"/>
      </w:pPr>
      <w:r>
        <w:t>Output of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4AA" w14:paraId="3A75FA87" w14:textId="77777777">
        <w:tblPrEx>
          <w:tblCellMar>
            <w:top w:w="0" w:type="dxa"/>
            <w:bottom w:w="0" w:type="dxa"/>
          </w:tblCellMar>
        </w:tblPrEx>
        <w:tc>
          <w:tcPr>
            <w:tcW w:w="9360" w:type="dxa"/>
            <w:tcBorders>
              <w:top w:val="single" w:sz="2" w:space="0" w:color="2E6DA4"/>
              <w:left w:val="single" w:sz="12" w:space="0" w:color="0F9D58"/>
              <w:bottom w:val="single" w:sz="2" w:space="0" w:color="2E6DA4"/>
              <w:right w:val="single" w:sz="2" w:space="0" w:color="2E6DA4"/>
            </w:tcBorders>
            <w:shd w:val="clear" w:color="auto" w:fill="EAF5FF"/>
            <w:tcMar>
              <w:top w:w="120" w:type="dxa"/>
              <w:left w:w="200" w:type="dxa"/>
              <w:bottom w:w="120" w:type="dxa"/>
              <w:right w:w="120" w:type="dxa"/>
            </w:tcMar>
          </w:tcPr>
          <w:p w14:paraId="1F7DDC37" w14:textId="77777777" w:rsidR="001464AA" w:rsidRDefault="00000000">
            <w:r>
              <w:rPr>
                <w:i/>
                <w:iCs/>
                <w:color w:val="1A3A5C"/>
                <w:sz w:val="20"/>
                <w:szCs w:val="20"/>
              </w:rPr>
              <w:t>A ranked list of the top drug-disease repurposing candidates, each with: predicted interaction score, safety flag, market context, and the biological pathway chain that explains the prediction. This is the core deliverable that pharmaceutical partners pay for.</w:t>
            </w:r>
          </w:p>
        </w:tc>
      </w:tr>
    </w:tbl>
    <w:p w14:paraId="5B18F0FF" w14:textId="77777777" w:rsidR="001464AA" w:rsidRDefault="001464AA">
      <w:pPr>
        <w:spacing w:before="60" w:after="60"/>
      </w:pPr>
    </w:p>
    <w:p w14:paraId="66E24C50" w14:textId="77777777" w:rsidR="001464AA" w:rsidRDefault="00000000">
      <w:pPr>
        <w:pStyle w:val="Heading1"/>
        <w:pBdr>
          <w:bottom w:val="single" w:sz="4" w:space="4" w:color="2E6DA4"/>
        </w:pBdr>
      </w:pPr>
      <w:r>
        <w:t>7. Phase 5 &amp; 6 — API, Dashboard, Testing &amp; V1 Launch (Week 7)</w:t>
      </w:r>
    </w:p>
    <w:p w14:paraId="12968590" w14:textId="77777777" w:rsidR="001464AA" w:rsidRDefault="00000000">
      <w:pPr>
        <w:pStyle w:val="Heading2"/>
      </w:pPr>
      <w:r>
        <w:t>What We Are Doing</w:t>
      </w:r>
    </w:p>
    <w:p w14:paraId="338E9964" w14:textId="77777777" w:rsidR="001464AA" w:rsidRDefault="00000000">
      <w:pPr>
        <w:spacing w:before="80" w:after="100"/>
      </w:pPr>
      <w:r>
        <w:t>The AI engine needs a front door. Phase 5 wraps the entire ML pipeline in a professional interface that two types of users can access: enterprise pharma clients via API integration, and individual researchers via a web dashboard. This phase is combined with Phase 6 into a single week, running testing and V1 launch in parallel with the final API and dashboard build.</w:t>
      </w:r>
    </w:p>
    <w:p w14:paraId="009F4E06" w14:textId="77777777" w:rsidR="001464AA" w:rsidRDefault="001464AA">
      <w:pPr>
        <w:spacing w:before="60" w:after="60"/>
      </w:pPr>
    </w:p>
    <w:p w14:paraId="7A80F499" w14:textId="77777777" w:rsidR="001464AA" w:rsidRDefault="00000000">
      <w:pPr>
        <w:pStyle w:val="Heading2"/>
      </w:pPr>
      <w:r>
        <w:t>The API (Application Programming Interface)</w:t>
      </w:r>
    </w:p>
    <w:p w14:paraId="4034892B" w14:textId="77777777" w:rsidR="001464AA" w:rsidRDefault="00000000">
      <w:pPr>
        <w:spacing w:before="80" w:after="100"/>
      </w:pPr>
      <w:r>
        <w:t>We build a REST API using FastAPI (Python). This allows pharmaceutical companies to programmatically query the platform from their own internal systems. A pharma company can send a request like “give me all disease repurposing candidates for Drug X with safety score above 0.8” and receive a structured JSON response within seconds.</w:t>
      </w:r>
    </w:p>
    <w:p w14:paraId="3A7F181A" w14:textId="77777777" w:rsidR="001464AA" w:rsidRDefault="00000000">
      <w:pPr>
        <w:pStyle w:val="ListParagraph"/>
        <w:numPr>
          <w:ilvl w:val="0"/>
          <w:numId w:val="2"/>
        </w:numPr>
        <w:spacing w:before="60" w:after="60"/>
      </w:pPr>
      <w:r>
        <w:rPr>
          <w:b/>
          <w:bCs/>
          <w:color w:val="1B3A6B"/>
        </w:rPr>
        <w:t xml:space="preserve">Endpoint 1: </w:t>
      </w:r>
      <w:r>
        <w:t>/query/drug — Input a drug name, get ranked disease candidates</w:t>
      </w:r>
    </w:p>
    <w:p w14:paraId="38CC8359" w14:textId="77777777" w:rsidR="001464AA" w:rsidRDefault="00000000">
      <w:pPr>
        <w:pStyle w:val="ListParagraph"/>
        <w:numPr>
          <w:ilvl w:val="0"/>
          <w:numId w:val="2"/>
        </w:numPr>
        <w:spacing w:before="60" w:after="60"/>
      </w:pPr>
      <w:r>
        <w:rPr>
          <w:b/>
          <w:bCs/>
          <w:color w:val="1B3A6B"/>
        </w:rPr>
        <w:t xml:space="preserve">Endpoint 2: </w:t>
      </w:r>
      <w:r>
        <w:t>/query/disease — Input a disease, get the best drug repositioning candidates</w:t>
      </w:r>
    </w:p>
    <w:p w14:paraId="18D7C85F" w14:textId="77777777" w:rsidR="001464AA" w:rsidRDefault="00000000">
      <w:pPr>
        <w:pStyle w:val="ListParagraph"/>
        <w:numPr>
          <w:ilvl w:val="0"/>
          <w:numId w:val="2"/>
        </w:numPr>
        <w:spacing w:before="60" w:after="60"/>
      </w:pPr>
      <w:r>
        <w:rPr>
          <w:b/>
          <w:bCs/>
          <w:color w:val="1B3A6B"/>
        </w:rPr>
        <w:t xml:space="preserve">Endpoint 3: </w:t>
      </w:r>
      <w:r>
        <w:t>/hypothesis/export — Download a full research package for a specific hypothesis</w:t>
      </w:r>
    </w:p>
    <w:p w14:paraId="292EB297" w14:textId="77777777" w:rsidR="001464AA" w:rsidRDefault="001464AA">
      <w:pPr>
        <w:spacing w:before="60" w:after="60"/>
      </w:pPr>
    </w:p>
    <w:p w14:paraId="7F8608AB" w14:textId="77777777" w:rsidR="001464AA" w:rsidRDefault="00000000">
      <w:pPr>
        <w:pStyle w:val="Heading2"/>
      </w:pPr>
      <w:r>
        <w:t>The Web Dashboard</w:t>
      </w:r>
    </w:p>
    <w:p w14:paraId="540782B4" w14:textId="77777777" w:rsidR="001464AA" w:rsidRDefault="00000000">
      <w:pPr>
        <w:spacing w:before="80" w:after="100"/>
      </w:pPr>
      <w:r>
        <w:t>For academic researchers and smaller biotech firms, we build an interactive web dashboard using React and D3.js. Researchers can visually explore the knowledge graph, see the pathway chains connecting a drug to a disease, and export full hypothesis reports in PDF format.</w:t>
      </w:r>
    </w:p>
    <w:p w14:paraId="3F2E1386" w14:textId="77777777" w:rsidR="001464AA" w:rsidRDefault="001464AA">
      <w:pPr>
        <w:spacing w:before="60" w:after="60"/>
      </w:pPr>
    </w:p>
    <w:p w14:paraId="65AFD73D" w14:textId="77777777" w:rsidR="001464AA" w:rsidRDefault="00000000">
      <w:pPr>
        <w:pStyle w:val="Heading2"/>
      </w:pPr>
      <w:r>
        <w:t>Why FastAPI</w:t>
      </w:r>
    </w:p>
    <w:p w14:paraId="25E13E04" w14:textId="77777777" w:rsidR="001464AA" w:rsidRDefault="00000000">
      <w:pPr>
        <w:spacing w:before="80" w:after="100"/>
      </w:pPr>
      <w:r>
        <w:t>FastAPI is the fastest Python API framework available, processes requests asynchronously, and auto-generates documentation. This means enterprise clients get technical documentation for free — a critical requirement for pharma IT procurement processes.</w:t>
      </w:r>
    </w:p>
    <w:p w14:paraId="4D14E6C9" w14:textId="77777777" w:rsidR="001464AA" w:rsidRDefault="001464AA">
      <w:pPr>
        <w:spacing w:before="60" w:after="60"/>
      </w:pPr>
    </w:p>
    <w:p w14:paraId="35E683DD" w14:textId="77777777" w:rsidR="001464AA" w:rsidRDefault="00000000">
      <w:pPr>
        <w:pStyle w:val="Heading1"/>
        <w:pBdr>
          <w:bottom w:val="single" w:sz="4" w:space="4" w:color="2E6DA4"/>
        </w:pBdr>
      </w:pPr>
      <w:r>
        <w:lastRenderedPageBreak/>
        <w:t>8. Phase 6 — Testing, Validation &amp; V1 Launch (Week 7)</w:t>
      </w:r>
    </w:p>
    <w:p w14:paraId="675D7CC4" w14:textId="77777777" w:rsidR="001464AA" w:rsidRDefault="00000000">
      <w:pPr>
        <w:pStyle w:val="Heading2"/>
      </w:pPr>
      <w:r>
        <w:t>What We Are Doing</w:t>
      </w:r>
    </w:p>
    <w:p w14:paraId="08884FFC" w14:textId="77777777" w:rsidR="001464AA" w:rsidRDefault="00000000">
      <w:pPr>
        <w:spacing w:before="80" w:after="100"/>
      </w:pPr>
      <w:r>
        <w:t>Before any external demo, the platform must pass scientific and technical validation. We do this in two layers.</w:t>
      </w:r>
    </w:p>
    <w:p w14:paraId="707135C9" w14:textId="77777777" w:rsidR="001464AA" w:rsidRDefault="001464AA">
      <w:pPr>
        <w:spacing w:before="60" w:after="60"/>
      </w:pPr>
    </w:p>
    <w:p w14:paraId="4229458C" w14:textId="77777777" w:rsidR="001464AA" w:rsidRDefault="00000000">
      <w:pPr>
        <w:pStyle w:val="Heading2"/>
      </w:pPr>
      <w:r>
        <w:t>Layer 1: Known-Positive Validation</w:t>
      </w:r>
    </w:p>
    <w:p w14:paraId="445DEA7E" w14:textId="77777777" w:rsidR="001464AA" w:rsidRDefault="00000000">
      <w:pPr>
        <w:spacing w:before="80" w:after="100"/>
      </w:pPr>
      <w:r>
        <w:t>We test the model on drug-disease pairs that we held out during training — combinations that are already known to work (like dexamethasone for inflammation). If the model correctly ranks these as high-probability candidates, it proves the system can recover real knowledge from the graph structure alone.</w:t>
      </w:r>
    </w:p>
    <w:p w14:paraId="61F9CD6C" w14:textId="77777777" w:rsidR="001464AA" w:rsidRDefault="001464AA">
      <w:pPr>
        <w:spacing w:before="60" w:after="60"/>
      </w:pPr>
    </w:p>
    <w:p w14:paraId="474A866B" w14:textId="77777777" w:rsidR="001464AA" w:rsidRDefault="00000000">
      <w:pPr>
        <w:pStyle w:val="Heading2"/>
      </w:pPr>
      <w:r>
        <w:t>Layer 2: Literature Cross-Check</w:t>
      </w:r>
    </w:p>
    <w:p w14:paraId="11139D14" w14:textId="77777777" w:rsidR="001464AA" w:rsidRDefault="00000000">
      <w:pPr>
        <w:spacing w:before="80" w:after="100"/>
      </w:pPr>
      <w:r>
        <w:t>We take the model’s top 50 novel predictions and run an automated PubMed literature search. For each prediction, we check whether any published academic papers have hinted at this connection — even if it’s never been formally tested. Predictions that are supported by at least one published paper are flagged as “literature-supported hypotheses”, giving pharma clients extra confidence.</w:t>
      </w:r>
    </w:p>
    <w:p w14:paraId="387DB273" w14:textId="77777777" w:rsidR="001464AA" w:rsidRDefault="001464AA">
      <w:pPr>
        <w:spacing w:before="60" w:after="60"/>
      </w:pPr>
    </w:p>
    <w:p w14:paraId="4933C9BB" w14:textId="77777777" w:rsidR="001464AA" w:rsidRDefault="00000000">
      <w:pPr>
        <w:pStyle w:val="Heading2"/>
      </w:pPr>
      <w:r>
        <w:t>V1 Launch Criteria</w:t>
      </w:r>
    </w:p>
    <w:p w14:paraId="62CEF09C" w14:textId="77777777" w:rsidR="001464AA" w:rsidRDefault="00000000">
      <w:pPr>
        <w:pStyle w:val="ListParagraph"/>
        <w:numPr>
          <w:ilvl w:val="0"/>
          <w:numId w:val="2"/>
        </w:numPr>
        <w:spacing w:before="60" w:after="60"/>
      </w:pPr>
      <w:r>
        <w:t>Knowledge graph fully built with all 7 data sources integrated</w:t>
      </w:r>
    </w:p>
    <w:p w14:paraId="37F17D2B" w14:textId="77777777" w:rsidR="001464AA" w:rsidRDefault="00000000">
      <w:pPr>
        <w:pStyle w:val="ListParagraph"/>
        <w:numPr>
          <w:ilvl w:val="0"/>
          <w:numId w:val="2"/>
        </w:numPr>
        <w:spacing w:before="60" w:after="60"/>
      </w:pPr>
      <w:r>
        <w:t>Graph Transformer achieves &gt;0.85 AUC on held-out drug-disease pairs</w:t>
      </w:r>
    </w:p>
    <w:p w14:paraId="465BB50F" w14:textId="77777777" w:rsidR="001464AA" w:rsidRDefault="00000000">
      <w:pPr>
        <w:pStyle w:val="ListParagraph"/>
        <w:numPr>
          <w:ilvl w:val="0"/>
          <w:numId w:val="2"/>
        </w:numPr>
        <w:spacing w:before="60" w:after="60"/>
      </w:pPr>
      <w:r>
        <w:t>RL agent produces consistent, non-random rankings across test scenarios</w:t>
      </w:r>
    </w:p>
    <w:p w14:paraId="473DE381" w14:textId="77777777" w:rsidR="001464AA" w:rsidRDefault="00000000">
      <w:pPr>
        <w:pStyle w:val="ListParagraph"/>
        <w:numPr>
          <w:ilvl w:val="0"/>
          <w:numId w:val="2"/>
        </w:numPr>
        <w:spacing w:before="60" w:after="60"/>
      </w:pPr>
      <w:r>
        <w:t>API handles 100 concurrent requests without timeout</w:t>
      </w:r>
    </w:p>
    <w:p w14:paraId="2C4DAAA6" w14:textId="77777777" w:rsidR="001464AA" w:rsidRDefault="00000000">
      <w:pPr>
        <w:pStyle w:val="ListParagraph"/>
        <w:numPr>
          <w:ilvl w:val="0"/>
          <w:numId w:val="2"/>
        </w:numPr>
        <w:spacing w:before="60" w:after="60"/>
      </w:pPr>
      <w:r>
        <w:t>Dashboard loads and renders graph visualizations in under 3 seconds</w:t>
      </w:r>
    </w:p>
    <w:p w14:paraId="3A987387" w14:textId="77777777" w:rsidR="001464AA" w:rsidRDefault="00000000">
      <w:pPr>
        <w:pStyle w:val="ListParagraph"/>
        <w:numPr>
          <w:ilvl w:val="0"/>
          <w:numId w:val="2"/>
        </w:numPr>
        <w:spacing w:before="60" w:after="60"/>
      </w:pPr>
      <w:r>
        <w:t>At least 5 top predictions are supported by published literature</w:t>
      </w:r>
    </w:p>
    <w:p w14:paraId="0594D7FD" w14:textId="77777777" w:rsidR="001464AA" w:rsidRDefault="001464AA">
      <w:pPr>
        <w:spacing w:before="60" w:after="60"/>
      </w:pPr>
    </w:p>
    <w:p w14:paraId="3A2EC580" w14:textId="77777777" w:rsidR="001464AA" w:rsidRDefault="00000000">
      <w:pPr>
        <w:pStyle w:val="Heading1"/>
        <w:pBdr>
          <w:bottom w:val="single" w:sz="4" w:space="4" w:color="2E6DA4"/>
        </w:pBdr>
      </w:pPr>
      <w:r>
        <w:t>9. Technology Stack &amp; Why We Chose Each Tool</w:t>
      </w:r>
    </w:p>
    <w:p w14:paraId="2F5B8902" w14:textId="77777777" w:rsidR="001464AA" w:rsidRDefault="00000000">
      <w:pPr>
        <w:spacing w:before="80" w:after="100"/>
      </w:pPr>
      <w:r>
        <w:t>Every technology choice is driven by three principles: scientific credibility (used by top research institutions), speed to V1 (mature tooling with large communities), and cost-efficiency (open source where possible).</w:t>
      </w:r>
    </w:p>
    <w:p w14:paraId="65A3CC78" w14:textId="77777777" w:rsidR="001464AA" w:rsidRDefault="001464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1464AA" w14:paraId="22D1D505" w14:textId="77777777">
        <w:tblPrEx>
          <w:tblCellMar>
            <w:top w:w="0" w:type="dxa"/>
            <w:bottom w:w="0" w:type="dxa"/>
          </w:tblCellMar>
        </w:tblPrEx>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80" w:type="dxa"/>
              <w:left w:w="120" w:type="dxa"/>
              <w:bottom w:w="80" w:type="dxa"/>
              <w:right w:w="120" w:type="dxa"/>
            </w:tcMar>
          </w:tcPr>
          <w:p w14:paraId="57E80104" w14:textId="77777777" w:rsidR="001464AA" w:rsidRDefault="00000000">
            <w:pPr>
              <w:jc w:val="center"/>
            </w:pPr>
            <w:r>
              <w:rPr>
                <w:b/>
                <w:bCs/>
                <w:color w:val="FFFFFF"/>
                <w:sz w:val="20"/>
                <w:szCs w:val="20"/>
              </w:rPr>
              <w:t>Component</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80" w:type="dxa"/>
              <w:left w:w="120" w:type="dxa"/>
              <w:bottom w:w="80" w:type="dxa"/>
              <w:right w:w="120" w:type="dxa"/>
            </w:tcMar>
          </w:tcPr>
          <w:p w14:paraId="7A7BE618" w14:textId="77777777" w:rsidR="001464AA" w:rsidRDefault="00000000">
            <w:pPr>
              <w:jc w:val="center"/>
            </w:pPr>
            <w:r>
              <w:rPr>
                <w:b/>
                <w:bCs/>
                <w:color w:val="FFFFFF"/>
                <w:sz w:val="20"/>
                <w:szCs w:val="20"/>
              </w:rPr>
              <w:t>Technology</w:t>
            </w:r>
          </w:p>
        </w:tc>
        <w:tc>
          <w:tcPr>
            <w:tcW w:w="4960" w:type="dxa"/>
            <w:tcBorders>
              <w:top w:val="single" w:sz="1" w:space="0" w:color="C8D8E8"/>
              <w:left w:val="single" w:sz="1" w:space="0" w:color="C8D8E8"/>
              <w:bottom w:val="single" w:sz="1" w:space="0" w:color="C8D8E8"/>
              <w:right w:val="single" w:sz="1" w:space="0" w:color="C8D8E8"/>
            </w:tcBorders>
            <w:shd w:val="clear" w:color="auto" w:fill="1B3A6B"/>
            <w:tcMar>
              <w:top w:w="80" w:type="dxa"/>
              <w:left w:w="120" w:type="dxa"/>
              <w:bottom w:w="80" w:type="dxa"/>
              <w:right w:w="120" w:type="dxa"/>
            </w:tcMar>
          </w:tcPr>
          <w:p w14:paraId="7E371948" w14:textId="77777777" w:rsidR="001464AA" w:rsidRDefault="00000000">
            <w:pPr>
              <w:jc w:val="center"/>
            </w:pPr>
            <w:r>
              <w:rPr>
                <w:b/>
                <w:bCs/>
                <w:color w:val="FFFFFF"/>
                <w:sz w:val="20"/>
                <w:szCs w:val="20"/>
              </w:rPr>
              <w:t>Why This Choice</w:t>
            </w:r>
          </w:p>
        </w:tc>
      </w:tr>
      <w:tr w:rsidR="001464AA" w14:paraId="28A1E417"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66E5F003" w14:textId="77777777" w:rsidR="001464AA" w:rsidRDefault="00000000">
            <w:r>
              <w:rPr>
                <w:b/>
                <w:bCs/>
                <w:color w:val="2E6DA4"/>
                <w:sz w:val="20"/>
                <w:szCs w:val="20"/>
              </w:rPr>
              <w:t>Knowledge Graph DB</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E35A312" w14:textId="77777777" w:rsidR="001464AA" w:rsidRDefault="00000000">
            <w:r>
              <w:rPr>
                <w:color w:val="000000"/>
                <w:sz w:val="20"/>
                <w:szCs w:val="20"/>
              </w:rPr>
              <w:t>Neo4j</w:t>
            </w:r>
          </w:p>
        </w:tc>
        <w:tc>
          <w:tcPr>
            <w:tcW w:w="4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ABDA64F" w14:textId="77777777" w:rsidR="001464AA" w:rsidRDefault="00000000">
            <w:r>
              <w:rPr>
                <w:color w:val="000000"/>
                <w:sz w:val="20"/>
                <w:szCs w:val="20"/>
              </w:rPr>
              <w:t>Native graph storage; Cypher query language perfect for biomedical entity relationships</w:t>
            </w:r>
          </w:p>
        </w:tc>
      </w:tr>
      <w:tr w:rsidR="001464AA" w14:paraId="5C75AA1B"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65B81374" w14:textId="77777777" w:rsidR="001464AA" w:rsidRDefault="00000000">
            <w:r>
              <w:rPr>
                <w:b/>
                <w:bCs/>
                <w:color w:val="2E6DA4"/>
                <w:sz w:val="20"/>
                <w:szCs w:val="20"/>
              </w:rPr>
              <w:t>ML Framework</w:t>
            </w:r>
          </w:p>
        </w:tc>
        <w:tc>
          <w:tcPr>
            <w:tcW w:w="240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61CF45D2" w14:textId="77777777" w:rsidR="001464AA" w:rsidRDefault="00000000">
            <w:r>
              <w:rPr>
                <w:color w:val="000000"/>
                <w:sz w:val="20"/>
                <w:szCs w:val="20"/>
              </w:rPr>
              <w:t>PyTorch + PyG</w:t>
            </w:r>
          </w:p>
        </w:tc>
        <w:tc>
          <w:tcPr>
            <w:tcW w:w="496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67B66CB8" w14:textId="77777777" w:rsidR="001464AA" w:rsidRDefault="00000000">
            <w:r>
              <w:rPr>
                <w:color w:val="000000"/>
                <w:sz w:val="20"/>
                <w:szCs w:val="20"/>
              </w:rPr>
              <w:t>PyTorch Geometric provides built-in Graph Transformer &amp; GNN layers</w:t>
            </w:r>
          </w:p>
        </w:tc>
      </w:tr>
      <w:tr w:rsidR="001464AA" w14:paraId="46916A94"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290BB0CA" w14:textId="77777777" w:rsidR="001464AA" w:rsidRDefault="00000000">
            <w:r>
              <w:rPr>
                <w:b/>
                <w:bCs/>
                <w:color w:val="2E6DA4"/>
                <w:sz w:val="20"/>
                <w:szCs w:val="20"/>
              </w:rPr>
              <w:lastRenderedPageBreak/>
              <w:t>RL Framework</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08A0D33" w14:textId="77777777" w:rsidR="001464AA" w:rsidRDefault="00000000">
            <w:r>
              <w:rPr>
                <w:color w:val="000000"/>
                <w:sz w:val="20"/>
                <w:szCs w:val="20"/>
              </w:rPr>
              <w:t>Stable-Baselines3</w:t>
            </w:r>
          </w:p>
        </w:tc>
        <w:tc>
          <w:tcPr>
            <w:tcW w:w="4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B2932E0" w14:textId="77777777" w:rsidR="001464AA" w:rsidRDefault="00000000">
            <w:r>
              <w:rPr>
                <w:color w:val="000000"/>
                <w:sz w:val="20"/>
                <w:szCs w:val="20"/>
              </w:rPr>
              <w:t>Proven, well-documented RL library with PPO support out of the box</w:t>
            </w:r>
          </w:p>
        </w:tc>
      </w:tr>
      <w:tr w:rsidR="001464AA" w14:paraId="7F1990A3"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53B29A3D" w14:textId="77777777" w:rsidR="001464AA" w:rsidRDefault="00000000">
            <w:r>
              <w:rPr>
                <w:b/>
                <w:bCs/>
                <w:color w:val="2E6DA4"/>
                <w:sz w:val="20"/>
                <w:szCs w:val="20"/>
              </w:rPr>
              <w:t>Data Sources</w:t>
            </w:r>
          </w:p>
        </w:tc>
        <w:tc>
          <w:tcPr>
            <w:tcW w:w="240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05D3F446" w14:textId="77777777" w:rsidR="001464AA" w:rsidRDefault="00000000">
            <w:r>
              <w:rPr>
                <w:color w:val="000000"/>
                <w:sz w:val="20"/>
                <w:szCs w:val="20"/>
              </w:rPr>
              <w:t>ChEMBL, DrugBank, UniProt, STRING, DisGeNET, OMIM, PubChem</w:t>
            </w:r>
          </w:p>
        </w:tc>
        <w:tc>
          <w:tcPr>
            <w:tcW w:w="496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2F4EDA4D" w14:textId="77777777" w:rsidR="001464AA" w:rsidRDefault="00000000">
            <w:r>
              <w:rPr>
                <w:color w:val="000000"/>
                <w:sz w:val="20"/>
                <w:szCs w:val="20"/>
              </w:rPr>
              <w:t>All 7 are free, publicly available, and regularly updated</w:t>
            </w:r>
          </w:p>
        </w:tc>
      </w:tr>
      <w:tr w:rsidR="001464AA" w14:paraId="766AAAF0"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12CEC729" w14:textId="77777777" w:rsidR="001464AA" w:rsidRDefault="00000000">
            <w:r>
              <w:rPr>
                <w:b/>
                <w:bCs/>
                <w:color w:val="2E6DA4"/>
                <w:sz w:val="20"/>
                <w:szCs w:val="20"/>
              </w:rPr>
              <w:t>Data Pipeline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21BB32CF" w14:textId="77777777" w:rsidR="001464AA" w:rsidRDefault="00000000">
            <w:r>
              <w:rPr>
                <w:color w:val="000000"/>
                <w:sz w:val="20"/>
                <w:szCs w:val="20"/>
              </w:rPr>
              <w:t>Apache Airflow + Python</w:t>
            </w:r>
          </w:p>
        </w:tc>
        <w:tc>
          <w:tcPr>
            <w:tcW w:w="4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2598EA8B" w14:textId="77777777" w:rsidR="001464AA" w:rsidRDefault="00000000">
            <w:r>
              <w:rPr>
                <w:color w:val="000000"/>
                <w:sz w:val="20"/>
                <w:szCs w:val="20"/>
              </w:rPr>
              <w:t>Orchestrates scheduled ETL jobs from all 7 data sources</w:t>
            </w:r>
          </w:p>
        </w:tc>
      </w:tr>
      <w:tr w:rsidR="001464AA" w14:paraId="7F73FFFD"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752CAE39" w14:textId="77777777" w:rsidR="001464AA" w:rsidRDefault="00000000">
            <w:r>
              <w:rPr>
                <w:b/>
                <w:bCs/>
                <w:color w:val="2E6DA4"/>
                <w:sz w:val="20"/>
                <w:szCs w:val="20"/>
              </w:rPr>
              <w:t>Cloud Compute</w:t>
            </w:r>
          </w:p>
        </w:tc>
        <w:tc>
          <w:tcPr>
            <w:tcW w:w="240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4E24B66B" w14:textId="77777777" w:rsidR="001464AA" w:rsidRDefault="00000000">
            <w:r>
              <w:rPr>
                <w:color w:val="000000"/>
                <w:sz w:val="20"/>
                <w:szCs w:val="20"/>
              </w:rPr>
              <w:t>AWS / GCP (GPU Clusters)</w:t>
            </w:r>
          </w:p>
        </w:tc>
        <w:tc>
          <w:tcPr>
            <w:tcW w:w="496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71770E7F" w14:textId="77777777" w:rsidR="001464AA" w:rsidRDefault="00000000">
            <w:r>
              <w:rPr>
                <w:color w:val="000000"/>
                <w:sz w:val="20"/>
                <w:szCs w:val="20"/>
              </w:rPr>
              <w:t>Scalable GPU access for graph transformer training (~$15K/mo)</w:t>
            </w:r>
          </w:p>
        </w:tc>
      </w:tr>
      <w:tr w:rsidR="001464AA" w14:paraId="7D206694"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203095CE" w14:textId="77777777" w:rsidR="001464AA" w:rsidRDefault="00000000">
            <w:r>
              <w:rPr>
                <w:b/>
                <w:bCs/>
                <w:color w:val="2E6DA4"/>
                <w:sz w:val="20"/>
                <w:szCs w:val="20"/>
              </w:rPr>
              <w:t>API Layer</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2EFD449" w14:textId="77777777" w:rsidR="001464AA" w:rsidRDefault="00000000">
            <w:r>
              <w:rPr>
                <w:color w:val="000000"/>
                <w:sz w:val="20"/>
                <w:szCs w:val="20"/>
              </w:rPr>
              <w:t>FastAPI (Python)</w:t>
            </w:r>
          </w:p>
        </w:tc>
        <w:tc>
          <w:tcPr>
            <w:tcW w:w="4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45AF9CD5" w14:textId="77777777" w:rsidR="001464AA" w:rsidRDefault="00000000">
            <w:r>
              <w:rPr>
                <w:color w:val="000000"/>
                <w:sz w:val="20"/>
                <w:szCs w:val="20"/>
              </w:rPr>
              <w:t>High-performance async REST API; easy to document with OpenAPI</w:t>
            </w:r>
          </w:p>
        </w:tc>
      </w:tr>
      <w:tr w:rsidR="001464AA" w14:paraId="0DF16750"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5F0C2C62" w14:textId="77777777" w:rsidR="001464AA" w:rsidRDefault="00000000">
            <w:r>
              <w:rPr>
                <w:b/>
                <w:bCs/>
                <w:color w:val="2E6DA4"/>
                <w:sz w:val="20"/>
                <w:szCs w:val="20"/>
              </w:rPr>
              <w:t>Dashboard</w:t>
            </w:r>
          </w:p>
        </w:tc>
        <w:tc>
          <w:tcPr>
            <w:tcW w:w="240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710F85BD" w14:textId="77777777" w:rsidR="001464AA" w:rsidRDefault="00000000">
            <w:r>
              <w:rPr>
                <w:color w:val="000000"/>
                <w:sz w:val="20"/>
                <w:szCs w:val="20"/>
              </w:rPr>
              <w:t>React + D3.js</w:t>
            </w:r>
          </w:p>
        </w:tc>
        <w:tc>
          <w:tcPr>
            <w:tcW w:w="496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7B8A9134" w14:textId="77777777" w:rsidR="001464AA" w:rsidRDefault="00000000">
            <w:r>
              <w:rPr>
                <w:color w:val="000000"/>
                <w:sz w:val="20"/>
                <w:szCs w:val="20"/>
              </w:rPr>
              <w:t>Interactive graph visualization and hypothesis explorer for researchers</w:t>
            </w:r>
          </w:p>
        </w:tc>
      </w:tr>
      <w:tr w:rsidR="001464AA" w14:paraId="2F58EB58"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01151F70" w14:textId="77777777" w:rsidR="001464AA" w:rsidRDefault="00000000">
            <w:r>
              <w:rPr>
                <w:b/>
                <w:bCs/>
                <w:color w:val="2E6DA4"/>
                <w:sz w:val="20"/>
                <w:szCs w:val="20"/>
              </w:rPr>
              <w:t>Storage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2263C815" w14:textId="77777777" w:rsidR="001464AA" w:rsidRDefault="00000000">
            <w:r>
              <w:rPr>
                <w:color w:val="000000"/>
                <w:sz w:val="20"/>
                <w:szCs w:val="20"/>
              </w:rPr>
              <w:t>PostgreSQL + S3</w:t>
            </w:r>
          </w:p>
        </w:tc>
        <w:tc>
          <w:tcPr>
            <w:tcW w:w="4960" w:type="dxa"/>
            <w:tcBorders>
              <w:top w:val="single" w:sz="1" w:space="0" w:color="C8D8E8"/>
              <w:left w:val="single" w:sz="1" w:space="0" w:color="C8D8E8"/>
              <w:bottom w:val="single" w:sz="1" w:space="0" w:color="C8D8E8"/>
              <w:right w:val="single" w:sz="1" w:space="0" w:color="C8D8E8"/>
            </w:tcBorders>
            <w:shd w:val="clear" w:color="auto" w:fill="FFFFFF"/>
            <w:tcMar>
              <w:top w:w="80" w:type="dxa"/>
              <w:left w:w="120" w:type="dxa"/>
              <w:bottom w:w="80" w:type="dxa"/>
              <w:right w:w="120" w:type="dxa"/>
            </w:tcMar>
          </w:tcPr>
          <w:p w14:paraId="68FF908A" w14:textId="77777777" w:rsidR="001464AA" w:rsidRDefault="00000000">
            <w:r>
              <w:rPr>
                <w:color w:val="000000"/>
                <w:sz w:val="20"/>
                <w:szCs w:val="20"/>
              </w:rPr>
              <w:t>Relational DB for structured metadata; S3 for model artifacts</w:t>
            </w:r>
          </w:p>
        </w:tc>
      </w:tr>
      <w:tr w:rsidR="001464AA" w14:paraId="4A252C4E"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01494BAA" w14:textId="77777777" w:rsidR="001464AA" w:rsidRDefault="00000000">
            <w:r>
              <w:rPr>
                <w:b/>
                <w:bCs/>
                <w:color w:val="2E6DA4"/>
                <w:sz w:val="20"/>
                <w:szCs w:val="20"/>
              </w:rPr>
              <w:t>Experiment Tracking</w:t>
            </w:r>
          </w:p>
        </w:tc>
        <w:tc>
          <w:tcPr>
            <w:tcW w:w="240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73E8712D" w14:textId="77777777" w:rsidR="001464AA" w:rsidRDefault="00000000">
            <w:r>
              <w:rPr>
                <w:color w:val="000000"/>
                <w:sz w:val="20"/>
                <w:szCs w:val="20"/>
              </w:rPr>
              <w:t>MLflow</w:t>
            </w:r>
          </w:p>
        </w:tc>
        <w:tc>
          <w:tcPr>
            <w:tcW w:w="4960" w:type="dxa"/>
            <w:tcBorders>
              <w:top w:val="single" w:sz="1" w:space="0" w:color="C8D8E8"/>
              <w:left w:val="single" w:sz="1" w:space="0" w:color="C8D8E8"/>
              <w:bottom w:val="single" w:sz="1" w:space="0" w:color="C8D8E8"/>
              <w:right w:val="single" w:sz="1" w:space="0" w:color="C8D8E8"/>
            </w:tcBorders>
            <w:shd w:val="clear" w:color="auto" w:fill="F8FBFF"/>
            <w:tcMar>
              <w:top w:w="80" w:type="dxa"/>
              <w:left w:w="120" w:type="dxa"/>
              <w:bottom w:w="80" w:type="dxa"/>
              <w:right w:w="120" w:type="dxa"/>
            </w:tcMar>
          </w:tcPr>
          <w:p w14:paraId="374AC2EF" w14:textId="77777777" w:rsidR="001464AA" w:rsidRDefault="00000000">
            <w:r>
              <w:rPr>
                <w:color w:val="000000"/>
                <w:sz w:val="20"/>
                <w:szCs w:val="20"/>
              </w:rPr>
              <w:t>Track model versions, hyperparameters, and prediction metrics</w:t>
            </w:r>
          </w:p>
        </w:tc>
      </w:tr>
    </w:tbl>
    <w:p w14:paraId="0F21923E" w14:textId="77777777" w:rsidR="001464AA" w:rsidRDefault="001464AA">
      <w:pPr>
        <w:spacing w:before="60" w:after="60"/>
      </w:pPr>
    </w:p>
    <w:p w14:paraId="15F40933" w14:textId="77777777" w:rsidR="001464AA" w:rsidRDefault="00000000">
      <w:pPr>
        <w:pStyle w:val="Heading1"/>
        <w:pBdr>
          <w:bottom w:val="single" w:sz="4" w:space="4" w:color="2E6DA4"/>
        </w:pBdr>
      </w:pPr>
      <w:r>
        <w:t>10. The Data Flywheel — How the Moat Gets Built</w:t>
      </w:r>
    </w:p>
    <w:p w14:paraId="4E11B79A" w14:textId="77777777" w:rsidR="001464AA" w:rsidRDefault="00000000">
      <w:pPr>
        <w:spacing w:before="80" w:after="100"/>
      </w:pPr>
      <w:r>
        <w:t>The most critical aspect of the build strategy is not just building V1 — it is building the self-reinforcing data flywheel that makes the platform defensible over time.</w:t>
      </w:r>
    </w:p>
    <w:p w14:paraId="18BD7321" w14:textId="77777777" w:rsidR="001464AA" w:rsidRDefault="001464AA">
      <w:pPr>
        <w:spacing w:before="60" w:after="60"/>
      </w:pPr>
    </w:p>
    <w:p w14:paraId="36F666D8" w14:textId="77777777" w:rsidR="001464AA" w:rsidRDefault="00000000">
      <w:pPr>
        <w:pStyle w:val="ListParagraph"/>
        <w:numPr>
          <w:ilvl w:val="0"/>
          <w:numId w:val="3"/>
        </w:numPr>
        <w:spacing w:before="80" w:after="80"/>
      </w:pPr>
      <w:r>
        <w:rPr>
          <w:b/>
          <w:bCs/>
          <w:color w:val="1B3A6B"/>
        </w:rPr>
        <w:t xml:space="preserve">V1 Platform launches </w:t>
      </w:r>
      <w:r>
        <w:t>with publicly available data. The model makes predictions.</w:t>
      </w:r>
    </w:p>
    <w:p w14:paraId="25D44C9B" w14:textId="77777777" w:rsidR="001464AA" w:rsidRDefault="00000000">
      <w:pPr>
        <w:pStyle w:val="ListParagraph"/>
        <w:numPr>
          <w:ilvl w:val="0"/>
          <w:numId w:val="3"/>
        </w:numPr>
        <w:spacing w:before="80" w:after="80"/>
      </w:pPr>
      <w:r>
        <w:rPr>
          <w:b/>
          <w:bCs/>
          <w:color w:val="1B3A6B"/>
        </w:rPr>
        <w:t xml:space="preserve">Pharma partners validate </w:t>
      </w:r>
      <w:r>
        <w:t>a hypothesis (in wet lab or clinical study). This validation result is fed back into the platform as a new labeled data point.</w:t>
      </w:r>
    </w:p>
    <w:p w14:paraId="5C8B8B82" w14:textId="77777777" w:rsidR="001464AA" w:rsidRDefault="00000000">
      <w:pPr>
        <w:pStyle w:val="ListParagraph"/>
        <w:numPr>
          <w:ilvl w:val="0"/>
          <w:numId w:val="3"/>
        </w:numPr>
        <w:spacing w:before="80" w:after="80"/>
      </w:pPr>
      <w:r>
        <w:rPr>
          <w:b/>
          <w:bCs/>
          <w:color w:val="1B3A6B"/>
        </w:rPr>
        <w:t xml:space="preserve">The model retrains </w:t>
      </w:r>
      <w:r>
        <w:t>on this new proprietary data. Its predictions become more accurate.</w:t>
      </w:r>
    </w:p>
    <w:p w14:paraId="7073D2B7" w14:textId="77777777" w:rsidR="001464AA" w:rsidRDefault="00000000">
      <w:pPr>
        <w:pStyle w:val="ListParagraph"/>
        <w:numPr>
          <w:ilvl w:val="0"/>
          <w:numId w:val="3"/>
        </w:numPr>
        <w:spacing w:before="80" w:after="80"/>
      </w:pPr>
      <w:r>
        <w:rPr>
          <w:b/>
          <w:bCs/>
          <w:color w:val="1B3A6B"/>
        </w:rPr>
        <w:t xml:space="preserve">More accurate predictions </w:t>
      </w:r>
      <w:r>
        <w:t>attract more pharma partners. More partners produce more validated data. Repeat.</w:t>
      </w:r>
    </w:p>
    <w:p w14:paraId="2667A42D" w14:textId="77777777" w:rsidR="001464AA" w:rsidRDefault="001464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4AA" w14:paraId="60C30448" w14:textId="77777777">
        <w:tblPrEx>
          <w:tblCellMar>
            <w:top w:w="0" w:type="dxa"/>
            <w:bottom w:w="0" w:type="dxa"/>
          </w:tblCellMar>
        </w:tblPrEx>
        <w:tc>
          <w:tcPr>
            <w:tcW w:w="9360" w:type="dxa"/>
            <w:tcBorders>
              <w:top w:val="single" w:sz="2" w:space="0" w:color="2E6DA4"/>
              <w:left w:val="single" w:sz="12" w:space="0" w:color="0F9D58"/>
              <w:bottom w:val="single" w:sz="2" w:space="0" w:color="2E6DA4"/>
              <w:right w:val="single" w:sz="2" w:space="0" w:color="2E6DA4"/>
            </w:tcBorders>
            <w:shd w:val="clear" w:color="auto" w:fill="EAF5FF"/>
            <w:tcMar>
              <w:top w:w="120" w:type="dxa"/>
              <w:left w:w="200" w:type="dxa"/>
              <w:bottom w:w="120" w:type="dxa"/>
              <w:right w:w="120" w:type="dxa"/>
            </w:tcMar>
          </w:tcPr>
          <w:p w14:paraId="71122930" w14:textId="77777777" w:rsidR="001464AA" w:rsidRDefault="00000000">
            <w:r>
              <w:rPr>
                <w:i/>
                <w:iCs/>
                <w:color w:val="1A3A5C"/>
                <w:sz w:val="20"/>
                <w:szCs w:val="20"/>
              </w:rPr>
              <w:t>Moat: This validated, proprietary training data CANNOT be replicated by a competitor starting fresh. A competitor building their platform two years later will be training on the same 7 free public databases we started with — while we will have hundreds of validated hypotheses from real pharma partnerships feeding our model.</w:t>
            </w:r>
          </w:p>
        </w:tc>
      </w:tr>
    </w:tbl>
    <w:p w14:paraId="34882316" w14:textId="77777777" w:rsidR="001464AA" w:rsidRDefault="001464AA">
      <w:pPr>
        <w:spacing w:before="60" w:after="60"/>
      </w:pPr>
    </w:p>
    <w:p w14:paraId="65B6D02B" w14:textId="77777777" w:rsidR="001464AA" w:rsidRDefault="00000000">
      <w:pPr>
        <w:pStyle w:val="Heading1"/>
        <w:pBdr>
          <w:bottom w:val="single" w:sz="4" w:space="4" w:color="2E6DA4"/>
        </w:pBdr>
      </w:pPr>
      <w:r>
        <w:t>11. Team Build Responsibilities</w:t>
      </w:r>
    </w:p>
    <w:p w14:paraId="315CDEE8" w14:textId="77777777" w:rsidR="001464AA" w:rsidRDefault="00000000">
      <w:pPr>
        <w:spacing w:before="80" w:after="100"/>
      </w:pPr>
      <w:r>
        <w:t>Each team member owns a specific component of the build:</w:t>
      </w:r>
    </w:p>
    <w:p w14:paraId="52E04997" w14:textId="77777777" w:rsidR="001464AA" w:rsidRDefault="001464AA">
      <w:pPr>
        <w:spacing w:before="60" w:after="60"/>
      </w:pPr>
    </w:p>
    <w:p w14:paraId="0174017F" w14:textId="77777777" w:rsidR="001464AA" w:rsidRDefault="00000000">
      <w:pPr>
        <w:pStyle w:val="ListParagraph"/>
        <w:numPr>
          <w:ilvl w:val="0"/>
          <w:numId w:val="2"/>
        </w:numPr>
        <w:spacing w:before="60" w:after="60"/>
      </w:pPr>
      <w:r>
        <w:rPr>
          <w:b/>
          <w:bCs/>
          <w:color w:val="1B3A6B"/>
        </w:rPr>
        <w:t xml:space="preserve">Manoj (Product &amp; Tech Lead) </w:t>
      </w:r>
      <w:r>
        <w:t>— Overall architecture, Graph Transformer model development, and API layer. Ensures all components integrate cleanly.</w:t>
      </w:r>
    </w:p>
    <w:p w14:paraId="5A6A1E3B" w14:textId="77777777" w:rsidR="001464AA" w:rsidRDefault="00000000">
      <w:pPr>
        <w:pStyle w:val="ListParagraph"/>
        <w:numPr>
          <w:ilvl w:val="0"/>
          <w:numId w:val="2"/>
        </w:numPr>
        <w:spacing w:before="60" w:after="60"/>
      </w:pPr>
      <w:r>
        <w:rPr>
          <w:b/>
          <w:bCs/>
          <w:color w:val="1B3A6B"/>
        </w:rPr>
        <w:t xml:space="preserve">Rohan (Data &amp; Research) </w:t>
      </w:r>
      <w:r>
        <w:t>— Data pipeline setup, all 7 source integrations, entity resolution, and knowledge graph construction in Neo4j.</w:t>
      </w:r>
    </w:p>
    <w:p w14:paraId="3416A703" w14:textId="77777777" w:rsidR="001464AA" w:rsidRDefault="00000000">
      <w:pPr>
        <w:pStyle w:val="ListParagraph"/>
        <w:numPr>
          <w:ilvl w:val="0"/>
          <w:numId w:val="2"/>
        </w:numPr>
        <w:spacing w:before="60" w:after="60"/>
      </w:pPr>
      <w:r>
        <w:rPr>
          <w:b/>
          <w:bCs/>
          <w:color w:val="1B3A6B"/>
        </w:rPr>
        <w:t xml:space="preserve">Meghna K (Market &amp; Strategy) </w:t>
      </w:r>
      <w:r>
        <w:t>— Defining the RL agent’s market opportunity scoring criteria, customer validation with pharma contacts, and V1 launch planning.</w:t>
      </w:r>
    </w:p>
    <w:p w14:paraId="6411DA68" w14:textId="77777777" w:rsidR="001464AA" w:rsidRDefault="00000000">
      <w:pPr>
        <w:pStyle w:val="ListParagraph"/>
        <w:numPr>
          <w:ilvl w:val="0"/>
          <w:numId w:val="2"/>
        </w:numPr>
        <w:spacing w:before="60" w:after="60"/>
      </w:pPr>
      <w:r>
        <w:rPr>
          <w:b/>
          <w:bCs/>
          <w:color w:val="1B3A6B"/>
        </w:rPr>
        <w:t xml:space="preserve">Aseem (Growth &amp; Partnerships) </w:t>
      </w:r>
      <w:r>
        <w:t>— Identifying pilot pharma partners for V1 demos, building the commercial hypothesis export package, and outreach.</w:t>
      </w:r>
    </w:p>
    <w:p w14:paraId="1BF4AA17" w14:textId="77777777" w:rsidR="001464AA" w:rsidRDefault="001464AA">
      <w:pPr>
        <w:spacing w:before="60" w:after="60"/>
      </w:pPr>
    </w:p>
    <w:p w14:paraId="142DF3D3" w14:textId="77777777" w:rsidR="001464AA" w:rsidRDefault="00000000">
      <w:pPr>
        <w:pStyle w:val="Heading1"/>
        <w:pBdr>
          <w:bottom w:val="single" w:sz="4" w:space="4" w:color="2E6DA4"/>
        </w:pBdr>
      </w:pPr>
      <w:r>
        <w:t>12. Key Build Risks &amp; Mitigations</w:t>
      </w:r>
    </w:p>
    <w:p w14:paraId="41EF935C" w14:textId="77777777" w:rsidR="001464AA" w:rsidRDefault="00000000">
      <w:pPr>
        <w:spacing w:before="80" w:after="100"/>
      </w:pPr>
      <w:r>
        <w:t>We have identified three build risks and have mitigation strategies in place:</w:t>
      </w:r>
    </w:p>
    <w:p w14:paraId="1EF5029F" w14:textId="77777777" w:rsidR="001464AA" w:rsidRDefault="001464AA">
      <w:pPr>
        <w:spacing w:before="60" w:after="60"/>
      </w:pPr>
    </w:p>
    <w:p w14:paraId="38724B34" w14:textId="77777777" w:rsidR="001464AA" w:rsidRDefault="00000000">
      <w:pPr>
        <w:spacing w:before="180" w:after="80"/>
      </w:pPr>
      <w:r>
        <w:rPr>
          <w:b/>
          <w:bCs/>
          <w:color w:val="1B3A6B"/>
        </w:rPr>
        <w:t>Risk 1: Data Quality Issues</w:t>
      </w:r>
    </w:p>
    <w:p w14:paraId="13BBE1A2" w14:textId="77777777" w:rsidR="001464AA" w:rsidRDefault="00000000">
      <w:pPr>
        <w:spacing w:before="80" w:after="100"/>
      </w:pPr>
      <w:r>
        <w:t>Public databases have inconsistencies (same protein named differently across sources). Mitigation: We build entity resolution in Phase 1 before any model training begins, and use InChIKey as the universal chemical identifier.</w:t>
      </w:r>
    </w:p>
    <w:p w14:paraId="29CBD23A" w14:textId="77777777" w:rsidR="001464AA" w:rsidRDefault="001464AA">
      <w:pPr>
        <w:spacing w:before="60" w:after="60"/>
      </w:pPr>
    </w:p>
    <w:p w14:paraId="0B4CD4C3" w14:textId="77777777" w:rsidR="001464AA" w:rsidRDefault="00000000">
      <w:pPr>
        <w:spacing w:before="180" w:after="80"/>
      </w:pPr>
      <w:r>
        <w:rPr>
          <w:b/>
          <w:bCs/>
          <w:color w:val="1B3A6B"/>
        </w:rPr>
        <w:t>Risk 2: Model Overfitting</w:t>
      </w:r>
    </w:p>
    <w:p w14:paraId="1D8B0094" w14:textId="77777777" w:rsidR="001464AA" w:rsidRDefault="00000000">
      <w:pPr>
        <w:spacing w:before="80" w:after="100"/>
      </w:pPr>
      <w:r>
        <w:t>The graph transformer might memorize training pairs rather than learn genuine patterns. Mitigation: We hold out 20% of known drug-disease pairs for validation, and use graph-level cross-validation splits that prevent data leakage.</w:t>
      </w:r>
    </w:p>
    <w:p w14:paraId="78A1E908" w14:textId="77777777" w:rsidR="001464AA" w:rsidRDefault="001464AA">
      <w:pPr>
        <w:spacing w:before="60" w:after="60"/>
      </w:pPr>
    </w:p>
    <w:p w14:paraId="7675CBBE" w14:textId="77777777" w:rsidR="001464AA" w:rsidRDefault="00000000">
      <w:pPr>
        <w:spacing w:before="180" w:after="80"/>
      </w:pPr>
      <w:r>
        <w:rPr>
          <w:b/>
          <w:bCs/>
          <w:color w:val="1B3A6B"/>
        </w:rPr>
        <w:t>Risk 3: Compute Cost Overrun</w:t>
      </w:r>
    </w:p>
    <w:p w14:paraId="20163156" w14:textId="77777777" w:rsidR="001464AA" w:rsidRDefault="00000000">
      <w:pPr>
        <w:spacing w:before="80" w:after="100"/>
      </w:pPr>
      <w:r>
        <w:t>Graph transformer training on large biomedical graphs can be expensive. Mitigation: We train on a subgraph first (top 1,000 drugs by interaction count), validate quality, then scale to the full 10,000. GPU instances are only provisioned during training windows.</w:t>
      </w:r>
    </w:p>
    <w:p w14:paraId="0E6F66B8" w14:textId="77777777" w:rsidR="001464AA" w:rsidRDefault="001464AA">
      <w:pPr>
        <w:spacing w:before="60" w:after="60"/>
      </w:pPr>
    </w:p>
    <w:p w14:paraId="62C45657" w14:textId="77777777" w:rsidR="001464AA" w:rsidRDefault="00000000">
      <w:pPr>
        <w:pStyle w:val="Heading1"/>
        <w:pBdr>
          <w:bottom w:val="single" w:sz="4" w:space="4" w:color="2E6DA4"/>
        </w:pBdr>
      </w:pPr>
      <w:r>
        <w:t>13. Conclusion</w:t>
      </w:r>
    </w:p>
    <w:p w14:paraId="21313BF9" w14:textId="77777777" w:rsidR="001464AA" w:rsidRDefault="00000000">
      <w:pPr>
        <w:spacing w:before="80" w:after="100"/>
      </w:pPr>
      <w:r>
        <w:t>The Autonomous Drug Repurposing Platform is built in six clearly defined phases over 7 weeks, using a proven technology stack of publicly available, scientifically trusted data sources and state-of-the-art ML frameworks. The build is deliberately structured so that each phase delivers a standalone, testable artifact — meaning the team can demo progress at every stage without waiting for the full platform to be complete.</w:t>
      </w:r>
    </w:p>
    <w:p w14:paraId="78D6764D" w14:textId="77777777" w:rsidR="001464AA" w:rsidRDefault="001464AA">
      <w:pPr>
        <w:spacing w:before="60" w:after="60"/>
      </w:pPr>
    </w:p>
    <w:p w14:paraId="568566AD" w14:textId="77777777" w:rsidR="001464AA" w:rsidRDefault="00000000">
      <w:pPr>
        <w:spacing w:before="80" w:after="100"/>
      </w:pPr>
      <w:r>
        <w:t>More importantly, the build architecture is designed not just for V1 — but to establish the proprietary data flywheel that makes the platform defensible for years. Every validated hypothesis becomes a competitive moat no late entrant can replicate.</w:t>
      </w:r>
    </w:p>
    <w:p w14:paraId="56C0DAAE" w14:textId="77777777" w:rsidR="001464AA" w:rsidRDefault="001464A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64AA" w14:paraId="65929250" w14:textId="77777777">
        <w:tblPrEx>
          <w:tblCellMar>
            <w:top w:w="0" w:type="dxa"/>
            <w:bottom w:w="0" w:type="dxa"/>
          </w:tblCellMar>
        </w:tblPrEx>
        <w:tc>
          <w:tcPr>
            <w:tcW w:w="9360" w:type="dxa"/>
            <w:tcBorders>
              <w:top w:val="single" w:sz="2" w:space="0" w:color="2E6DA4"/>
              <w:left w:val="single" w:sz="12" w:space="0" w:color="0F9D58"/>
              <w:bottom w:val="single" w:sz="2" w:space="0" w:color="2E6DA4"/>
              <w:right w:val="single" w:sz="2" w:space="0" w:color="2E6DA4"/>
            </w:tcBorders>
            <w:shd w:val="clear" w:color="auto" w:fill="EAF5FF"/>
            <w:tcMar>
              <w:top w:w="120" w:type="dxa"/>
              <w:left w:w="200" w:type="dxa"/>
              <w:bottom w:w="120" w:type="dxa"/>
              <w:right w:w="120" w:type="dxa"/>
            </w:tcMar>
          </w:tcPr>
          <w:p w14:paraId="3F922B43" w14:textId="77777777" w:rsidR="001464AA" w:rsidRDefault="00000000">
            <w:r>
              <w:rPr>
                <w:i/>
                <w:iCs/>
                <w:color w:val="1A3A5C"/>
                <w:sz w:val="20"/>
                <w:szCs w:val="20"/>
              </w:rPr>
              <w:t>One successful pharma partnership deal ($50–500M) fully funds 10 years of operations. The build strategy is optimized to reach that first deal as quickly and credibly as possible.</w:t>
            </w:r>
          </w:p>
        </w:tc>
      </w:tr>
    </w:tbl>
    <w:p w14:paraId="4303F342" w14:textId="77777777" w:rsidR="001464AA" w:rsidRDefault="001464AA">
      <w:pPr>
        <w:spacing w:before="60" w:after="60"/>
      </w:pPr>
    </w:p>
    <w:p w14:paraId="09980FE9" w14:textId="77777777" w:rsidR="001464AA" w:rsidRDefault="00000000">
      <w:pPr>
        <w:spacing w:before="480" w:after="80"/>
        <w:jc w:val="center"/>
      </w:pPr>
      <w:r>
        <w:rPr>
          <w:i/>
          <w:iCs/>
          <w:color w:val="888888"/>
        </w:rPr>
        <w:t>—  Team Cosmic  —</w:t>
      </w:r>
    </w:p>
    <w:p w14:paraId="29A70476" w14:textId="36ED6320" w:rsidR="001464AA" w:rsidRDefault="00000000">
      <w:pPr>
        <w:spacing w:after="80"/>
        <w:jc w:val="center"/>
      </w:pPr>
      <w:r>
        <w:rPr>
          <w:color w:val="AAAAAA"/>
          <w:sz w:val="20"/>
          <w:szCs w:val="20"/>
        </w:rPr>
        <w:t>Manoj  ·  Rohan   ·  Aseem</w:t>
      </w:r>
    </w:p>
    <w:sectPr w:rsidR="001464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50574"/>
    <w:multiLevelType w:val="hybridMultilevel"/>
    <w:tmpl w:val="B64C1BAE"/>
    <w:lvl w:ilvl="0" w:tplc="4C18B1BE">
      <w:start w:val="1"/>
      <w:numFmt w:val="bullet"/>
      <w:lvlText w:val="◦"/>
      <w:lvlJc w:val="left"/>
      <w:pPr>
        <w:ind w:left="1080" w:hanging="360"/>
      </w:pPr>
    </w:lvl>
    <w:lvl w:ilvl="1" w:tplc="5BAA1568">
      <w:numFmt w:val="decimal"/>
      <w:lvlText w:val=""/>
      <w:lvlJc w:val="left"/>
    </w:lvl>
    <w:lvl w:ilvl="2" w:tplc="874879F2">
      <w:numFmt w:val="decimal"/>
      <w:lvlText w:val=""/>
      <w:lvlJc w:val="left"/>
    </w:lvl>
    <w:lvl w:ilvl="3" w:tplc="9DC8A3DC">
      <w:numFmt w:val="decimal"/>
      <w:lvlText w:val=""/>
      <w:lvlJc w:val="left"/>
    </w:lvl>
    <w:lvl w:ilvl="4" w:tplc="9E688FD6">
      <w:numFmt w:val="decimal"/>
      <w:lvlText w:val=""/>
      <w:lvlJc w:val="left"/>
    </w:lvl>
    <w:lvl w:ilvl="5" w:tplc="96083318">
      <w:numFmt w:val="decimal"/>
      <w:lvlText w:val=""/>
      <w:lvlJc w:val="left"/>
    </w:lvl>
    <w:lvl w:ilvl="6" w:tplc="9F60CE42">
      <w:numFmt w:val="decimal"/>
      <w:lvlText w:val=""/>
      <w:lvlJc w:val="left"/>
    </w:lvl>
    <w:lvl w:ilvl="7" w:tplc="5D18E870">
      <w:numFmt w:val="decimal"/>
      <w:lvlText w:val=""/>
      <w:lvlJc w:val="left"/>
    </w:lvl>
    <w:lvl w:ilvl="8" w:tplc="C442D3EA">
      <w:numFmt w:val="decimal"/>
      <w:lvlText w:val=""/>
      <w:lvlJc w:val="left"/>
    </w:lvl>
  </w:abstractNum>
  <w:abstractNum w:abstractNumId="1" w15:restartNumberingAfterBreak="0">
    <w:nsid w:val="44B46EA3"/>
    <w:multiLevelType w:val="hybridMultilevel"/>
    <w:tmpl w:val="7F48544E"/>
    <w:lvl w:ilvl="0" w:tplc="9A869B54">
      <w:start w:val="1"/>
      <w:numFmt w:val="bullet"/>
      <w:lvlText w:val="•"/>
      <w:lvlJc w:val="left"/>
      <w:pPr>
        <w:ind w:left="720" w:hanging="360"/>
      </w:pPr>
    </w:lvl>
    <w:lvl w:ilvl="1" w:tplc="70C0F4E8">
      <w:numFmt w:val="decimal"/>
      <w:lvlText w:val=""/>
      <w:lvlJc w:val="left"/>
    </w:lvl>
    <w:lvl w:ilvl="2" w:tplc="1EC276E6">
      <w:numFmt w:val="decimal"/>
      <w:lvlText w:val=""/>
      <w:lvlJc w:val="left"/>
    </w:lvl>
    <w:lvl w:ilvl="3" w:tplc="DCB2551A">
      <w:numFmt w:val="decimal"/>
      <w:lvlText w:val=""/>
      <w:lvlJc w:val="left"/>
    </w:lvl>
    <w:lvl w:ilvl="4" w:tplc="46B03A30">
      <w:numFmt w:val="decimal"/>
      <w:lvlText w:val=""/>
      <w:lvlJc w:val="left"/>
    </w:lvl>
    <w:lvl w:ilvl="5" w:tplc="9BFEFC1C">
      <w:numFmt w:val="decimal"/>
      <w:lvlText w:val=""/>
      <w:lvlJc w:val="left"/>
    </w:lvl>
    <w:lvl w:ilvl="6" w:tplc="4D72890E">
      <w:numFmt w:val="decimal"/>
      <w:lvlText w:val=""/>
      <w:lvlJc w:val="left"/>
    </w:lvl>
    <w:lvl w:ilvl="7" w:tplc="5262ED98">
      <w:numFmt w:val="decimal"/>
      <w:lvlText w:val=""/>
      <w:lvlJc w:val="left"/>
    </w:lvl>
    <w:lvl w:ilvl="8" w:tplc="5EF44480">
      <w:numFmt w:val="decimal"/>
      <w:lvlText w:val=""/>
      <w:lvlJc w:val="left"/>
    </w:lvl>
  </w:abstractNum>
  <w:abstractNum w:abstractNumId="2" w15:restartNumberingAfterBreak="0">
    <w:nsid w:val="6D773FC8"/>
    <w:multiLevelType w:val="hybridMultilevel"/>
    <w:tmpl w:val="BBAEA2B6"/>
    <w:lvl w:ilvl="0" w:tplc="C1184BFA">
      <w:start w:val="1"/>
      <w:numFmt w:val="bullet"/>
      <w:lvlText w:val="●"/>
      <w:lvlJc w:val="left"/>
      <w:pPr>
        <w:ind w:left="720" w:hanging="360"/>
      </w:pPr>
    </w:lvl>
    <w:lvl w:ilvl="1" w:tplc="05889768">
      <w:start w:val="1"/>
      <w:numFmt w:val="bullet"/>
      <w:lvlText w:val="○"/>
      <w:lvlJc w:val="left"/>
      <w:pPr>
        <w:ind w:left="1440" w:hanging="360"/>
      </w:pPr>
    </w:lvl>
    <w:lvl w:ilvl="2" w:tplc="F3385DC6">
      <w:start w:val="1"/>
      <w:numFmt w:val="bullet"/>
      <w:lvlText w:val="■"/>
      <w:lvlJc w:val="left"/>
      <w:pPr>
        <w:ind w:left="2160" w:hanging="360"/>
      </w:pPr>
    </w:lvl>
    <w:lvl w:ilvl="3" w:tplc="0786EC40">
      <w:start w:val="1"/>
      <w:numFmt w:val="bullet"/>
      <w:lvlText w:val="●"/>
      <w:lvlJc w:val="left"/>
      <w:pPr>
        <w:ind w:left="2880" w:hanging="360"/>
      </w:pPr>
    </w:lvl>
    <w:lvl w:ilvl="4" w:tplc="135893BA">
      <w:start w:val="1"/>
      <w:numFmt w:val="bullet"/>
      <w:lvlText w:val="○"/>
      <w:lvlJc w:val="left"/>
      <w:pPr>
        <w:ind w:left="3600" w:hanging="360"/>
      </w:pPr>
    </w:lvl>
    <w:lvl w:ilvl="5" w:tplc="DDF81DFC">
      <w:start w:val="1"/>
      <w:numFmt w:val="bullet"/>
      <w:lvlText w:val="■"/>
      <w:lvlJc w:val="left"/>
      <w:pPr>
        <w:ind w:left="4320" w:hanging="360"/>
      </w:pPr>
    </w:lvl>
    <w:lvl w:ilvl="6" w:tplc="D45699BC">
      <w:start w:val="1"/>
      <w:numFmt w:val="bullet"/>
      <w:lvlText w:val="●"/>
      <w:lvlJc w:val="left"/>
      <w:pPr>
        <w:ind w:left="5040" w:hanging="360"/>
      </w:pPr>
    </w:lvl>
    <w:lvl w:ilvl="7" w:tplc="4888DB86">
      <w:start w:val="1"/>
      <w:numFmt w:val="bullet"/>
      <w:lvlText w:val="●"/>
      <w:lvlJc w:val="left"/>
      <w:pPr>
        <w:ind w:left="5760" w:hanging="360"/>
      </w:pPr>
    </w:lvl>
    <w:lvl w:ilvl="8" w:tplc="4E7A2FFA">
      <w:start w:val="1"/>
      <w:numFmt w:val="bullet"/>
      <w:lvlText w:val="●"/>
      <w:lvlJc w:val="left"/>
      <w:pPr>
        <w:ind w:left="6480" w:hanging="360"/>
      </w:pPr>
    </w:lvl>
  </w:abstractNum>
  <w:abstractNum w:abstractNumId="3" w15:restartNumberingAfterBreak="0">
    <w:nsid w:val="768771AF"/>
    <w:multiLevelType w:val="hybridMultilevel"/>
    <w:tmpl w:val="0AAE23F0"/>
    <w:lvl w:ilvl="0" w:tplc="0F9293BC">
      <w:start w:val="1"/>
      <w:numFmt w:val="decimal"/>
      <w:lvlText w:val="%1."/>
      <w:lvlJc w:val="left"/>
      <w:pPr>
        <w:ind w:left="720" w:hanging="360"/>
      </w:pPr>
    </w:lvl>
    <w:lvl w:ilvl="1" w:tplc="3D149700">
      <w:numFmt w:val="decimal"/>
      <w:lvlText w:val=""/>
      <w:lvlJc w:val="left"/>
    </w:lvl>
    <w:lvl w:ilvl="2" w:tplc="7C962C34">
      <w:numFmt w:val="decimal"/>
      <w:lvlText w:val=""/>
      <w:lvlJc w:val="left"/>
    </w:lvl>
    <w:lvl w:ilvl="3" w:tplc="221625B0">
      <w:numFmt w:val="decimal"/>
      <w:lvlText w:val=""/>
      <w:lvlJc w:val="left"/>
    </w:lvl>
    <w:lvl w:ilvl="4" w:tplc="1E8E99FE">
      <w:numFmt w:val="decimal"/>
      <w:lvlText w:val=""/>
      <w:lvlJc w:val="left"/>
    </w:lvl>
    <w:lvl w:ilvl="5" w:tplc="3CD4DC60">
      <w:numFmt w:val="decimal"/>
      <w:lvlText w:val=""/>
      <w:lvlJc w:val="left"/>
    </w:lvl>
    <w:lvl w:ilvl="6" w:tplc="CD642262">
      <w:numFmt w:val="decimal"/>
      <w:lvlText w:val=""/>
      <w:lvlJc w:val="left"/>
    </w:lvl>
    <w:lvl w:ilvl="7" w:tplc="57A243AA">
      <w:numFmt w:val="decimal"/>
      <w:lvlText w:val=""/>
      <w:lvlJc w:val="left"/>
    </w:lvl>
    <w:lvl w:ilvl="8" w:tplc="55F065C0">
      <w:numFmt w:val="decimal"/>
      <w:lvlText w:val=""/>
      <w:lvlJc w:val="left"/>
    </w:lvl>
  </w:abstractNum>
  <w:num w:numId="1" w16cid:durableId="799344210">
    <w:abstractNumId w:val="2"/>
    <w:lvlOverride w:ilvl="0">
      <w:startOverride w:val="1"/>
    </w:lvlOverride>
  </w:num>
  <w:num w:numId="2" w16cid:durableId="1109003971">
    <w:abstractNumId w:val="1"/>
    <w:lvlOverride w:ilvl="0">
      <w:startOverride w:val="1"/>
    </w:lvlOverride>
  </w:num>
  <w:num w:numId="3" w16cid:durableId="17466083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AA"/>
    <w:rsid w:val="001464AA"/>
    <w:rsid w:val="00207278"/>
    <w:rsid w:val="009406CF"/>
    <w:rsid w:val="00BF4E38"/>
    <w:rsid w:val="00D36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E94B9"/>
  <w15:docId w15:val="{E38577B1-CF47-43F7-81B5-4F7B92B9B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2"/>
      <w:szCs w:val="32"/>
    </w:rPr>
  </w:style>
  <w:style w:type="paragraph" w:styleId="Heading2">
    <w:name w:val="heading 2"/>
    <w:uiPriority w:val="9"/>
    <w:unhideWhenUsed/>
    <w:qFormat/>
    <w:pPr>
      <w:spacing w:before="240" w:after="12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2719</Words>
  <Characters>15499</Characters>
  <Application>Microsoft Office Word</Application>
  <DocSecurity>0</DocSecurity>
  <Lines>129</Lines>
  <Paragraphs>36</Paragraphs>
  <ScaleCrop>false</ScaleCrop>
  <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c</cp:lastModifiedBy>
  <cp:revision>10</cp:revision>
  <dcterms:created xsi:type="dcterms:W3CDTF">2026-06-06T04:37:00Z</dcterms:created>
  <dcterms:modified xsi:type="dcterms:W3CDTF">2026-06-08T04:11:00Z</dcterms:modified>
</cp:coreProperties>
</file>