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B543E4" w14:textId="77777777" w:rsidR="00AF640A" w:rsidRDefault="00000000">
      <w:pPr>
        <w:jc w:val="center"/>
      </w:pPr>
      <w:r>
        <w:rPr>
          <w:b/>
          <w:color w:val="1F3A5F"/>
          <w:sz w:val="44"/>
        </w:rPr>
        <w:t>Vendor Risk Assessment Framework</w:t>
      </w:r>
    </w:p>
    <w:p w14:paraId="2DFA7A04" w14:textId="77777777" w:rsidR="00AF640A" w:rsidRDefault="00000000">
      <w:pPr>
        <w:jc w:val="center"/>
      </w:pPr>
      <w:r>
        <w:rPr>
          <w:i/>
          <w:color w:val="555555"/>
          <w:sz w:val="24"/>
        </w:rPr>
        <w:t>Policy Document  |  StubHub Third-Party Risk Program  |  GRC Function</w:t>
      </w:r>
    </w:p>
    <w:p w14:paraId="7D27AC6A" w14:textId="77777777" w:rsidR="00AF640A" w:rsidRDefault="00AF640A"/>
    <w:p w14:paraId="760E4ADA" w14:textId="77777777" w:rsidR="00AF640A" w:rsidRDefault="00000000" w:rsidP="00F0555C">
      <w:pPr>
        <w:pStyle w:val="Heading2"/>
        <w:jc w:val="center"/>
      </w:pPr>
      <w:r>
        <w:t>Document Control</w:t>
      </w:r>
    </w:p>
    <w:tbl>
      <w:tblPr>
        <w:tblStyle w:val="TableGrid"/>
        <w:tblW w:w="0" w:type="auto"/>
        <w:jc w:val="center"/>
        <w:tblLook w:val="04A0" w:firstRow="1" w:lastRow="0" w:firstColumn="1" w:lastColumn="0" w:noHBand="0" w:noVBand="1"/>
      </w:tblPr>
      <w:tblGrid>
        <w:gridCol w:w="2895"/>
        <w:gridCol w:w="6681"/>
      </w:tblGrid>
      <w:tr w:rsidR="00AF640A" w14:paraId="0C791F4C" w14:textId="77777777">
        <w:trPr>
          <w:jc w:val="center"/>
        </w:trPr>
        <w:tc>
          <w:tcPr>
            <w:tcW w:w="3168" w:type="dxa"/>
            <w:shd w:val="clear" w:color="auto" w:fill="1F3A5F"/>
          </w:tcPr>
          <w:p w14:paraId="1D5A8010" w14:textId="77777777" w:rsidR="00AF640A" w:rsidRDefault="00000000">
            <w:r>
              <w:rPr>
                <w:b/>
                <w:color w:val="FFFFFF"/>
                <w:sz w:val="20"/>
              </w:rPr>
              <w:t>Field</w:t>
            </w:r>
          </w:p>
        </w:tc>
        <w:tc>
          <w:tcPr>
            <w:tcW w:w="7488" w:type="dxa"/>
            <w:shd w:val="clear" w:color="auto" w:fill="1F3A5F"/>
          </w:tcPr>
          <w:p w14:paraId="33EFAAD3" w14:textId="77777777" w:rsidR="00AF640A" w:rsidRDefault="00000000">
            <w:r>
              <w:rPr>
                <w:b/>
                <w:color w:val="FFFFFF"/>
                <w:sz w:val="20"/>
              </w:rPr>
              <w:t>Value</w:t>
            </w:r>
          </w:p>
        </w:tc>
      </w:tr>
      <w:tr w:rsidR="00AF640A" w14:paraId="3AE21675" w14:textId="77777777">
        <w:trPr>
          <w:jc w:val="center"/>
        </w:trPr>
        <w:tc>
          <w:tcPr>
            <w:tcW w:w="3168" w:type="dxa"/>
          </w:tcPr>
          <w:p w14:paraId="1DB25465" w14:textId="77777777" w:rsidR="00AF640A" w:rsidRDefault="00000000" w:rsidP="00F0555C">
            <w:pPr>
              <w:jc w:val="center"/>
            </w:pPr>
            <w:r>
              <w:rPr>
                <w:sz w:val="19"/>
              </w:rPr>
              <w:t>Document Owner</w:t>
            </w:r>
          </w:p>
        </w:tc>
        <w:tc>
          <w:tcPr>
            <w:tcW w:w="7488" w:type="dxa"/>
          </w:tcPr>
          <w:p w14:paraId="5D5C597E" w14:textId="77777777" w:rsidR="00AF640A" w:rsidRDefault="00000000">
            <w:r>
              <w:rPr>
                <w:sz w:val="19"/>
              </w:rPr>
              <w:t>GRC Analyst, Third-Party Risk Management</w:t>
            </w:r>
          </w:p>
        </w:tc>
      </w:tr>
      <w:tr w:rsidR="00AF640A" w14:paraId="2839A67C" w14:textId="77777777">
        <w:trPr>
          <w:jc w:val="center"/>
        </w:trPr>
        <w:tc>
          <w:tcPr>
            <w:tcW w:w="3168" w:type="dxa"/>
          </w:tcPr>
          <w:p w14:paraId="0E845E9F" w14:textId="77777777" w:rsidR="00AF640A" w:rsidRDefault="00000000" w:rsidP="00F0555C">
            <w:pPr>
              <w:jc w:val="center"/>
            </w:pPr>
            <w:r>
              <w:rPr>
                <w:sz w:val="19"/>
              </w:rPr>
              <w:t>Approved By</w:t>
            </w:r>
          </w:p>
        </w:tc>
        <w:tc>
          <w:tcPr>
            <w:tcW w:w="7488" w:type="dxa"/>
          </w:tcPr>
          <w:p w14:paraId="072EC49E" w14:textId="77777777" w:rsidR="00AF640A" w:rsidRDefault="00000000">
            <w:r>
              <w:rPr>
                <w:sz w:val="19"/>
              </w:rPr>
              <w:t>Chief Information Security Officer (CISO)</w:t>
            </w:r>
          </w:p>
        </w:tc>
      </w:tr>
      <w:tr w:rsidR="00AF640A" w14:paraId="5749C3A0" w14:textId="77777777">
        <w:trPr>
          <w:jc w:val="center"/>
        </w:trPr>
        <w:tc>
          <w:tcPr>
            <w:tcW w:w="3168" w:type="dxa"/>
          </w:tcPr>
          <w:p w14:paraId="46B4A8A8" w14:textId="77777777" w:rsidR="00AF640A" w:rsidRDefault="00000000" w:rsidP="00F0555C">
            <w:pPr>
              <w:jc w:val="center"/>
            </w:pPr>
            <w:r>
              <w:rPr>
                <w:sz w:val="19"/>
              </w:rPr>
              <w:t>Effective Date</w:t>
            </w:r>
          </w:p>
        </w:tc>
        <w:tc>
          <w:tcPr>
            <w:tcW w:w="7488" w:type="dxa"/>
          </w:tcPr>
          <w:p w14:paraId="1BB7050F" w14:textId="77777777" w:rsidR="00AF640A" w:rsidRDefault="00000000">
            <w:r>
              <w:rPr>
                <w:sz w:val="19"/>
              </w:rPr>
              <w:t>July 5, 2026</w:t>
            </w:r>
          </w:p>
        </w:tc>
      </w:tr>
      <w:tr w:rsidR="00AF640A" w14:paraId="36D4F66B" w14:textId="77777777">
        <w:trPr>
          <w:jc w:val="center"/>
        </w:trPr>
        <w:tc>
          <w:tcPr>
            <w:tcW w:w="3168" w:type="dxa"/>
          </w:tcPr>
          <w:p w14:paraId="43E2AD49" w14:textId="77777777" w:rsidR="00AF640A" w:rsidRDefault="00000000" w:rsidP="00F0555C">
            <w:pPr>
              <w:jc w:val="center"/>
            </w:pPr>
            <w:r>
              <w:rPr>
                <w:sz w:val="19"/>
              </w:rPr>
              <w:t>Review Cycle</w:t>
            </w:r>
          </w:p>
        </w:tc>
        <w:tc>
          <w:tcPr>
            <w:tcW w:w="7488" w:type="dxa"/>
          </w:tcPr>
          <w:p w14:paraId="6A1EB364" w14:textId="77777777" w:rsidR="00AF640A" w:rsidRDefault="00000000">
            <w:r>
              <w:rPr>
                <w:sz w:val="19"/>
              </w:rPr>
              <w:t>Annual, or upon material change to vendor risk environment</w:t>
            </w:r>
          </w:p>
        </w:tc>
      </w:tr>
      <w:tr w:rsidR="00AF640A" w14:paraId="5B05B9C5" w14:textId="77777777">
        <w:trPr>
          <w:jc w:val="center"/>
        </w:trPr>
        <w:tc>
          <w:tcPr>
            <w:tcW w:w="3168" w:type="dxa"/>
          </w:tcPr>
          <w:p w14:paraId="22FE40B6" w14:textId="77777777" w:rsidR="00AF640A" w:rsidRDefault="00000000" w:rsidP="00F0555C">
            <w:pPr>
              <w:jc w:val="center"/>
            </w:pPr>
            <w:r>
              <w:rPr>
                <w:sz w:val="19"/>
              </w:rPr>
              <w:t>Version</w:t>
            </w:r>
          </w:p>
        </w:tc>
        <w:tc>
          <w:tcPr>
            <w:tcW w:w="7488" w:type="dxa"/>
          </w:tcPr>
          <w:p w14:paraId="0F0557CB" w14:textId="77777777" w:rsidR="00AF640A" w:rsidRDefault="00000000">
            <w:r>
              <w:rPr>
                <w:sz w:val="19"/>
              </w:rPr>
              <w:t>1.0</w:t>
            </w:r>
          </w:p>
        </w:tc>
      </w:tr>
    </w:tbl>
    <w:p w14:paraId="05B4AF29" w14:textId="77777777" w:rsidR="00AF640A" w:rsidRDefault="00AF640A"/>
    <w:p w14:paraId="7FB05D48" w14:textId="77777777" w:rsidR="00AF640A" w:rsidRDefault="00000000">
      <w:pPr>
        <w:pStyle w:val="Heading1"/>
      </w:pPr>
      <w:r>
        <w:t>1. Framework Scope Statement</w:t>
      </w:r>
    </w:p>
    <w:p w14:paraId="2BF78580" w14:textId="78445F4B" w:rsidR="00AF640A" w:rsidRDefault="00000000" w:rsidP="00F0555C">
      <w:pPr>
        <w:jc w:val="both"/>
      </w:pPr>
      <w:r>
        <w:t>This Vendor Risk Assessment Framework applies to all third-party vendors, suppliers, and service providers that access, process, store, or transmit StubHub customer data, or that provide services critical to platform availability including payment processors (e.g., Stripe, Adyen, Braintree), cloud infrastructure providers (e.g., AWS, GCP), marketing and analytics platforms (e.g., Salesforce, Segment, Adobe), ticketing technology integration partners, and staffing or professional services firms with system access. The framework addresses cybersecurity, data privacy, operational resilience, and regulatory compliance risk, with particular emphasis on PCI DSS relevance for payment vendors and availability risk for infrastructure vendors. Ownership of this framework and the vendor risk lifecycle it governs sits with the Governance, Risk, and Compliance (GRC) function, with required input and sign-off from Legal, Procurement, and Engineering at defined checkpoints in the vendor lifecycle.</w:t>
      </w:r>
    </w:p>
    <w:p w14:paraId="51C93A05" w14:textId="77777777" w:rsidR="00AF640A" w:rsidRDefault="00000000">
      <w:pPr>
        <w:pStyle w:val="Heading1"/>
      </w:pPr>
      <w:r>
        <w:t>2. Vendor Landscape Covered</w:t>
      </w:r>
    </w:p>
    <w:p w14:paraId="2FC3A656" w14:textId="77777777" w:rsidR="00AF640A" w:rsidRDefault="00000000" w:rsidP="00F0555C">
      <w:pPr>
        <w:jc w:val="both"/>
      </w:pPr>
      <w:r>
        <w:t>The vendor population in scope spans five primary categories, each carrying a distinct risk profile that this framework is designed to differentiate:</w:t>
      </w:r>
    </w:p>
    <w:tbl>
      <w:tblPr>
        <w:tblStyle w:val="TableGrid"/>
        <w:tblW w:w="0" w:type="auto"/>
        <w:jc w:val="center"/>
        <w:tblLook w:val="04A0" w:firstRow="1" w:lastRow="0" w:firstColumn="1" w:lastColumn="0" w:noHBand="0" w:noVBand="1"/>
      </w:tblPr>
      <w:tblGrid>
        <w:gridCol w:w="2626"/>
        <w:gridCol w:w="3158"/>
        <w:gridCol w:w="3792"/>
      </w:tblGrid>
      <w:tr w:rsidR="00AF640A" w14:paraId="0B884FA9" w14:textId="77777777">
        <w:trPr>
          <w:jc w:val="center"/>
        </w:trPr>
        <w:tc>
          <w:tcPr>
            <w:tcW w:w="2880" w:type="dxa"/>
            <w:shd w:val="clear" w:color="auto" w:fill="1F3A5F"/>
          </w:tcPr>
          <w:p w14:paraId="7FD106E2" w14:textId="77777777" w:rsidR="00AF640A" w:rsidRDefault="00000000">
            <w:r>
              <w:rPr>
                <w:b/>
                <w:color w:val="FFFFFF"/>
                <w:sz w:val="20"/>
              </w:rPr>
              <w:t>Category</w:t>
            </w:r>
          </w:p>
        </w:tc>
        <w:tc>
          <w:tcPr>
            <w:tcW w:w="3456" w:type="dxa"/>
            <w:shd w:val="clear" w:color="auto" w:fill="1F3A5F"/>
          </w:tcPr>
          <w:p w14:paraId="1101FD8C" w14:textId="77777777" w:rsidR="00AF640A" w:rsidRDefault="00000000">
            <w:r>
              <w:rPr>
                <w:b/>
                <w:color w:val="FFFFFF"/>
                <w:sz w:val="20"/>
              </w:rPr>
              <w:t>Representative Examples</w:t>
            </w:r>
          </w:p>
        </w:tc>
        <w:tc>
          <w:tcPr>
            <w:tcW w:w="4320" w:type="dxa"/>
            <w:shd w:val="clear" w:color="auto" w:fill="1F3A5F"/>
          </w:tcPr>
          <w:p w14:paraId="1468977D" w14:textId="77777777" w:rsidR="00AF640A" w:rsidRDefault="00000000">
            <w:r>
              <w:rPr>
                <w:b/>
                <w:color w:val="FFFFFF"/>
                <w:sz w:val="20"/>
              </w:rPr>
              <w:t>Primary Risk Concern</w:t>
            </w:r>
          </w:p>
        </w:tc>
      </w:tr>
      <w:tr w:rsidR="00AF640A" w14:paraId="5493BD6F" w14:textId="77777777">
        <w:trPr>
          <w:jc w:val="center"/>
        </w:trPr>
        <w:tc>
          <w:tcPr>
            <w:tcW w:w="2880" w:type="dxa"/>
          </w:tcPr>
          <w:p w14:paraId="0764B12F" w14:textId="77777777" w:rsidR="00AF640A" w:rsidRDefault="00000000" w:rsidP="00730809">
            <w:pPr>
              <w:jc w:val="center"/>
            </w:pPr>
            <w:r>
              <w:rPr>
                <w:sz w:val="19"/>
              </w:rPr>
              <w:t>Payment Processors</w:t>
            </w:r>
          </w:p>
        </w:tc>
        <w:tc>
          <w:tcPr>
            <w:tcW w:w="3456" w:type="dxa"/>
          </w:tcPr>
          <w:p w14:paraId="3CEE00B0" w14:textId="77777777" w:rsidR="00AF640A" w:rsidRDefault="00000000" w:rsidP="00730809">
            <w:pPr>
              <w:jc w:val="center"/>
            </w:pPr>
            <w:r>
              <w:rPr>
                <w:sz w:val="19"/>
              </w:rPr>
              <w:t>Stripe, Adyen, Braintree</w:t>
            </w:r>
          </w:p>
        </w:tc>
        <w:tc>
          <w:tcPr>
            <w:tcW w:w="4320" w:type="dxa"/>
          </w:tcPr>
          <w:p w14:paraId="119D24A6" w14:textId="77777777" w:rsidR="00AF640A" w:rsidRDefault="00000000" w:rsidP="00730809">
            <w:pPr>
              <w:jc w:val="center"/>
            </w:pPr>
            <w:r>
              <w:rPr>
                <w:sz w:val="19"/>
              </w:rPr>
              <w:t>High data sensitivity; PCI DSS relevance</w:t>
            </w:r>
          </w:p>
        </w:tc>
      </w:tr>
      <w:tr w:rsidR="00AF640A" w14:paraId="2DF4E29F" w14:textId="77777777">
        <w:trPr>
          <w:jc w:val="center"/>
        </w:trPr>
        <w:tc>
          <w:tcPr>
            <w:tcW w:w="2880" w:type="dxa"/>
          </w:tcPr>
          <w:p w14:paraId="42D72FF4" w14:textId="77777777" w:rsidR="00AF640A" w:rsidRDefault="00000000" w:rsidP="00730809">
            <w:pPr>
              <w:jc w:val="center"/>
            </w:pPr>
            <w:r>
              <w:rPr>
                <w:sz w:val="19"/>
              </w:rPr>
              <w:t>Cloud Infrastructure</w:t>
            </w:r>
          </w:p>
        </w:tc>
        <w:tc>
          <w:tcPr>
            <w:tcW w:w="3456" w:type="dxa"/>
          </w:tcPr>
          <w:p w14:paraId="54577B4E" w14:textId="77777777" w:rsidR="00AF640A" w:rsidRDefault="00000000" w:rsidP="00730809">
            <w:pPr>
              <w:jc w:val="center"/>
            </w:pPr>
            <w:r>
              <w:rPr>
                <w:sz w:val="19"/>
              </w:rPr>
              <w:t>AWS, GCP</w:t>
            </w:r>
          </w:p>
        </w:tc>
        <w:tc>
          <w:tcPr>
            <w:tcW w:w="4320" w:type="dxa"/>
          </w:tcPr>
          <w:p w14:paraId="3B224D1B" w14:textId="77777777" w:rsidR="00AF640A" w:rsidRDefault="00000000" w:rsidP="00730809">
            <w:pPr>
              <w:jc w:val="center"/>
            </w:pPr>
            <w:r>
              <w:rPr>
                <w:sz w:val="19"/>
              </w:rPr>
              <w:t>Availability and resilience risk</w:t>
            </w:r>
          </w:p>
        </w:tc>
      </w:tr>
      <w:tr w:rsidR="00AF640A" w14:paraId="41DF74C7" w14:textId="77777777">
        <w:trPr>
          <w:jc w:val="center"/>
        </w:trPr>
        <w:tc>
          <w:tcPr>
            <w:tcW w:w="2880" w:type="dxa"/>
          </w:tcPr>
          <w:p w14:paraId="26A6B120" w14:textId="77777777" w:rsidR="00AF640A" w:rsidRDefault="00000000" w:rsidP="00730809">
            <w:pPr>
              <w:jc w:val="center"/>
            </w:pPr>
            <w:r>
              <w:rPr>
                <w:sz w:val="19"/>
              </w:rPr>
              <w:t>Marketing &amp; Analytics</w:t>
            </w:r>
          </w:p>
        </w:tc>
        <w:tc>
          <w:tcPr>
            <w:tcW w:w="3456" w:type="dxa"/>
          </w:tcPr>
          <w:p w14:paraId="63E5D76A" w14:textId="77777777" w:rsidR="00AF640A" w:rsidRDefault="00000000" w:rsidP="00730809">
            <w:pPr>
              <w:jc w:val="center"/>
            </w:pPr>
            <w:r>
              <w:rPr>
                <w:sz w:val="19"/>
              </w:rPr>
              <w:t>Salesforce, Segment, Adobe</w:t>
            </w:r>
          </w:p>
        </w:tc>
        <w:tc>
          <w:tcPr>
            <w:tcW w:w="4320" w:type="dxa"/>
          </w:tcPr>
          <w:p w14:paraId="0385DF98" w14:textId="77777777" w:rsidR="00AF640A" w:rsidRDefault="00000000" w:rsidP="00730809">
            <w:pPr>
              <w:jc w:val="center"/>
            </w:pPr>
            <w:r>
              <w:rPr>
                <w:sz w:val="19"/>
              </w:rPr>
              <w:t>Customer PII exposure</w:t>
            </w:r>
          </w:p>
        </w:tc>
      </w:tr>
      <w:tr w:rsidR="00AF640A" w14:paraId="7DD86E1B" w14:textId="77777777">
        <w:trPr>
          <w:jc w:val="center"/>
        </w:trPr>
        <w:tc>
          <w:tcPr>
            <w:tcW w:w="2880" w:type="dxa"/>
          </w:tcPr>
          <w:p w14:paraId="348FD6BA" w14:textId="77777777" w:rsidR="00AF640A" w:rsidRDefault="00000000" w:rsidP="00730809">
            <w:pPr>
              <w:jc w:val="center"/>
            </w:pPr>
            <w:r>
              <w:rPr>
                <w:sz w:val="19"/>
              </w:rPr>
              <w:t>Ticketing Technology Partners</w:t>
            </w:r>
          </w:p>
        </w:tc>
        <w:tc>
          <w:tcPr>
            <w:tcW w:w="3456" w:type="dxa"/>
          </w:tcPr>
          <w:p w14:paraId="0D2D6EA5" w14:textId="77777777" w:rsidR="00AF640A" w:rsidRDefault="00000000" w:rsidP="00730809">
            <w:pPr>
              <w:jc w:val="center"/>
            </w:pPr>
            <w:r>
              <w:rPr>
                <w:sz w:val="19"/>
              </w:rPr>
              <w:t>Integration vendors</w:t>
            </w:r>
          </w:p>
        </w:tc>
        <w:tc>
          <w:tcPr>
            <w:tcW w:w="4320" w:type="dxa"/>
          </w:tcPr>
          <w:p w14:paraId="22FA77F3" w14:textId="77777777" w:rsidR="00AF640A" w:rsidRDefault="00000000" w:rsidP="00730809">
            <w:pPr>
              <w:jc w:val="center"/>
            </w:pPr>
            <w:r>
              <w:rPr>
                <w:sz w:val="19"/>
              </w:rPr>
              <w:t>IP and integration risk</w:t>
            </w:r>
          </w:p>
        </w:tc>
      </w:tr>
      <w:tr w:rsidR="00AF640A" w14:paraId="49A37930" w14:textId="77777777">
        <w:trPr>
          <w:jc w:val="center"/>
        </w:trPr>
        <w:tc>
          <w:tcPr>
            <w:tcW w:w="2880" w:type="dxa"/>
          </w:tcPr>
          <w:p w14:paraId="7304F0ED" w14:textId="77777777" w:rsidR="00AF640A" w:rsidRDefault="00000000" w:rsidP="00730809">
            <w:pPr>
              <w:jc w:val="center"/>
            </w:pPr>
            <w:r>
              <w:rPr>
                <w:sz w:val="19"/>
              </w:rPr>
              <w:t>Staffing &amp; Professional Services</w:t>
            </w:r>
          </w:p>
        </w:tc>
        <w:tc>
          <w:tcPr>
            <w:tcW w:w="3456" w:type="dxa"/>
          </w:tcPr>
          <w:p w14:paraId="1F9B9C53" w14:textId="77777777" w:rsidR="00AF640A" w:rsidRDefault="00000000" w:rsidP="00730809">
            <w:pPr>
              <w:jc w:val="center"/>
            </w:pPr>
            <w:r>
              <w:rPr>
                <w:sz w:val="19"/>
              </w:rPr>
              <w:t>Contract and consulting firms</w:t>
            </w:r>
          </w:p>
        </w:tc>
        <w:tc>
          <w:tcPr>
            <w:tcW w:w="4320" w:type="dxa"/>
          </w:tcPr>
          <w:p w14:paraId="2FC8E91B" w14:textId="77777777" w:rsidR="00AF640A" w:rsidRDefault="00000000" w:rsidP="00730809">
            <w:pPr>
              <w:jc w:val="center"/>
            </w:pPr>
            <w:r>
              <w:rPr>
                <w:sz w:val="19"/>
              </w:rPr>
              <w:t>Insider threat and access risk</w:t>
            </w:r>
          </w:p>
        </w:tc>
      </w:tr>
    </w:tbl>
    <w:p w14:paraId="1F6D121D" w14:textId="77777777" w:rsidR="00AF640A" w:rsidRDefault="00AF640A"/>
    <w:p w14:paraId="365C96B0" w14:textId="77777777" w:rsidR="00AF640A" w:rsidRDefault="00000000">
      <w:pPr>
        <w:pStyle w:val="Heading1"/>
      </w:pPr>
      <w:r>
        <w:lastRenderedPageBreak/>
        <w:t>3. Vendor Tiering Model</w:t>
      </w:r>
    </w:p>
    <w:p w14:paraId="190DA19A" w14:textId="03819EE5" w:rsidR="00AF640A" w:rsidRDefault="00000000">
      <w:r>
        <w:t xml:space="preserve">Vendors cannot be assessed with uniform depth risk management resources are finite and must be directed where exposure is greatest. This framework sorts every vendor into one of three tiers based on two axes: data sensitivity and operational criticality. Tier assignment determines assessment frequency and questionnaire depth. The full tiering criteria and vendor inventory live in </w:t>
      </w:r>
      <w:r w:rsidRPr="00C479BE">
        <w:rPr>
          <w:b/>
          <w:bCs/>
        </w:rPr>
        <w:t>VRA-Tiering-Model.xlsx</w:t>
      </w:r>
      <w:r>
        <w:t>; the summary below is the policy-level reference.</w:t>
      </w:r>
    </w:p>
    <w:tbl>
      <w:tblPr>
        <w:tblStyle w:val="TableGrid"/>
        <w:tblW w:w="0" w:type="auto"/>
        <w:jc w:val="center"/>
        <w:tblLook w:val="04A0" w:firstRow="1" w:lastRow="0" w:firstColumn="1" w:lastColumn="0" w:noHBand="0" w:noVBand="1"/>
      </w:tblPr>
      <w:tblGrid>
        <w:gridCol w:w="662"/>
        <w:gridCol w:w="1003"/>
        <w:gridCol w:w="2534"/>
        <w:gridCol w:w="2144"/>
        <w:gridCol w:w="1672"/>
        <w:gridCol w:w="1561"/>
      </w:tblGrid>
      <w:tr w:rsidR="00AF640A" w14:paraId="1C26B87E" w14:textId="77777777">
        <w:trPr>
          <w:jc w:val="center"/>
        </w:trPr>
        <w:tc>
          <w:tcPr>
            <w:tcW w:w="720" w:type="dxa"/>
            <w:shd w:val="clear" w:color="auto" w:fill="1F3A5F"/>
          </w:tcPr>
          <w:p w14:paraId="3AFD453F" w14:textId="77777777" w:rsidR="00AF640A" w:rsidRDefault="00000000">
            <w:r>
              <w:rPr>
                <w:b/>
                <w:color w:val="FFFFFF"/>
                <w:sz w:val="20"/>
              </w:rPr>
              <w:t>Tier</w:t>
            </w:r>
          </w:p>
        </w:tc>
        <w:tc>
          <w:tcPr>
            <w:tcW w:w="1152" w:type="dxa"/>
            <w:shd w:val="clear" w:color="auto" w:fill="1F3A5F"/>
          </w:tcPr>
          <w:p w14:paraId="2156537C" w14:textId="77777777" w:rsidR="00AF640A" w:rsidRDefault="00000000">
            <w:r>
              <w:rPr>
                <w:b/>
                <w:color w:val="FFFFFF"/>
                <w:sz w:val="20"/>
              </w:rPr>
              <w:t>Label</w:t>
            </w:r>
          </w:p>
        </w:tc>
        <w:tc>
          <w:tcPr>
            <w:tcW w:w="2736" w:type="dxa"/>
            <w:shd w:val="clear" w:color="auto" w:fill="1F3A5F"/>
          </w:tcPr>
          <w:p w14:paraId="07CD8E79" w14:textId="77777777" w:rsidR="00AF640A" w:rsidRDefault="00000000">
            <w:r>
              <w:rPr>
                <w:b/>
                <w:color w:val="FFFFFF"/>
                <w:sz w:val="20"/>
              </w:rPr>
              <w:t>Data Sensitivity</w:t>
            </w:r>
          </w:p>
        </w:tc>
        <w:tc>
          <w:tcPr>
            <w:tcW w:w="2736" w:type="dxa"/>
            <w:shd w:val="clear" w:color="auto" w:fill="1F3A5F"/>
          </w:tcPr>
          <w:p w14:paraId="73DF63F0" w14:textId="77777777" w:rsidR="00AF640A" w:rsidRDefault="00000000">
            <w:r>
              <w:rPr>
                <w:b/>
                <w:color w:val="FFFFFF"/>
                <w:sz w:val="20"/>
              </w:rPr>
              <w:t>Operational Criticality</w:t>
            </w:r>
          </w:p>
        </w:tc>
        <w:tc>
          <w:tcPr>
            <w:tcW w:w="1872" w:type="dxa"/>
            <w:shd w:val="clear" w:color="auto" w:fill="1F3A5F"/>
          </w:tcPr>
          <w:p w14:paraId="5C09DFED" w14:textId="77777777" w:rsidR="00AF640A" w:rsidRDefault="00000000">
            <w:r>
              <w:rPr>
                <w:b/>
                <w:color w:val="FFFFFF"/>
                <w:sz w:val="20"/>
              </w:rPr>
              <w:t>Assessment Frequency</w:t>
            </w:r>
          </w:p>
        </w:tc>
        <w:tc>
          <w:tcPr>
            <w:tcW w:w="1440" w:type="dxa"/>
            <w:shd w:val="clear" w:color="auto" w:fill="1F3A5F"/>
          </w:tcPr>
          <w:p w14:paraId="01E07CF7" w14:textId="77777777" w:rsidR="00AF640A" w:rsidRDefault="00000000">
            <w:r>
              <w:rPr>
                <w:b/>
                <w:color w:val="FFFFFF"/>
                <w:sz w:val="20"/>
              </w:rPr>
              <w:t>Questionnaire Depth</w:t>
            </w:r>
          </w:p>
        </w:tc>
      </w:tr>
      <w:tr w:rsidR="00AF640A" w14:paraId="1BBC3008" w14:textId="77777777">
        <w:trPr>
          <w:jc w:val="center"/>
        </w:trPr>
        <w:tc>
          <w:tcPr>
            <w:tcW w:w="720" w:type="dxa"/>
          </w:tcPr>
          <w:p w14:paraId="14808C6D" w14:textId="77777777" w:rsidR="00AF640A" w:rsidRDefault="00000000" w:rsidP="00730809">
            <w:pPr>
              <w:jc w:val="center"/>
            </w:pPr>
            <w:r>
              <w:rPr>
                <w:sz w:val="19"/>
              </w:rPr>
              <w:t>1</w:t>
            </w:r>
          </w:p>
        </w:tc>
        <w:tc>
          <w:tcPr>
            <w:tcW w:w="1152" w:type="dxa"/>
          </w:tcPr>
          <w:p w14:paraId="2297E321" w14:textId="77777777" w:rsidR="00AF640A" w:rsidRDefault="00000000" w:rsidP="00730809">
            <w:pPr>
              <w:jc w:val="center"/>
            </w:pPr>
            <w:r>
              <w:rPr>
                <w:sz w:val="19"/>
              </w:rPr>
              <w:t>Critical</w:t>
            </w:r>
          </w:p>
        </w:tc>
        <w:tc>
          <w:tcPr>
            <w:tcW w:w="2736" w:type="dxa"/>
          </w:tcPr>
          <w:p w14:paraId="37F11EF0" w14:textId="77777777" w:rsidR="00AF640A" w:rsidRDefault="00000000" w:rsidP="00730809">
            <w:pPr>
              <w:jc w:val="center"/>
            </w:pPr>
            <w:r>
              <w:rPr>
                <w:sz w:val="19"/>
              </w:rPr>
              <w:t>Processes PII, PCI, or PHI data at scale</w:t>
            </w:r>
          </w:p>
        </w:tc>
        <w:tc>
          <w:tcPr>
            <w:tcW w:w="2736" w:type="dxa"/>
          </w:tcPr>
          <w:p w14:paraId="383CAEA3" w14:textId="77777777" w:rsidR="00AF640A" w:rsidRDefault="00000000" w:rsidP="00730809">
            <w:pPr>
              <w:jc w:val="center"/>
            </w:pPr>
            <w:r>
              <w:rPr>
                <w:sz w:val="19"/>
              </w:rPr>
              <w:t>Outage causes direct revenue loss or customer harm</w:t>
            </w:r>
          </w:p>
        </w:tc>
        <w:tc>
          <w:tcPr>
            <w:tcW w:w="1872" w:type="dxa"/>
          </w:tcPr>
          <w:p w14:paraId="0B0467B4" w14:textId="77777777" w:rsidR="00AF640A" w:rsidRDefault="00000000" w:rsidP="00730809">
            <w:pPr>
              <w:jc w:val="center"/>
            </w:pPr>
            <w:r>
              <w:rPr>
                <w:sz w:val="19"/>
              </w:rPr>
              <w:t>Annual + event-triggered</w:t>
            </w:r>
          </w:p>
        </w:tc>
        <w:tc>
          <w:tcPr>
            <w:tcW w:w="1440" w:type="dxa"/>
          </w:tcPr>
          <w:p w14:paraId="430B189E" w14:textId="77777777" w:rsidR="00AF640A" w:rsidRDefault="00000000" w:rsidP="00730809">
            <w:pPr>
              <w:jc w:val="center"/>
            </w:pPr>
            <w:r>
              <w:rPr>
                <w:sz w:val="19"/>
              </w:rPr>
              <w:t>Full (60+ questions)</w:t>
            </w:r>
          </w:p>
        </w:tc>
      </w:tr>
      <w:tr w:rsidR="00AF640A" w14:paraId="15F9F0E5" w14:textId="77777777">
        <w:trPr>
          <w:jc w:val="center"/>
        </w:trPr>
        <w:tc>
          <w:tcPr>
            <w:tcW w:w="720" w:type="dxa"/>
          </w:tcPr>
          <w:p w14:paraId="1D8B5316" w14:textId="77777777" w:rsidR="00AF640A" w:rsidRDefault="00000000" w:rsidP="00730809">
            <w:pPr>
              <w:jc w:val="center"/>
            </w:pPr>
            <w:r>
              <w:rPr>
                <w:sz w:val="19"/>
              </w:rPr>
              <w:t>2</w:t>
            </w:r>
          </w:p>
        </w:tc>
        <w:tc>
          <w:tcPr>
            <w:tcW w:w="1152" w:type="dxa"/>
          </w:tcPr>
          <w:p w14:paraId="04FF44F8" w14:textId="77777777" w:rsidR="00AF640A" w:rsidRDefault="00000000" w:rsidP="00730809">
            <w:pPr>
              <w:jc w:val="center"/>
            </w:pPr>
            <w:r>
              <w:rPr>
                <w:sz w:val="19"/>
              </w:rPr>
              <w:t>High</w:t>
            </w:r>
          </w:p>
        </w:tc>
        <w:tc>
          <w:tcPr>
            <w:tcW w:w="2736" w:type="dxa"/>
          </w:tcPr>
          <w:p w14:paraId="500586A1" w14:textId="77777777" w:rsidR="00AF640A" w:rsidRDefault="00000000" w:rsidP="00730809">
            <w:pPr>
              <w:jc w:val="center"/>
            </w:pPr>
            <w:r>
              <w:rPr>
                <w:sz w:val="19"/>
              </w:rPr>
              <w:t>Limited PII access or non-core data processing</w:t>
            </w:r>
          </w:p>
        </w:tc>
        <w:tc>
          <w:tcPr>
            <w:tcW w:w="2736" w:type="dxa"/>
          </w:tcPr>
          <w:p w14:paraId="7F0AB297" w14:textId="77777777" w:rsidR="00AF640A" w:rsidRDefault="00000000" w:rsidP="00730809">
            <w:pPr>
              <w:jc w:val="center"/>
            </w:pPr>
            <w:r>
              <w:rPr>
                <w:sz w:val="19"/>
              </w:rPr>
              <w:t>Outage degrades service but workarounds exist</w:t>
            </w:r>
          </w:p>
        </w:tc>
        <w:tc>
          <w:tcPr>
            <w:tcW w:w="1872" w:type="dxa"/>
          </w:tcPr>
          <w:p w14:paraId="58723E78" w14:textId="77777777" w:rsidR="00AF640A" w:rsidRDefault="00000000" w:rsidP="00730809">
            <w:pPr>
              <w:jc w:val="center"/>
            </w:pPr>
            <w:r>
              <w:rPr>
                <w:sz w:val="19"/>
              </w:rPr>
              <w:t>Annual</w:t>
            </w:r>
          </w:p>
        </w:tc>
        <w:tc>
          <w:tcPr>
            <w:tcW w:w="1440" w:type="dxa"/>
          </w:tcPr>
          <w:p w14:paraId="31D365ED" w14:textId="77777777" w:rsidR="00AF640A" w:rsidRDefault="00000000" w:rsidP="00730809">
            <w:pPr>
              <w:jc w:val="center"/>
            </w:pPr>
            <w:r>
              <w:rPr>
                <w:sz w:val="19"/>
              </w:rPr>
              <w:t>Standard (30 questions)</w:t>
            </w:r>
          </w:p>
        </w:tc>
      </w:tr>
      <w:tr w:rsidR="00AF640A" w14:paraId="268198EE" w14:textId="77777777">
        <w:trPr>
          <w:jc w:val="center"/>
        </w:trPr>
        <w:tc>
          <w:tcPr>
            <w:tcW w:w="720" w:type="dxa"/>
          </w:tcPr>
          <w:p w14:paraId="309B32B8" w14:textId="77777777" w:rsidR="00AF640A" w:rsidRDefault="00000000" w:rsidP="00730809">
            <w:pPr>
              <w:jc w:val="center"/>
            </w:pPr>
            <w:r>
              <w:rPr>
                <w:sz w:val="19"/>
              </w:rPr>
              <w:t>3</w:t>
            </w:r>
          </w:p>
        </w:tc>
        <w:tc>
          <w:tcPr>
            <w:tcW w:w="1152" w:type="dxa"/>
          </w:tcPr>
          <w:p w14:paraId="4CF59928" w14:textId="77777777" w:rsidR="00AF640A" w:rsidRDefault="00000000" w:rsidP="00730809">
            <w:pPr>
              <w:jc w:val="center"/>
            </w:pPr>
            <w:r>
              <w:rPr>
                <w:sz w:val="19"/>
              </w:rPr>
              <w:t>Low</w:t>
            </w:r>
          </w:p>
        </w:tc>
        <w:tc>
          <w:tcPr>
            <w:tcW w:w="2736" w:type="dxa"/>
          </w:tcPr>
          <w:p w14:paraId="050164FB" w14:textId="77777777" w:rsidR="00AF640A" w:rsidRDefault="00000000" w:rsidP="00730809">
            <w:pPr>
              <w:jc w:val="center"/>
            </w:pPr>
            <w:r>
              <w:rPr>
                <w:sz w:val="19"/>
              </w:rPr>
              <w:t>No data access or anonymised/aggregated data only</w:t>
            </w:r>
          </w:p>
        </w:tc>
        <w:tc>
          <w:tcPr>
            <w:tcW w:w="2736" w:type="dxa"/>
          </w:tcPr>
          <w:p w14:paraId="218BB5AC" w14:textId="77777777" w:rsidR="00AF640A" w:rsidRDefault="00000000" w:rsidP="00730809">
            <w:pPr>
              <w:jc w:val="center"/>
            </w:pPr>
            <w:r>
              <w:rPr>
                <w:sz w:val="19"/>
              </w:rPr>
              <w:t>Outage has minimal customer-facing impact</w:t>
            </w:r>
          </w:p>
        </w:tc>
        <w:tc>
          <w:tcPr>
            <w:tcW w:w="1872" w:type="dxa"/>
          </w:tcPr>
          <w:p w14:paraId="07C53BB7" w14:textId="77777777" w:rsidR="00AF640A" w:rsidRDefault="00000000" w:rsidP="00730809">
            <w:pPr>
              <w:jc w:val="center"/>
            </w:pPr>
            <w:r>
              <w:rPr>
                <w:sz w:val="19"/>
              </w:rPr>
              <w:t>Every 2 years</w:t>
            </w:r>
          </w:p>
        </w:tc>
        <w:tc>
          <w:tcPr>
            <w:tcW w:w="1440" w:type="dxa"/>
          </w:tcPr>
          <w:p w14:paraId="34907FBF" w14:textId="77777777" w:rsidR="00AF640A" w:rsidRDefault="00000000" w:rsidP="00730809">
            <w:pPr>
              <w:jc w:val="center"/>
            </w:pPr>
            <w:r>
              <w:rPr>
                <w:sz w:val="19"/>
              </w:rPr>
              <w:t>Lightweight (15 questions)</w:t>
            </w:r>
          </w:p>
        </w:tc>
      </w:tr>
    </w:tbl>
    <w:p w14:paraId="54D4B46E" w14:textId="77777777" w:rsidR="00AF640A" w:rsidRDefault="00AF640A"/>
    <w:p w14:paraId="7F1AD538" w14:textId="77777777" w:rsidR="00AF640A" w:rsidRDefault="00000000">
      <w:pPr>
        <w:pStyle w:val="Heading2"/>
      </w:pPr>
      <w:r>
        <w:t>Tiering Decision Tree</w:t>
      </w:r>
    </w:p>
    <w:p w14:paraId="4372CFD0" w14:textId="77777777" w:rsidR="00AF640A" w:rsidRDefault="00000000">
      <w:r>
        <w:t>Used by the analyst at vendor intake to assign a tier before any assessment begins:</w:t>
      </w:r>
    </w:p>
    <w:p w14:paraId="269B2BD1" w14:textId="77777777" w:rsidR="00AF640A" w:rsidRDefault="00000000">
      <w:r>
        <w:rPr>
          <w:rFonts w:ascii="Consolas" w:hAnsi="Consolas"/>
          <w:sz w:val="20"/>
        </w:rPr>
        <w:t>Q1: Does the vendor access, store, or process customer PII or payment data?</w:t>
      </w:r>
    </w:p>
    <w:p w14:paraId="29ECAED1" w14:textId="77777777" w:rsidR="00AF640A" w:rsidRDefault="00000000">
      <w:r>
        <w:rPr>
          <w:rFonts w:ascii="Consolas" w:hAnsi="Consolas"/>
          <w:sz w:val="20"/>
        </w:rPr>
        <w:t xml:space="preserve">      YES → Tier 1</w:t>
      </w:r>
    </w:p>
    <w:p w14:paraId="77FB631C" w14:textId="77777777" w:rsidR="00AF640A" w:rsidRDefault="00000000">
      <w:r>
        <w:rPr>
          <w:rFonts w:ascii="Consolas" w:hAnsi="Consolas"/>
          <w:sz w:val="20"/>
        </w:rPr>
        <w:t xml:space="preserve">      NO  → Go to Q2</w:t>
      </w:r>
    </w:p>
    <w:p w14:paraId="02162B8D" w14:textId="77777777" w:rsidR="00AF640A" w:rsidRDefault="00000000">
      <w:r>
        <w:rPr>
          <w:rFonts w:ascii="Consolas" w:hAnsi="Consolas"/>
          <w:sz w:val="20"/>
        </w:rPr>
        <w:t>Q2: Would a vendor outage or breach directly impact StubHub’s ability to sell or deliver tickets?</w:t>
      </w:r>
    </w:p>
    <w:p w14:paraId="279175CC" w14:textId="77777777" w:rsidR="00AF640A" w:rsidRDefault="00000000">
      <w:r>
        <w:rPr>
          <w:rFonts w:ascii="Consolas" w:hAnsi="Consolas"/>
          <w:sz w:val="20"/>
        </w:rPr>
        <w:t xml:space="preserve">      YES → Tier 2</w:t>
      </w:r>
    </w:p>
    <w:p w14:paraId="1260E815" w14:textId="77777777" w:rsidR="00AF640A" w:rsidRDefault="00000000">
      <w:r>
        <w:rPr>
          <w:rFonts w:ascii="Consolas" w:hAnsi="Consolas"/>
          <w:sz w:val="20"/>
        </w:rPr>
        <w:t xml:space="preserve">      NO  → Go to Q3</w:t>
      </w:r>
    </w:p>
    <w:p w14:paraId="2AB4375C" w14:textId="77777777" w:rsidR="00AF640A" w:rsidRDefault="00000000">
      <w:r>
        <w:rPr>
          <w:rFonts w:ascii="Consolas" w:hAnsi="Consolas"/>
          <w:sz w:val="20"/>
        </w:rPr>
        <w:t>Q3: Does the vendor have any network access to StubHub systems or data, even indirectly?</w:t>
      </w:r>
    </w:p>
    <w:p w14:paraId="5EBC9412" w14:textId="77777777" w:rsidR="00AF640A" w:rsidRDefault="00000000">
      <w:r>
        <w:rPr>
          <w:rFonts w:ascii="Consolas" w:hAnsi="Consolas"/>
          <w:sz w:val="20"/>
        </w:rPr>
        <w:t xml:space="preserve">      YES → Tier 2</w:t>
      </w:r>
    </w:p>
    <w:p w14:paraId="0389539B" w14:textId="77777777" w:rsidR="00AF640A" w:rsidRDefault="00000000">
      <w:r>
        <w:rPr>
          <w:rFonts w:ascii="Consolas" w:hAnsi="Consolas"/>
          <w:sz w:val="20"/>
        </w:rPr>
        <w:t xml:space="preserve">      NO  → Tier 3</w:t>
      </w:r>
    </w:p>
    <w:p w14:paraId="46590559" w14:textId="77777777" w:rsidR="00AF640A" w:rsidRDefault="00AF640A"/>
    <w:p w14:paraId="602F0F55" w14:textId="77777777" w:rsidR="00AF640A" w:rsidRDefault="00000000">
      <w:pPr>
        <w:pStyle w:val="Heading1"/>
      </w:pPr>
      <w:r>
        <w:t>4. Vendor Security Scoring Methodology</w:t>
      </w:r>
    </w:p>
    <w:p w14:paraId="086C0E38" w14:textId="77777777" w:rsidR="00AF640A" w:rsidRDefault="00000000" w:rsidP="00730809">
      <w:pPr>
        <w:jc w:val="both"/>
      </w:pPr>
      <w:r>
        <w:t xml:space="preserve">Each questionnaire response is scored using a weighted model. Every question carries a Risk Weight (1–3) reflecting its security significance. Responses are converted to a Score Multiplier: Yes = 1.0, Partial = 0.5, No = 0.0, N/A = 1.0 (excluded from the denominator). The raw score </w:t>
      </w:r>
      <w:r>
        <w:lastRenderedPageBreak/>
        <w:t xml:space="preserve">per question equals Risk Weight × Score Multiplier. All raw scores are summed and divided by the maximum possible score, then multiplied by 100 to produce a Vendor Security Score out of 100. Full question banks and the scoring key are maintained in </w:t>
      </w:r>
      <w:r w:rsidRPr="00C479BE">
        <w:rPr>
          <w:b/>
          <w:bCs/>
        </w:rPr>
        <w:t>VRA-Questionnaire.xlsx</w:t>
      </w:r>
      <w:r>
        <w:t>.</w:t>
      </w:r>
    </w:p>
    <w:p w14:paraId="346A21C2" w14:textId="77777777" w:rsidR="00AF640A" w:rsidRDefault="00000000">
      <w:pPr>
        <w:pStyle w:val="Heading1"/>
      </w:pPr>
      <w:r>
        <w:t>5. Risk Acceptance and Escalation Criteria</w:t>
      </w:r>
    </w:p>
    <w:p w14:paraId="669DD7C8" w14:textId="77777777" w:rsidR="00AF640A" w:rsidRDefault="00000000" w:rsidP="00730809">
      <w:pPr>
        <w:jc w:val="both"/>
      </w:pPr>
      <w:r>
        <w:t>A numeric score is only useful if it drives a decision. The ratings below translate Vendor Security Scores into required actions for onboarding, ongoing management, and escalation.</w:t>
      </w:r>
    </w:p>
    <w:p w14:paraId="506BF85C" w14:textId="77777777" w:rsidR="00AF640A" w:rsidRDefault="00000000">
      <w:r>
        <w:rPr>
          <w:b/>
          <w:color w:val="C00000"/>
          <w:sz w:val="24"/>
        </w:rPr>
        <w:t>CRITICAL (Score 0–49)</w:t>
      </w:r>
    </w:p>
    <w:p w14:paraId="5923C00E" w14:textId="77777777" w:rsidR="00AF640A" w:rsidRDefault="00000000">
      <w:pPr>
        <w:pStyle w:val="ListBullet"/>
      </w:pPr>
      <w:r>
        <w:t>Cannot onboard vendor without CISO sign-off</w:t>
      </w:r>
    </w:p>
    <w:p w14:paraId="4B8BC2BC" w14:textId="77777777" w:rsidR="00AF640A" w:rsidRDefault="00000000">
      <w:pPr>
        <w:pStyle w:val="ListBullet"/>
      </w:pPr>
      <w:r>
        <w:t>Existing vendors must have a remediation plan within 30 days</w:t>
      </w:r>
    </w:p>
    <w:p w14:paraId="4BBA847B" w14:textId="77777777" w:rsidR="00AF640A" w:rsidRDefault="00000000">
      <w:pPr>
        <w:pStyle w:val="ListBullet"/>
      </w:pPr>
      <w:r>
        <w:t>Escalate to Legal and Procurement immediately</w:t>
      </w:r>
    </w:p>
    <w:p w14:paraId="4D7948E3" w14:textId="77777777" w:rsidR="00AF640A" w:rsidRDefault="00000000">
      <w:pPr>
        <w:pStyle w:val="ListBullet"/>
      </w:pPr>
      <w:r>
        <w:t>Re-assess within 90 days of remediation completion</w:t>
      </w:r>
    </w:p>
    <w:p w14:paraId="40EDFD03" w14:textId="77777777" w:rsidR="00AF640A" w:rsidRDefault="00AF640A"/>
    <w:p w14:paraId="0510400C" w14:textId="77777777" w:rsidR="00AF640A" w:rsidRDefault="00000000">
      <w:r>
        <w:rPr>
          <w:b/>
          <w:color w:val="E36C09"/>
          <w:sz w:val="24"/>
        </w:rPr>
        <w:t>HIGH (Score 50–69)</w:t>
      </w:r>
    </w:p>
    <w:p w14:paraId="5B75CBAC" w14:textId="77777777" w:rsidR="00AF640A" w:rsidRDefault="00000000">
      <w:pPr>
        <w:pStyle w:val="ListBullet"/>
      </w:pPr>
      <w:r>
        <w:t>Onboarding requires GRC Analyst sign-off and documented compensating controls</w:t>
      </w:r>
    </w:p>
    <w:p w14:paraId="511371FB" w14:textId="77777777" w:rsidR="00AF640A" w:rsidRDefault="00000000">
      <w:pPr>
        <w:pStyle w:val="ListBullet"/>
      </w:pPr>
      <w:r>
        <w:t>Existing vendors must remediate within 90 days</w:t>
      </w:r>
    </w:p>
    <w:p w14:paraId="7208849F" w14:textId="77777777" w:rsidR="00AF640A" w:rsidRDefault="00000000">
      <w:pPr>
        <w:pStyle w:val="ListBullet"/>
      </w:pPr>
      <w:r>
        <w:t>Monthly check-in with vendor on remediation progress</w:t>
      </w:r>
    </w:p>
    <w:p w14:paraId="4BD4AAD1" w14:textId="77777777" w:rsidR="00AF640A" w:rsidRDefault="00AF640A"/>
    <w:p w14:paraId="38A9F2B6" w14:textId="77777777" w:rsidR="00AF640A" w:rsidRDefault="00000000">
      <w:r>
        <w:rPr>
          <w:b/>
          <w:color w:val="BF9000"/>
          <w:sz w:val="24"/>
        </w:rPr>
        <w:t>MEDIUM (Score 70–84)</w:t>
      </w:r>
    </w:p>
    <w:p w14:paraId="6AD10156" w14:textId="77777777" w:rsidR="00AF640A" w:rsidRDefault="00000000">
      <w:pPr>
        <w:pStyle w:val="ListBullet"/>
      </w:pPr>
      <w:r>
        <w:t>Standard onboarding proceeds with documented findings</w:t>
      </w:r>
    </w:p>
    <w:p w14:paraId="6F2D3C8C" w14:textId="77777777" w:rsidR="00AF640A" w:rsidRDefault="00000000">
      <w:pPr>
        <w:pStyle w:val="ListBullet"/>
      </w:pPr>
      <w:r>
        <w:t>Remediation tracked in risk register, due within 180 days</w:t>
      </w:r>
    </w:p>
    <w:p w14:paraId="3578ADE3" w14:textId="77777777" w:rsidR="00AF640A" w:rsidRDefault="00000000">
      <w:pPr>
        <w:pStyle w:val="ListBullet"/>
      </w:pPr>
      <w:r>
        <w:t>Findings reviewed at next annual assessment</w:t>
      </w:r>
    </w:p>
    <w:p w14:paraId="71B3AE03" w14:textId="77777777" w:rsidR="00AF640A" w:rsidRDefault="00AF640A"/>
    <w:p w14:paraId="15278D0C" w14:textId="77777777" w:rsidR="00AF640A" w:rsidRDefault="00000000">
      <w:r>
        <w:rPr>
          <w:b/>
          <w:color w:val="375623"/>
          <w:sz w:val="24"/>
        </w:rPr>
        <w:t>LOW (Score 85–100)</w:t>
      </w:r>
    </w:p>
    <w:p w14:paraId="295AC4AD" w14:textId="77777777" w:rsidR="00AF640A" w:rsidRDefault="00000000">
      <w:pPr>
        <w:pStyle w:val="ListBullet"/>
      </w:pPr>
      <w:r>
        <w:t>Standard onboarding with no additional conditions</w:t>
      </w:r>
    </w:p>
    <w:p w14:paraId="1A37E6FC" w14:textId="77777777" w:rsidR="00AF640A" w:rsidRDefault="00000000">
      <w:pPr>
        <w:pStyle w:val="ListBullet"/>
      </w:pPr>
      <w:r>
        <w:t>Findings (if any) logged for awareness only</w:t>
      </w:r>
    </w:p>
    <w:p w14:paraId="6DA5059F" w14:textId="77777777" w:rsidR="00AF640A" w:rsidRDefault="00000000">
      <w:pPr>
        <w:pStyle w:val="ListBullet"/>
      </w:pPr>
      <w:r>
        <w:t>Next review per standard tiering schedule</w:t>
      </w:r>
    </w:p>
    <w:p w14:paraId="6ED587D0" w14:textId="77777777" w:rsidR="00AF640A" w:rsidRDefault="00AF640A"/>
    <w:p w14:paraId="0680AD42" w14:textId="77777777" w:rsidR="00730809" w:rsidRDefault="00730809"/>
    <w:p w14:paraId="10C83BB7" w14:textId="77777777" w:rsidR="00AF640A" w:rsidRDefault="00000000">
      <w:pPr>
        <w:pStyle w:val="Heading1"/>
      </w:pPr>
      <w:r>
        <w:lastRenderedPageBreak/>
        <w:t>6. Risk Acceptance Statement Template</w:t>
      </w:r>
    </w:p>
    <w:p w14:paraId="6FA28076" w14:textId="3FBF4D45" w:rsidR="00C037A8" w:rsidRPr="00C037A8" w:rsidRDefault="00000000" w:rsidP="00C037A8">
      <w:r>
        <w:t>When a business owner elects to proceed with a vendor despite known risk, the following</w:t>
      </w:r>
      <w:r w:rsidR="00C037A8">
        <w:t xml:space="preserve"> </w:t>
      </w:r>
      <w:r>
        <w:t>statement is completed, signed, and filed alongside the vendor's risk register entry.</w:t>
      </w:r>
      <w:r w:rsidR="00C037A8">
        <w:br/>
      </w:r>
      <w:r w:rsidR="00C037A8" w:rsidRPr="00C037A8">
        <w:br/>
      </w:r>
      <w:r w:rsidR="00C037A8" w:rsidRPr="00C037A8">
        <w:t>Vendor Name: ___________________</w:t>
      </w:r>
    </w:p>
    <w:p w14:paraId="482732BE" w14:textId="77777777" w:rsidR="00C037A8" w:rsidRPr="00C037A8" w:rsidRDefault="00C037A8" w:rsidP="00C037A8">
      <w:r w:rsidRPr="00C037A8">
        <w:t>Risk Rating: ___________________</w:t>
      </w:r>
    </w:p>
    <w:p w14:paraId="7E4110A5" w14:textId="4BEC461D" w:rsidR="00C037A8" w:rsidRPr="00C037A8" w:rsidRDefault="00C037A8" w:rsidP="00C037A8">
      <w:r w:rsidRPr="00C037A8">
        <w:t>Known Risks: ___________________</w:t>
      </w:r>
    </w:p>
    <w:p w14:paraId="5C056EF4" w14:textId="17E9BC51" w:rsidR="00C037A8" w:rsidRPr="00C037A8" w:rsidRDefault="00C037A8" w:rsidP="00C037A8">
      <w:r w:rsidRPr="00C037A8">
        <w:t>I, the undersigned, accept the residual risk associated with engaging</w:t>
      </w:r>
      <w:r>
        <w:t xml:space="preserve"> </w:t>
      </w:r>
      <w:r w:rsidRPr="00C037A8">
        <w:t>this vendor and confirm that compensating controls are in place as</w:t>
      </w:r>
      <w:r>
        <w:t xml:space="preserve"> </w:t>
      </w:r>
      <w:r w:rsidRPr="00C037A8">
        <w:t>documented in the risk register.</w:t>
      </w:r>
    </w:p>
    <w:p w14:paraId="28FA0152" w14:textId="77777777" w:rsidR="00C037A8" w:rsidRPr="00C037A8" w:rsidRDefault="00C037A8" w:rsidP="00C037A8">
      <w:r w:rsidRPr="00C037A8">
        <w:t>Business Owner Signature: ___________________</w:t>
      </w:r>
    </w:p>
    <w:p w14:paraId="1A116236" w14:textId="77777777" w:rsidR="00C037A8" w:rsidRPr="00C037A8" w:rsidRDefault="00C037A8" w:rsidP="00C037A8">
      <w:r w:rsidRPr="00C037A8">
        <w:t>Date: ___________________</w:t>
      </w:r>
    </w:p>
    <w:p w14:paraId="1A32AC2E" w14:textId="61C465FD" w:rsidR="00AF640A" w:rsidRDefault="00C037A8">
      <w:r w:rsidRPr="00C037A8">
        <w:t>GRC Analyst: ___________________</w:t>
      </w:r>
    </w:p>
    <w:p w14:paraId="25041B28" w14:textId="77777777" w:rsidR="00AF640A" w:rsidRDefault="00000000">
      <w:pPr>
        <w:rPr>
          <w:i/>
          <w:sz w:val="20"/>
        </w:rPr>
      </w:pPr>
      <w:r>
        <w:rPr>
          <w:i/>
          <w:sz w:val="20"/>
        </w:rPr>
        <w:t>By signing above, the Business Owner accepts the residual risk associated with engaging this vendor and confirms that compensating controls are in place as documented in the risk register.</w:t>
      </w:r>
    </w:p>
    <w:p w14:paraId="2C26FF55" w14:textId="77777777" w:rsidR="00730809" w:rsidRDefault="00730809"/>
    <w:p w14:paraId="78544E64" w14:textId="4915EF7C" w:rsidR="00AF640A" w:rsidRPr="00730809" w:rsidRDefault="00000000" w:rsidP="00730809">
      <w:pPr>
        <w:rPr>
          <w:rFonts w:ascii="Calibri" w:hAnsi="Calibri" w:cs="Calibri"/>
          <w:b/>
          <w:bCs/>
          <w:color w:val="17365D" w:themeColor="text2" w:themeShade="BF"/>
          <w:sz w:val="36"/>
          <w:szCs w:val="36"/>
        </w:rPr>
      </w:pPr>
      <w:r w:rsidRPr="00730809">
        <w:rPr>
          <w:rFonts w:ascii="Calibri" w:hAnsi="Calibri" w:cs="Calibri"/>
          <w:b/>
          <w:bCs/>
          <w:color w:val="17365D" w:themeColor="text2" w:themeShade="BF"/>
          <w:sz w:val="36"/>
          <w:szCs w:val="36"/>
        </w:rPr>
        <w:t>7. Governance and Roles</w:t>
      </w:r>
    </w:p>
    <w:tbl>
      <w:tblPr>
        <w:tblStyle w:val="TableGrid"/>
        <w:tblW w:w="0" w:type="auto"/>
        <w:jc w:val="center"/>
        <w:tblLook w:val="04A0" w:firstRow="1" w:lastRow="0" w:firstColumn="1" w:lastColumn="0" w:noHBand="0" w:noVBand="1"/>
      </w:tblPr>
      <w:tblGrid>
        <w:gridCol w:w="2165"/>
        <w:gridCol w:w="7411"/>
      </w:tblGrid>
      <w:tr w:rsidR="00AF640A" w14:paraId="56BF139C" w14:textId="77777777">
        <w:trPr>
          <w:jc w:val="center"/>
        </w:trPr>
        <w:tc>
          <w:tcPr>
            <w:tcW w:w="2304" w:type="dxa"/>
            <w:shd w:val="clear" w:color="auto" w:fill="1F3A5F"/>
          </w:tcPr>
          <w:p w14:paraId="55504365" w14:textId="77777777" w:rsidR="00AF640A" w:rsidRDefault="00000000" w:rsidP="00532A4F">
            <w:pPr>
              <w:jc w:val="center"/>
            </w:pPr>
            <w:r>
              <w:rPr>
                <w:b/>
                <w:color w:val="FFFFFF"/>
                <w:sz w:val="20"/>
              </w:rPr>
              <w:t>Role</w:t>
            </w:r>
          </w:p>
        </w:tc>
        <w:tc>
          <w:tcPr>
            <w:tcW w:w="8352" w:type="dxa"/>
            <w:shd w:val="clear" w:color="auto" w:fill="1F3A5F"/>
          </w:tcPr>
          <w:p w14:paraId="03365748" w14:textId="77777777" w:rsidR="00AF640A" w:rsidRDefault="00000000" w:rsidP="00532A4F">
            <w:pPr>
              <w:jc w:val="center"/>
            </w:pPr>
            <w:r>
              <w:rPr>
                <w:b/>
                <w:color w:val="FFFFFF"/>
                <w:sz w:val="20"/>
              </w:rPr>
              <w:t>Responsibility</w:t>
            </w:r>
          </w:p>
        </w:tc>
      </w:tr>
      <w:tr w:rsidR="00AF640A" w14:paraId="5F26C18D" w14:textId="77777777">
        <w:trPr>
          <w:jc w:val="center"/>
        </w:trPr>
        <w:tc>
          <w:tcPr>
            <w:tcW w:w="2304" w:type="dxa"/>
          </w:tcPr>
          <w:p w14:paraId="7B603930" w14:textId="77777777" w:rsidR="00AF640A" w:rsidRDefault="00000000" w:rsidP="00532A4F">
            <w:pPr>
              <w:jc w:val="center"/>
            </w:pPr>
            <w:r>
              <w:rPr>
                <w:sz w:val="19"/>
              </w:rPr>
              <w:t>GRC Analyst</w:t>
            </w:r>
          </w:p>
        </w:tc>
        <w:tc>
          <w:tcPr>
            <w:tcW w:w="8352" w:type="dxa"/>
          </w:tcPr>
          <w:p w14:paraId="357EDE66" w14:textId="77777777" w:rsidR="00AF640A" w:rsidRDefault="00000000">
            <w:r>
              <w:rPr>
                <w:sz w:val="19"/>
              </w:rPr>
              <w:t>Owns the vendor risk lifecycle end to end: tiering, questionnaire distribution, scoring, risk register maintenance, and escalation.</w:t>
            </w:r>
          </w:p>
        </w:tc>
      </w:tr>
      <w:tr w:rsidR="00AF640A" w14:paraId="0C6A5C48" w14:textId="77777777">
        <w:trPr>
          <w:jc w:val="center"/>
        </w:trPr>
        <w:tc>
          <w:tcPr>
            <w:tcW w:w="2304" w:type="dxa"/>
          </w:tcPr>
          <w:p w14:paraId="6CDC1789" w14:textId="77777777" w:rsidR="00AF640A" w:rsidRDefault="00000000" w:rsidP="00532A4F">
            <w:pPr>
              <w:jc w:val="center"/>
            </w:pPr>
            <w:r>
              <w:rPr>
                <w:sz w:val="19"/>
              </w:rPr>
              <w:t>CISO</w:t>
            </w:r>
          </w:p>
        </w:tc>
        <w:tc>
          <w:tcPr>
            <w:tcW w:w="8352" w:type="dxa"/>
          </w:tcPr>
          <w:p w14:paraId="527FD064" w14:textId="77777777" w:rsidR="00AF640A" w:rsidRDefault="00000000">
            <w:r>
              <w:rPr>
                <w:sz w:val="19"/>
              </w:rPr>
              <w:t>Approves onboarding of Critical (Tier 1) vendors and any vendor scoring in the Critical risk band.</w:t>
            </w:r>
          </w:p>
        </w:tc>
      </w:tr>
      <w:tr w:rsidR="00AF640A" w14:paraId="3A2A77AD" w14:textId="77777777">
        <w:trPr>
          <w:jc w:val="center"/>
        </w:trPr>
        <w:tc>
          <w:tcPr>
            <w:tcW w:w="2304" w:type="dxa"/>
          </w:tcPr>
          <w:p w14:paraId="6762E25D" w14:textId="77777777" w:rsidR="00AF640A" w:rsidRDefault="00000000" w:rsidP="00532A4F">
            <w:pPr>
              <w:jc w:val="center"/>
            </w:pPr>
            <w:r>
              <w:rPr>
                <w:sz w:val="19"/>
              </w:rPr>
              <w:t>Legal</w:t>
            </w:r>
          </w:p>
        </w:tc>
        <w:tc>
          <w:tcPr>
            <w:tcW w:w="8352" w:type="dxa"/>
          </w:tcPr>
          <w:p w14:paraId="5792EA11" w14:textId="77777777" w:rsidR="00AF640A" w:rsidRDefault="00000000">
            <w:r>
              <w:rPr>
                <w:sz w:val="19"/>
              </w:rPr>
              <w:t>Reviews contractual risk transfer language (indemnification, breach notification, right-to-audit) for Tier 1 and Tier 2 vendors.</w:t>
            </w:r>
          </w:p>
        </w:tc>
      </w:tr>
      <w:tr w:rsidR="00AF640A" w14:paraId="36DDDE0F" w14:textId="77777777">
        <w:trPr>
          <w:jc w:val="center"/>
        </w:trPr>
        <w:tc>
          <w:tcPr>
            <w:tcW w:w="2304" w:type="dxa"/>
          </w:tcPr>
          <w:p w14:paraId="0A3DF819" w14:textId="77777777" w:rsidR="00AF640A" w:rsidRDefault="00000000" w:rsidP="00532A4F">
            <w:pPr>
              <w:jc w:val="center"/>
            </w:pPr>
            <w:r>
              <w:rPr>
                <w:sz w:val="19"/>
              </w:rPr>
              <w:t>Procurement</w:t>
            </w:r>
          </w:p>
        </w:tc>
        <w:tc>
          <w:tcPr>
            <w:tcW w:w="8352" w:type="dxa"/>
          </w:tcPr>
          <w:p w14:paraId="06639F2B" w14:textId="77777777" w:rsidR="00AF640A" w:rsidRDefault="00000000">
            <w:r>
              <w:rPr>
                <w:sz w:val="19"/>
              </w:rPr>
              <w:t>Ensures vendor risk assessment is completed before contract execution; enforces re-assessment triggers at renewal.</w:t>
            </w:r>
          </w:p>
        </w:tc>
      </w:tr>
      <w:tr w:rsidR="00AF640A" w14:paraId="047F50FF" w14:textId="77777777">
        <w:trPr>
          <w:jc w:val="center"/>
        </w:trPr>
        <w:tc>
          <w:tcPr>
            <w:tcW w:w="2304" w:type="dxa"/>
          </w:tcPr>
          <w:p w14:paraId="789CAA15" w14:textId="77777777" w:rsidR="00AF640A" w:rsidRDefault="00000000" w:rsidP="00532A4F">
            <w:pPr>
              <w:jc w:val="center"/>
            </w:pPr>
            <w:r>
              <w:rPr>
                <w:sz w:val="19"/>
              </w:rPr>
              <w:t>Engineering</w:t>
            </w:r>
          </w:p>
        </w:tc>
        <w:tc>
          <w:tcPr>
            <w:tcW w:w="8352" w:type="dxa"/>
          </w:tcPr>
          <w:p w14:paraId="2D35D028" w14:textId="77777777" w:rsidR="00AF640A" w:rsidRDefault="00000000">
            <w:r>
              <w:rPr>
                <w:sz w:val="19"/>
              </w:rPr>
              <w:t>Provides technical input on integration risk and validates vendor security controls where system access is granted.</w:t>
            </w:r>
          </w:p>
        </w:tc>
      </w:tr>
      <w:tr w:rsidR="00AF640A" w14:paraId="6B7FBE31" w14:textId="77777777">
        <w:trPr>
          <w:jc w:val="center"/>
        </w:trPr>
        <w:tc>
          <w:tcPr>
            <w:tcW w:w="2304" w:type="dxa"/>
          </w:tcPr>
          <w:p w14:paraId="2352FE89" w14:textId="77777777" w:rsidR="00AF640A" w:rsidRDefault="00000000" w:rsidP="00532A4F">
            <w:pPr>
              <w:jc w:val="center"/>
            </w:pPr>
            <w:r>
              <w:rPr>
                <w:sz w:val="19"/>
              </w:rPr>
              <w:t>Business Owner</w:t>
            </w:r>
          </w:p>
        </w:tc>
        <w:tc>
          <w:tcPr>
            <w:tcW w:w="8352" w:type="dxa"/>
          </w:tcPr>
          <w:p w14:paraId="41FB9494" w14:textId="77777777" w:rsidR="00AF640A" w:rsidRDefault="00000000">
            <w:r>
              <w:rPr>
                <w:sz w:val="19"/>
              </w:rPr>
              <w:t>Signs Risk Acceptance Statements for vendors onboarded with open findings and owns remediation follow-through.</w:t>
            </w:r>
          </w:p>
        </w:tc>
      </w:tr>
    </w:tbl>
    <w:p w14:paraId="1EB04222" w14:textId="77777777" w:rsidR="00AF640A" w:rsidRDefault="00AF640A"/>
    <w:p w14:paraId="6AE5CE38" w14:textId="77777777" w:rsidR="00AF640A" w:rsidRDefault="00000000">
      <w:pPr>
        <w:pStyle w:val="Heading1"/>
      </w:pPr>
      <w:r>
        <w:t>8. Review and Maintenance</w:t>
      </w:r>
    </w:p>
    <w:p w14:paraId="0D251935" w14:textId="77777777" w:rsidR="00AF640A" w:rsidRDefault="00000000" w:rsidP="00205397">
      <w:pPr>
        <w:jc w:val="both"/>
      </w:pPr>
      <w:r>
        <w:t>This framework is reviewed annually by the GRC function, or immediately following a material vendor-related incident, a change in applicable regulation (e.g., PCI DSS revision, new state privacy law), or a significant shift in StubHub's vendor risk environment. Updates are version-controlled and communicated to Legal, Procurement, and Engineering stakeholders.</w:t>
      </w:r>
    </w:p>
    <w:sectPr w:rsidR="00AF640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619906">
    <w:abstractNumId w:val="8"/>
  </w:num>
  <w:num w:numId="2" w16cid:durableId="1729912565">
    <w:abstractNumId w:val="6"/>
  </w:num>
  <w:num w:numId="3" w16cid:durableId="1833794232">
    <w:abstractNumId w:val="5"/>
  </w:num>
  <w:num w:numId="4" w16cid:durableId="1683823403">
    <w:abstractNumId w:val="4"/>
  </w:num>
  <w:num w:numId="5" w16cid:durableId="264072880">
    <w:abstractNumId w:val="7"/>
  </w:num>
  <w:num w:numId="6" w16cid:durableId="1648048481">
    <w:abstractNumId w:val="3"/>
  </w:num>
  <w:num w:numId="7" w16cid:durableId="2121869638">
    <w:abstractNumId w:val="2"/>
  </w:num>
  <w:num w:numId="8" w16cid:durableId="1501693956">
    <w:abstractNumId w:val="1"/>
  </w:num>
  <w:num w:numId="9" w16cid:durableId="7637233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397"/>
    <w:rsid w:val="0029639D"/>
    <w:rsid w:val="00326F90"/>
    <w:rsid w:val="00532A4F"/>
    <w:rsid w:val="00680F17"/>
    <w:rsid w:val="00730809"/>
    <w:rsid w:val="00AA1D8D"/>
    <w:rsid w:val="00AF640A"/>
    <w:rsid w:val="00B47730"/>
    <w:rsid w:val="00C037A8"/>
    <w:rsid w:val="00C479BE"/>
    <w:rsid w:val="00CB0664"/>
    <w:rsid w:val="00F055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10FCC"/>
  <w14:defaultImageDpi w14:val="300"/>
  <w15:docId w15:val="{3D4AB3D0-0D53-5449-AD36-EABA47B0E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C0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37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C037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1004</Words>
  <Characters>6055</Characters>
  <Application>Microsoft Office Word</Application>
  <DocSecurity>0</DocSecurity>
  <Lines>201</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meghna suresh</cp:lastModifiedBy>
  <cp:revision>7</cp:revision>
  <dcterms:created xsi:type="dcterms:W3CDTF">2013-12-23T23:15:00Z</dcterms:created>
  <dcterms:modified xsi:type="dcterms:W3CDTF">2026-07-05T05:05:00Z</dcterms:modified>
  <cp:category/>
</cp:coreProperties>
</file>