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Xidmətlərin göstərilməsi müqaviləsi</w:t>
      </w:r>
    </w:p>
    <w:p>
      <w:pPr>
        <w:jc w:val="center"/>
      </w:pPr>
      <w:r>
        <w:rPr>
          <w:sz w:val="18"/>
        </w:rPr>
        <w:t>NOVA QLOBAL MMC  |  Korporativ sənəd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Müqavilə</w:t>
            </w:r>
          </w:p>
        </w:tc>
        <w:tc>
          <w:tcPr>
            <w:tcW w:type="dxa" w:w="4968"/>
          </w:tcPr>
          <w:p>
            <w:r>
              <w:t>XM-27/2026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Tarix</w:t>
            </w:r>
          </w:p>
        </w:tc>
        <w:tc>
          <w:tcPr>
            <w:tcW w:type="dxa" w:w="4968"/>
          </w:tcPr>
          <w:p>
            <w:r>
              <w:t>25.08.2026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Sifarişçi</w:t>
            </w:r>
          </w:p>
        </w:tc>
        <w:tc>
          <w:tcPr>
            <w:tcW w:type="dxa" w:w="4968"/>
          </w:tcPr>
          <w:p>
            <w:r>
              <w:t>NOVA QLOBAL MMC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İcraçı</w:t>
            </w:r>
          </w:p>
        </w:tc>
        <w:tc>
          <w:tcPr>
            <w:tcW w:type="dxa" w:w="4968"/>
          </w:tcPr>
          <w:p>
            <w:r>
              <w:t>Rəqəmsal Dəstək MMC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Müddət</w:t>
            </w:r>
          </w:p>
        </w:tc>
        <w:tc>
          <w:tcPr>
            <w:tcW w:type="dxa" w:w="4968"/>
          </w:tcPr>
          <w:p>
            <w:r>
              <w:t>01.09.2026–31.08.2027</w:t>
            </w:r>
          </w:p>
        </w:tc>
      </w:tr>
    </w:tbl>
    <w:p/>
    <w:p>
      <w:pPr>
        <w:pStyle w:val="Heading1"/>
      </w:pPr>
      <w:r>
        <w:t>1. Müqavilənin predmeti</w:t>
      </w:r>
    </w:p>
    <w:p>
      <w:r>
        <w:t>İcraçı Sifarişçinin ofis şəbəkəsi, istifadəçi iş stansiyaları və əsas sistemlərin texniki dəstəyini göstərir. Xidmətlər iş saatlarında operativ dəstək və kritik hadisələr üçün növbətçi əlaqə mexanizmini əhatə edir.</w:t>
      </w:r>
    </w:p>
    <w:p>
      <w:pPr>
        <w:pStyle w:val="Heading1"/>
      </w:pPr>
      <w:r>
        <w:t>2. Xidmət səviyyəsi</w:t>
      </w:r>
    </w:p>
    <w:p>
      <w:r>
        <w:t>Kritik hadisələr üçün ilkin cavab müddəti 30 dəqiqə, yüksək prioritetli hadisələr üçün 2 saat, standart müraciətlər üçün 1 iş günü təşkil edir. Hadisələrin qeydiyyatı elektron xidmət masası vasitəsilə aparılır.</w:t>
      </w:r>
    </w:p>
    <w:p>
      <w:pPr>
        <w:pStyle w:val="Heading1"/>
      </w:pPr>
      <w:r>
        <w:t>3. Ödəniş və hesablaşma</w:t>
      </w:r>
    </w:p>
    <w:p>
      <w:r>
        <w:t>Aylıq xidmət haqqı 7 800 AZN-dir. Əlavə işlər yalnız yazılı təsdiqdən sonra icra edilir. Hesab-faktura ayın son iş günündə təqdim olunur və 10 iş günü ərzində ödənilir.</w:t>
      </w:r>
    </w:p>
    <w:p>
      <w:pPr>
        <w:pStyle w:val="Heading1"/>
      </w:pPr>
      <w:r>
        <w:t>4. Məxfilik və məsuliyyət</w:t>
      </w:r>
    </w:p>
    <w:p>
      <w:r>
        <w:t>Tərəflər xidmət zamanı əldə etdikləri kommersiya məlumatlarını məxfi saxlamalıdır. İcraçı yalnız müqavilə predmetinin icrası üçün zəruri sistemlərə giriş əldə edə bilər.</w:t>
      </w:r>
    </w:p>
    <w:p>
      <w:pPr>
        <w:pStyle w:val="Heading1"/>
      </w:pPr>
      <w:r>
        <w:t>5. Müddət və xitam</w:t>
      </w:r>
    </w:p>
    <w:p>
      <w:r>
        <w:t>Müqavilə 12 ay qüvvədədir. Tərəflərdən hər biri ən azı 30 təqvim günü əvvəl yazılı bildiriş verməklə müqavilənin vaxtından əvvəl xitamını tələb edə bilər.</w:t>
      </w:r>
    </w:p>
    <w:p>
      <w:pPr>
        <w:pStyle w:val="Heading1"/>
      </w:pPr>
      <w:r>
        <w:t>6. İmzalar</w:t>
      </w:r>
    </w:p>
    <w:p>
      <w:r>
        <w:t>Sifarişçi: __________________  Tarix: __________</w:t>
        <w:br/>
        <w:t>İcraçı: _____________________  Tarix: __________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