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Direktorlar Şurasının Qərarı</w:t>
      </w:r>
    </w:p>
    <w:p>
      <w:pPr>
        <w:jc w:val="center"/>
      </w:pPr>
      <w:r>
        <w:rPr>
          <w:sz w:val="18"/>
        </w:rPr>
        <w:t>NOVA QLOBAL MMC  |  Korporativ sənəd</w:t>
      </w:r>
    </w:p>
    <w:tbl>
      <w:tblPr>
        <w:tblStyle w:val="TableGrid"/>
        <w:tblW w:type="auto" w:w="0"/>
        <w:tblLook w:firstColumn="1" w:firstRow="1" w:lastColumn="0" w:lastRow="0" w:noHBand="0" w:noVBand="1" w:val="04A0"/>
      </w:tblPr>
      <w:tblGrid>
        <w:gridCol w:w="4968"/>
        <w:gridCol w:w="4968"/>
      </w:tblGrid>
      <w:tr>
        <w:tc>
          <w:tcPr>
            <w:tcW w:type="dxa" w:w="4968"/>
          </w:tcPr>
          <w:p>
            <w:r>
              <w:rPr>
                <w:b/>
              </w:rPr>
              <w:t>Qərar nömrəsi</w:t>
            </w:r>
          </w:p>
        </w:tc>
        <w:tc>
          <w:tcPr>
            <w:tcW w:type="dxa" w:w="4968"/>
          </w:tcPr>
          <w:p>
            <w:r>
              <w:t>Q-18/2026</w:t>
            </w:r>
          </w:p>
        </w:tc>
      </w:tr>
      <w:tr>
        <w:tc>
          <w:tcPr>
            <w:tcW w:type="dxa" w:w="4968"/>
          </w:tcPr>
          <w:p>
            <w:r>
              <w:rPr>
                <w:b/>
              </w:rPr>
              <w:t>Tarix</w:t>
            </w:r>
          </w:p>
        </w:tc>
        <w:tc>
          <w:tcPr>
            <w:tcW w:type="dxa" w:w="4968"/>
          </w:tcPr>
          <w:p>
            <w:r>
              <w:t>25.08.2026</w:t>
            </w:r>
          </w:p>
        </w:tc>
      </w:tr>
      <w:tr>
        <w:tc>
          <w:tcPr>
            <w:tcW w:type="dxa" w:w="4968"/>
          </w:tcPr>
          <w:p>
            <w:r>
              <w:rPr>
                <w:b/>
              </w:rPr>
              <w:t>İclas yeri</w:t>
            </w:r>
          </w:p>
        </w:tc>
        <w:tc>
          <w:tcPr>
            <w:tcW w:type="dxa" w:w="4968"/>
          </w:tcPr>
          <w:p>
            <w:r>
              <w:t>Bakı, Baş ofis</w:t>
            </w:r>
          </w:p>
        </w:tc>
      </w:tr>
      <w:tr>
        <w:tc>
          <w:tcPr>
            <w:tcW w:type="dxa" w:w="4968"/>
          </w:tcPr>
          <w:p>
            <w:r>
              <w:rPr>
                <w:b/>
              </w:rPr>
              <w:t>Sədr</w:t>
            </w:r>
          </w:p>
        </w:tc>
        <w:tc>
          <w:tcPr>
            <w:tcW w:type="dxa" w:w="4968"/>
          </w:tcPr>
          <w:p>
            <w:r>
              <w:t>Elvin Qasımov</w:t>
            </w:r>
          </w:p>
        </w:tc>
      </w:tr>
      <w:tr>
        <w:tc>
          <w:tcPr>
            <w:tcW w:type="dxa" w:w="4968"/>
          </w:tcPr>
          <w:p>
            <w:r>
              <w:rPr>
                <w:b/>
              </w:rPr>
              <w:t>Katib</w:t>
            </w:r>
          </w:p>
        </w:tc>
        <w:tc>
          <w:tcPr>
            <w:tcW w:type="dxa" w:w="4968"/>
          </w:tcPr>
          <w:p>
            <w:r>
              <w:t>Nigar Rəhimli</w:t>
            </w:r>
          </w:p>
        </w:tc>
      </w:tr>
    </w:tbl>
    <w:p/>
    <w:p>
      <w:pPr>
        <w:pStyle w:val="Heading1"/>
      </w:pPr>
      <w:r>
        <w:t>Gündəlik</w:t>
      </w:r>
    </w:p>
    <w:p>
      <w:r>
        <w:t>1. Yeni filialın açılması üzrə biznes əsaslandırması. 2. İlkin investisiya büdcəsi. 3. Əməliyyat məsuliyyətlərinin bölgüsü.</w:t>
      </w:r>
    </w:p>
    <w:p>
      <w:pPr>
        <w:pStyle w:val="Heading1"/>
      </w:pPr>
      <w:r>
        <w:t>Müzakirənin xülasəsi</w:t>
      </w:r>
    </w:p>
    <w:p>
      <w:r>
        <w:t>İdarə heyəti yeni xidmət nöqtəsinin şəhərin qərb hissəsində yerləşdirilməsinin logistika və müştəri əlçatanlığı baxımından məqsədəuyğun olduğunu qiymətləndirmişdir. Təqdim olunan maliyyə modelində ilkin investisiyanın 185 000 AZN, illik əməliyyat xərclərinin isə 96 000 AZN səviyyəsində olacağı göstərilmişdir.</w:t>
      </w:r>
    </w:p>
    <w:p>
      <w:pPr>
        <w:pStyle w:val="Heading1"/>
      </w:pPr>
      <w:r>
        <w:t>Qərarlar</w:t>
      </w:r>
    </w:p>
    <w:p>
      <w:r>
        <w:t>1. Filialın açılması prinsip etibarilə təsdiq edilsin. 2. İcarə və təmir xərcləri üçün 185 000 AZN-dək ilkin limit müəyyən edilsin. 3. Maliyyə və inzibati şöbələr 15.09.2026-dək yekun açılış planını təqdim etsin.</w:t>
      </w:r>
    </w:p>
    <w:p>
      <w:pPr>
        <w:pStyle w:val="Heading1"/>
      </w:pPr>
      <w:r>
        <w:t>Məsul şəxslər</w:t>
      </w:r>
    </w:p>
    <w:p>
      <w:r>
        <w:t>Maliyyə — Samir Əliyev; Əməliyyat — Günel Hüseynova; İT — Murad Cəfərov. Hər məsul şəxs öz iş paketinin icra statusunu həftəlik təqdim etməlidir.</w:t>
      </w:r>
    </w:p>
    <w:p>
      <w:pPr>
        <w:pStyle w:val="Heading1"/>
      </w:pPr>
      <w:r>
        <w:t>Növbəti addımlar</w:t>
      </w:r>
    </w:p>
    <w:p>
      <w:r>
        <w:t>İcarə müqaviləsinin hüquqi baxışdan keçirilməsi, təmir podratçılarından yekun təkliflərin alınması, avadanlıq siyahısının təsdiqi və açılış tarixinin müəyyənləşdirilməsi.</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