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游ゴシック" w:cs="游ゴシック" w:eastAsia="游ゴシック" w:hAnsi="游ゴシック"/>
          <w:b/>
          <w:bCs/>
          <w:sz w:val="32"/>
          <w:szCs w:val="32"/>
        </w:rPr>
        <w:t xml:space="preserve">革新ビジネスアワード2026</w:t>
      </w:r>
    </w:p>
    <w:p>
      <w:pPr>
        <w:spacing w:after="400"/>
        <w:jc w:val="center"/>
      </w:pPr>
      <w:r>
        <w:rPr>
          <w:rFonts w:ascii="游ゴシック" w:cs="游ゴシック" w:eastAsia="游ゴシック" w:hAnsi="游ゴシック"/>
          <w:color w:val="555555"/>
          <w:sz w:val="26"/>
          <w:szCs w:val="26"/>
        </w:rPr>
        <w:t xml:space="preserve">二次審査（Zoom）準備ノート</w:t>
      </w:r>
    </w:p>
    <w:p>
      <w:pPr>
        <w:pStyle w:val="Heading1"/>
        <w:pBdr>
          <w:bottom w:val="single" w:color="2E5395" w:sz="6" w:space="4"/>
        </w:pBdr>
        <w:spacing w:after="160" w:before="400"/>
      </w:pPr>
      <w:r>
        <w:rPr>
          <w:rFonts w:ascii="游ゴシック" w:cs="游ゴシック" w:eastAsia="游ゴシック" w:hAnsi="游ゴシック"/>
          <w:b/>
          <w:bCs/>
          <w:color w:val="2E5395"/>
          <w:sz w:val="28"/>
          <w:szCs w:val="28"/>
        </w:rPr>
        <w:t xml:space="preserve">0. 当日のための1分チートシート</w:t>
      </w:r>
    </w:p>
    <w:p>
      <w:pPr>
        <w:spacing w:after="60" w:before="160"/>
      </w:pPr>
      <w:r>
        <w:rPr>
          <w:rFonts w:ascii="游ゴシック" w:cs="游ゴシック" w:eastAsia="游ゴシック" w:hAnsi="游ゴシック"/>
          <w:b/>
          <w:bCs/>
          <w:color w:val="9C3B00"/>
          <w:sz w:val="22"/>
          <w:szCs w:val="22"/>
        </w:rPr>
        <w:t xml:space="preserve">一言で言うと？</w:t>
      </w:r>
    </w:p>
    <w:p>
      <w:pPr>
        <w:spacing w:after="120" w:line="330"/>
      </w:pPr>
      <w:r>
        <w:rPr>
          <w:rFonts w:ascii="游ゴシック" w:cs="游ゴシック" w:eastAsia="游ゴシック" w:hAnsi="游ゴシック"/>
          <w:sz w:val="21"/>
          <w:szCs w:val="21"/>
        </w:rPr>
        <w:t xml:space="preserve">「相続・終活を『財産』の話から『心置きなく生ききる人生』の準備へと再定義し、その入口となる『繋ぐノート』と、異業種の誰もが使える資格『繋ぐノートサポートアドバイザー®』を通じて、全国50事業所・8年かけて実証してきた『生きる準備』のインフラを、今まさに企業・行政・教育へと広げている段階です。」</w:t>
      </w:r>
    </w:p>
    <w:p>
      <w:pPr>
        <w:spacing w:after="60" w:before="160"/>
      </w:pPr>
      <w:r>
        <w:rPr>
          <w:rFonts w:ascii="游ゴシック" w:cs="游ゴシック" w:eastAsia="游ゴシック" w:hAnsi="游ゴシック"/>
          <w:b/>
          <w:bCs/>
          <w:color w:val="9C3B00"/>
          <w:sz w:val="22"/>
          <w:szCs w:val="22"/>
        </w:rPr>
        <w:t xml:space="preserve">数字で言うと？</w:t>
      </w:r>
    </w:p>
    <w:p>
      <w:pPr>
        <w:spacing w:after="60" w:line="320"/>
        <w:ind w:left="360"/>
      </w:pPr>
      <w:r>
        <w:rPr>
          <w:rFonts w:ascii="游ゴシック" w:cs="游ゴシック" w:eastAsia="游ゴシック" w:hAnsi="游ゴシック"/>
          <w:sz w:val="21"/>
          <w:szCs w:val="21"/>
        </w:rPr>
        <w:t xml:space="preserve">・創業から8年、全国50事業所（のれん分け型FCではなく思想承継で拡大）</w:t>
      </w:r>
    </w:p>
    <w:p>
      <w:pPr>
        <w:spacing w:after="60" w:line="320"/>
        <w:ind w:left="360"/>
      </w:pPr>
      <w:r>
        <w:rPr>
          <w:rFonts w:ascii="游ゴシック" w:cs="游ゴシック" w:eastAsia="游ゴシック" w:hAnsi="游ゴシック"/>
          <w:sz w:val="21"/>
          <w:szCs w:val="21"/>
        </w:rPr>
        <w:t xml:space="preserve">・人生会議（ACP）の認知度：「知らない」72.1%（厚労省 令和4年度調査）</w:t>
      </w:r>
    </w:p>
    <w:p>
      <w:pPr>
        <w:spacing w:after="60" w:line="320"/>
        <w:ind w:left="360"/>
      </w:pPr>
      <w:r>
        <w:rPr>
          <w:rFonts w:ascii="游ゴシック" w:cs="游ゴシック" w:eastAsia="游ゴシック" w:hAnsi="游ゴシック"/>
          <w:sz w:val="21"/>
          <w:szCs w:val="21"/>
        </w:rPr>
        <w:t xml:space="preserve">・売上規模：単体5,000万円、FC全体の繋ぐ相続関連で2億円規模、繋ぐグループ全体で3億円規模</w:t>
      </w:r>
    </w:p>
    <w:p>
      <w:pPr>
        <w:spacing w:after="60" w:line="320"/>
        <w:ind w:left="360"/>
      </w:pPr>
      <w:r>
        <w:rPr>
          <w:rFonts w:ascii="游ゴシック" w:cs="游ゴシック" w:eastAsia="游ゴシック" w:hAnsi="游ゴシック"/>
          <w:sz w:val="21"/>
          <w:szCs w:val="21"/>
        </w:rPr>
        <w:t xml:space="preserve">・人生の最終段階の医療・ケアについて家族と「話し合ったことがない」約7割（厚労省調査）※要確認</w:t>
      </w:r>
    </w:p>
    <w:p>
      <w:pPr>
        <w:spacing w:after="60" w:line="320"/>
        <w:ind w:left="360"/>
      </w:pPr>
      <w:r>
        <w:rPr>
          <w:rFonts w:ascii="游ゴシック" w:cs="游ゴシック" w:eastAsia="游ゴシック" w:hAnsi="游ゴシック"/>
          <w:sz w:val="21"/>
          <w:szCs w:val="21"/>
        </w:rPr>
        <w:t xml:space="preserve">・企業導入で介護離職30%減、導入病院でACP実施率80%超、地域セミナー3年で延べ500名以上</w:t>
      </w:r>
    </w:p>
    <w:p>
      <w:pPr>
        <w:spacing w:after="60" w:line="320"/>
        <w:ind w:left="360"/>
      </w:pPr>
      <w:r>
        <w:rPr>
          <w:rFonts w:ascii="游ゴシック" w:cs="游ゴシック" w:eastAsia="游ゴシック" w:hAnsi="游ゴシック"/>
          <w:sz w:val="21"/>
          <w:szCs w:val="21"/>
        </w:rPr>
        <w:t xml:space="preserve">・3年後の目標：FC100事業所（過去8年＝実証フェーズ、今後3年＝拡大フェーズ）</w:t>
      </w:r>
    </w:p>
    <w:p>
      <w:pPr>
        <w:spacing w:after="60" w:before="160"/>
      </w:pPr>
      <w:r>
        <w:rPr>
          <w:rFonts w:ascii="游ゴシック" w:cs="游ゴシック" w:eastAsia="游ゴシック" w:hAnsi="游ゴシック"/>
          <w:b/>
          <w:bCs/>
          <w:color w:val="9C3B00"/>
          <w:sz w:val="22"/>
          <w:szCs w:val="22"/>
        </w:rPr>
        <w:t xml:space="preserve">聞かれたら一番言いたい一言（決め台詞）</w:t>
      </w:r>
    </w:p>
    <w:p>
      <w:pPr>
        <w:spacing w:after="120" w:line="330"/>
      </w:pPr>
      <w:r>
        <w:rPr>
          <w:rFonts w:ascii="游ゴシック" w:cs="游ゴシック" w:eastAsia="游ゴシック" w:hAnsi="游ゴシック"/>
          <w:sz w:val="21"/>
          <w:szCs w:val="21"/>
        </w:rPr>
        <w:t xml:space="preserve">「相続は“終わり”の手続きではなく、“心置きなく生ききる”ための準備だと考えています。」</w:t>
      </w:r>
    </w:p>
    <w:p>
      <w:pPr>
        <w:spacing w:after="60" w:before="160"/>
      </w:pPr>
      <w:r>
        <w:rPr>
          <w:rFonts w:ascii="游ゴシック" w:cs="游ゴシック" w:eastAsia="游ゴシック" w:hAnsi="游ゴシック"/>
          <w:b/>
          <w:bCs/>
          <w:color w:val="9C3B00"/>
          <w:sz w:val="22"/>
          <w:szCs w:val="22"/>
        </w:rPr>
        <w:t xml:space="preserve">もう一つの決め台詞（経営思想）</w:t>
      </w:r>
    </w:p>
    <w:p>
      <w:pPr>
        <w:spacing w:after="120" w:line="330"/>
      </w:pPr>
      <w:r>
        <w:rPr>
          <w:rFonts w:ascii="游ゴシック" w:cs="游ゴシック" w:eastAsia="游ゴシック" w:hAnsi="游ゴシック"/>
          <w:sz w:val="21"/>
          <w:szCs w:val="21"/>
        </w:rPr>
        <w:t xml:space="preserve">「私たちが目指すのは、金融・士業・福祉など、すべての業種との“競争”ではなく“共存”です。繋ぐグループは、専門家の仕事を奪うのではなく、『生きる準備』の入口を開き、必要な専門家へ橋渡しする結節点でありたいと考えています。」</w:t>
      </w:r>
    </w:p>
    <w:p>
      <w:pPr>
        <w:pStyle w:val="Heading1"/>
        <w:pBdr>
          <w:bottom w:val="single" w:color="2E5395" w:sz="6" w:space="4"/>
        </w:pBdr>
        <w:spacing w:after="160" w:before="400"/>
      </w:pPr>
      <w:r>
        <w:rPr>
          <w:rFonts w:ascii="游ゴシック" w:cs="游ゴシック" w:eastAsia="游ゴシック" w:hAnsi="游ゴシック"/>
          <w:b/>
          <w:bCs/>
          <w:color w:val="2E5395"/>
          <w:sz w:val="28"/>
          <w:szCs w:val="28"/>
        </w:rPr>
        <w:t xml:space="preserve">1. 想定問答（カテゴリ別）</w:t>
      </w:r>
    </w:p>
    <w:p>
      <w:pPr>
        <w:pStyle w:val="Heading2"/>
        <w:spacing w:after="120" w:before="280"/>
      </w:pPr>
      <w:r>
        <w:rPr>
          <w:rFonts w:ascii="游ゴシック" w:cs="游ゴシック" w:eastAsia="游ゴシック" w:hAnsi="游ゴシック"/>
          <w:b/>
          <w:bCs/>
          <w:color w:val="444444"/>
          <w:sz w:val="24"/>
          <w:szCs w:val="24"/>
        </w:rPr>
        <w:t xml:space="preserve">A. ビジネスモデル・収益性 ― 一番突っ込まれる点</w:t>
      </w:r>
    </w:p>
    <w:p>
      <w:pPr>
        <w:spacing w:after="60" w:before="160"/>
      </w:pPr>
      <w:r>
        <w:rPr>
          <w:rFonts w:ascii="游ゴシック" w:cs="游ゴシック" w:eastAsia="游ゴシック" w:hAnsi="游ゴシック"/>
          <w:b/>
          <w:bCs/>
          <w:color w:val="9C3B00"/>
          <w:sz w:val="22"/>
          <w:szCs w:val="22"/>
        </w:rPr>
        <w:t xml:space="preserve">Q1. 「商品を一切持たない」とありますが、では何で収益を上げているのですか？</w:t>
      </w:r>
    </w:p>
    <w:p>
      <w:pPr>
        <w:spacing w:after="120" w:line="330"/>
      </w:pPr>
      <w:r>
        <w:rPr>
          <w:rFonts w:ascii="游ゴシック" w:cs="游ゴシック" w:eastAsia="游ゴシック" w:hAnsi="游ゴシック"/>
          <w:sz w:val="21"/>
          <w:szCs w:val="21"/>
        </w:rPr>
        <w:t xml:space="preserve">「商品を一切持たない」は「金融商品を売ることを収益源にしない」という意味だと思われますが、このままでは“無償の団体”に読めてしまい評価上マイナスです。収益源を具体的に：</w:t>
      </w:r>
    </w:p>
    <w:p>
      <w:pPr>
        <w:spacing w:after="60" w:line="320"/>
        <w:ind w:left="360"/>
      </w:pPr>
      <w:r>
        <w:rPr>
          <w:rFonts w:ascii="游ゴシック" w:cs="游ゴシック" w:eastAsia="游ゴシック" w:hAnsi="游ゴシック"/>
          <w:sz w:val="21"/>
          <w:szCs w:val="21"/>
        </w:rPr>
        <w:t xml:space="preserve">・相続コンサルティング・遺産整理業務の報酬（実務代行の対価）</w:t>
      </w:r>
    </w:p>
    <w:p>
      <w:pPr>
        <w:spacing w:after="60" w:line="320"/>
        <w:ind w:left="360"/>
      </w:pPr>
      <w:r>
        <w:rPr>
          <w:rFonts w:ascii="游ゴシック" w:cs="游ゴシック" w:eastAsia="游ゴシック" w:hAnsi="游ゴシック"/>
          <w:sz w:val="21"/>
          <w:szCs w:val="21"/>
        </w:rPr>
        <w:t xml:space="preserve">・「繋ぐノートサポートアドバイザー®」資格認定講座の受講料</w:t>
      </w:r>
    </w:p>
    <w:p>
      <w:pPr>
        <w:spacing w:after="60" w:line="320"/>
        <w:ind w:left="360"/>
      </w:pPr>
      <w:r>
        <w:rPr>
          <w:rFonts w:ascii="游ゴシック" w:cs="游ゴシック" w:eastAsia="游ゴシック" w:hAnsi="游ゴシック"/>
          <w:sz w:val="21"/>
          <w:szCs w:val="21"/>
        </w:rPr>
        <w:t xml:space="preserve">・「繋ぐノート」の提供・導入に伴う対価（企業・団体向け含む）</w:t>
      </w:r>
    </w:p>
    <w:p>
      <w:pPr>
        <w:spacing w:after="60" w:line="320"/>
        <w:ind w:left="360"/>
      </w:pPr>
      <w:r>
        <w:rPr>
          <w:rFonts w:ascii="游ゴシック" w:cs="游ゴシック" w:eastAsia="游ゴシック" w:hAnsi="游ゴシック"/>
          <w:sz w:val="21"/>
          <w:szCs w:val="21"/>
        </w:rPr>
        <w:t xml:space="preserve">・一般社団法人繋ぐライクファミリーサポートの身元保証・見守り・財産管理等の契約報酬</w:t>
      </w:r>
    </w:p>
    <w:p>
      <w:pPr>
        <w:spacing w:after="60" w:line="320"/>
        <w:ind w:left="360"/>
      </w:pPr>
      <w:r>
        <w:rPr>
          <w:rFonts w:ascii="游ゴシック" w:cs="游ゴシック" w:eastAsia="游ゴシック" w:hAnsi="游ゴシック"/>
          <w:sz w:val="21"/>
          <w:szCs w:val="21"/>
        </w:rPr>
        <w:t xml:space="preserve">・企業向け研修・セミナーの講師料</w:t>
      </w:r>
    </w:p>
    <w:p>
      <w:pPr>
        <w:spacing w:after="160" w:line="320"/>
      </w:pPr>
      <w:r>
        <w:rPr>
          <w:rFonts w:ascii="游ゴシック" w:cs="游ゴシック" w:eastAsia="游ゴシック" w:hAnsi="游ゴシック"/>
          <w:b/>
          <w:bCs/>
          <w:color w:val="C00000"/>
          <w:sz w:val="21"/>
          <w:szCs w:val="21"/>
        </w:rPr>
        <w:t xml:space="preserve">→ 本番前に、どれが実際の収益の柱か、ご自身の言葉で1〜2文にまとめておいてください。</w:t>
      </w:r>
    </w:p>
    <w:p>
      <w:pPr>
        <w:spacing w:after="60" w:before="160"/>
      </w:pPr>
      <w:r>
        <w:rPr>
          <w:rFonts w:ascii="游ゴシック" w:cs="游ゴシック" w:eastAsia="游ゴシック" w:hAnsi="游ゴシック"/>
          <w:b/>
          <w:bCs/>
          <w:color w:val="9C3B00"/>
          <w:sz w:val="22"/>
          <w:szCs w:val="22"/>
        </w:rPr>
        <w:t xml:space="preserve">Q2. 全国50事業所は、具体的にどんな契約関係ですか？（FC／のれん分け／提携？）</w:t>
      </w:r>
    </w:p>
    <w:p>
      <w:pPr>
        <w:spacing w:after="120" w:line="330"/>
      </w:pPr>
      <w:r>
        <w:rPr>
          <w:rFonts w:ascii="游ゴシック" w:cs="游ゴシック" w:eastAsia="游ゴシック" w:hAnsi="游ゴシック"/>
          <w:sz w:val="21"/>
          <w:szCs w:val="21"/>
        </w:rPr>
        <w:t xml:space="preserve">加盟審査基準、ブランド使用条件、加盟金・ロイヤリティ等の金銭関係、質の担保の仕組み（資格必須化・定期研修・脱退基準）を簡潔に説明できるようにしてください。</w:t>
      </w:r>
    </w:p>
    <w:p>
      <w:pPr>
        <w:spacing w:after="60" w:before="160"/>
      </w:pPr>
      <w:r>
        <w:rPr>
          <w:rFonts w:ascii="游ゴシック" w:cs="游ゴシック" w:eastAsia="游ゴシック" w:hAnsi="游ゴシック"/>
          <w:b/>
          <w:bCs/>
          <w:color w:val="9C3B00"/>
          <w:sz w:val="22"/>
          <w:szCs w:val="22"/>
        </w:rPr>
        <w:t xml:space="preserve">Q3. 「商品を持たない」が「繋ぐノート」の提供と矛盾しませんか？</w:t>
      </w:r>
    </w:p>
    <w:p>
      <w:pPr>
        <w:spacing w:after="120" w:line="330"/>
      </w:pPr>
      <w:r>
        <w:rPr>
          <w:rFonts w:ascii="游ゴシック" w:cs="游ゴシック" w:eastAsia="游ゴシック" w:hAnsi="游ゴシック"/>
          <w:sz w:val="21"/>
          <w:szCs w:val="21"/>
        </w:rPr>
        <w:t xml:space="preserve">回答の型：「“商品を売る”営業はしない、という意味です。繋ぐノートは売るための商品ではなく、対話のきっかけとなるツールとして、相談・研修・資格講座の中で使っていただいています」</w:t>
      </w:r>
    </w:p>
    <w:p>
      <w:pPr>
        <w:pStyle w:val="Heading2"/>
        <w:spacing w:after="120" w:before="280"/>
      </w:pPr>
      <w:r>
        <w:rPr>
          <w:rFonts w:ascii="游ゴシック" w:cs="游ゴシック" w:eastAsia="游ゴシック" w:hAnsi="游ゴシック"/>
          <w:b/>
          <w:bCs/>
          <w:color w:val="444444"/>
          <w:sz w:val="24"/>
          <w:szCs w:val="24"/>
        </w:rPr>
        <w:t xml:space="preserve">B. 独自性・差別化</w:t>
      </w:r>
    </w:p>
    <w:p>
      <w:pPr>
        <w:spacing w:after="60" w:before="160"/>
      </w:pPr>
      <w:r>
        <w:rPr>
          <w:rFonts w:ascii="游ゴシック" w:cs="游ゴシック" w:eastAsia="游ゴシック" w:hAnsi="游ゴシック"/>
          <w:b/>
          <w:bCs/>
          <w:color w:val="9C3B00"/>
          <w:sz w:val="22"/>
          <w:szCs w:val="22"/>
        </w:rPr>
        <w:t xml:space="preserve">Q4. 一般的な「エンディングノート」や士業の相続サービスとの違いは？</w:t>
      </w:r>
    </w:p>
    <w:p>
      <w:pPr>
        <w:spacing w:after="60" w:line="320"/>
        <w:ind w:left="360"/>
      </w:pPr>
      <w:r>
        <w:rPr>
          <w:rFonts w:ascii="游ゴシック" w:cs="游ゴシック" w:eastAsia="游ゴシック" w:hAnsi="游ゴシック"/>
          <w:sz w:val="21"/>
          <w:szCs w:val="21"/>
        </w:rPr>
        <w:t xml:space="preserve">・エンディングノート：死後の記録が中心 → 繋ぐノートは「生きている間」の対話のきっかけ</w:t>
      </w:r>
    </w:p>
    <w:p>
      <w:pPr>
        <w:spacing w:after="60" w:line="320"/>
        <w:ind w:left="360"/>
      </w:pPr>
      <w:r>
        <w:rPr>
          <w:rFonts w:ascii="游ゴシック" w:cs="游ゴシック" w:eastAsia="游ゴシック" w:hAnsi="游ゴシック"/>
          <w:sz w:val="21"/>
          <w:szCs w:val="21"/>
        </w:rPr>
        <w:t xml:space="preserve">・士業：法律・税務手続きが中心、縦割り → 繋ぐグループは窓口を一本化</w:t>
      </w:r>
    </w:p>
    <w:p>
      <w:pPr>
        <w:spacing w:after="60" w:line="320"/>
        <w:ind w:left="360"/>
      </w:pPr>
      <w:r>
        <w:rPr>
          <w:rFonts w:ascii="游ゴシック" w:cs="游ゴシック" w:eastAsia="游ゴシック" w:hAnsi="游ゴシック"/>
          <w:sz w:val="21"/>
          <w:szCs w:val="21"/>
        </w:rPr>
        <w:t xml:space="preserve">・一般の相続コンサル：財産分配が中心 → 「心置きなく生ききる」という生き方全体を扱う</w:t>
      </w:r>
    </w:p>
    <w:p>
      <w:pPr>
        <w:spacing w:after="60" w:before="160"/>
      </w:pPr>
      <w:r>
        <w:rPr>
          <w:rFonts w:ascii="游ゴシック" w:cs="游ゴシック" w:eastAsia="游ゴシック" w:hAnsi="游ゴシック"/>
          <w:b/>
          <w:bCs/>
          <w:color w:val="9C3B00"/>
          <w:sz w:val="22"/>
          <w:szCs w:val="22"/>
        </w:rPr>
        <w:t xml:space="preserve">Q5. なぜ「相続コンサルタント」ではなく「人生のプロデューサー」なのですか？</w:t>
      </w:r>
    </w:p>
    <w:p>
      <w:pPr>
        <w:spacing w:after="120" w:line="330"/>
      </w:pPr>
      <w:r>
        <w:rPr>
          <w:rFonts w:ascii="游ゴシック" w:cs="游ゴシック" w:eastAsia="游ゴシック" w:hAnsi="游ゴシック"/>
          <w:sz w:val="21"/>
          <w:szCs w:val="21"/>
        </w:rPr>
        <w:t xml:space="preserve">代表ご自身の20年の金融経験から来た「財産の専門家」への違和感が原体験のはずです。なぜ疑問を持ったかを30秒で語れるように。</w:t>
      </w:r>
    </w:p>
    <w:p>
      <w:pPr>
        <w:spacing w:after="60" w:before="160"/>
      </w:pPr>
      <w:r>
        <w:rPr>
          <w:rFonts w:ascii="游ゴシック" w:cs="游ゴシック" w:eastAsia="游ゴシック" w:hAnsi="游ゴシック"/>
          <w:b/>
          <w:bCs/>
          <w:color w:val="9C3B00"/>
          <w:sz w:val="22"/>
          <w:szCs w:val="22"/>
        </w:rPr>
        <w:t xml:space="preserve">Q6. 士業資格を持たないことは弱みになりませんか？</w:t>
      </w:r>
    </w:p>
    <w:p>
      <w:pPr>
        <w:spacing w:after="120" w:line="330"/>
      </w:pPr>
      <w:r>
        <w:rPr>
          <w:rFonts w:ascii="游ゴシック" w:cs="游ゴシック" w:eastAsia="游ゴシック" w:hAnsi="游ゴシック"/>
          <w:sz w:val="21"/>
          <w:szCs w:val="21"/>
        </w:rPr>
        <w:t xml:space="preserve">税理士・弁護士・司法書士との連携体制（ワンストップモデル）を簡潔に説明できるように準備してください。</w:t>
      </w:r>
    </w:p>
    <w:p>
      <w:pPr>
        <w:pStyle w:val="Heading2"/>
        <w:spacing w:after="120" w:before="280"/>
      </w:pPr>
      <w:r>
        <w:rPr>
          <w:rFonts w:ascii="游ゴシック" w:cs="游ゴシック" w:eastAsia="游ゴシック" w:hAnsi="游ゴシック"/>
          <w:b/>
          <w:bCs/>
          <w:color w:val="444444"/>
          <w:sz w:val="24"/>
          <w:szCs w:val="24"/>
        </w:rPr>
        <w:t xml:space="preserve">C. 社会的インパクト・エビデンス</w:t>
      </w:r>
    </w:p>
    <w:p>
      <w:pPr>
        <w:spacing w:after="60" w:before="160"/>
      </w:pPr>
      <w:r>
        <w:rPr>
          <w:rFonts w:ascii="游ゴシック" w:cs="游ゴシック" w:eastAsia="游ゴシック" w:hAnsi="游ゴシック"/>
          <w:b/>
          <w:bCs/>
          <w:color w:val="9C3B00"/>
          <w:sz w:val="22"/>
          <w:szCs w:val="22"/>
        </w:rPr>
        <w:t xml:space="preserve">Q7. 72.1%、68.6%という数字の出典は？</w:t>
      </w:r>
    </w:p>
    <w:p>
      <w:pPr>
        <w:spacing w:after="120" w:line="330"/>
      </w:pPr>
      <w:r>
        <w:rPr>
          <w:rFonts w:ascii="游ゴシック" w:cs="游ゴシック" w:eastAsia="游ゴシック" w:hAnsi="游ゴシック"/>
          <w:sz w:val="21"/>
          <w:szCs w:val="21"/>
        </w:rPr>
        <w:t xml:space="preserve">72.1%（人生会議を「知らない」）：厚生労働省「人生会議に関する意識調査」（令和4年度、一般国民対象 n=3,000）。厚労省の人生会議特設ページに掲載。前回調査（平成29年度）の75.5%から微減。</w:t>
      </w:r>
    </w:p>
    <w:p>
      <w:pPr>
        <w:spacing w:after="160" w:line="320"/>
      </w:pPr>
      <w:r>
        <w:rPr>
          <w:rFonts w:ascii="游ゴシック" w:cs="游ゴシック" w:eastAsia="游ゴシック" w:hAnsi="游ゴシック"/>
          <w:b/>
          <w:bCs/>
          <w:color w:val="C00000"/>
          <w:sz w:val="21"/>
          <w:szCs w:val="21"/>
        </w:rPr>
        <w:t xml:space="preserve">68.6%（家族等と「話し合ったことがない」）：ウェブ検索では正確な出典を特定できませんでした。近い数値として、令和5年度調査で「詳しく、またはある程度話し合っている」が29.9%＝残り約7割という報告はあります。本番までにご自身で一次情報（調査名・年度・設問文）を再確認してください。</w:t>
      </w:r>
    </w:p>
    <w:p>
      <w:pPr>
        <w:spacing w:after="60" w:before="160"/>
      </w:pPr>
      <w:r>
        <w:rPr>
          <w:rFonts w:ascii="游ゴシック" w:cs="游ゴシック" w:eastAsia="游ゴシック" w:hAnsi="游ゴシック"/>
          <w:b/>
          <w:bCs/>
          <w:color w:val="9C3B00"/>
          <w:sz w:val="22"/>
          <w:szCs w:val="22"/>
        </w:rPr>
        <w:t xml:space="preserve">Q8. 「地域セミナー3年500名」「介護離職30%減」「ACP実施率80%超」は全社実績ですか、個別事例ですか？</w:t>
      </w:r>
    </w:p>
    <w:p>
      <w:pPr>
        <w:spacing w:after="120" w:line="330"/>
      </w:pPr>
      <w:r>
        <w:rPr>
          <w:rFonts w:ascii="游ゴシック" w:cs="游ゴシック" w:eastAsia="游ゴシック" w:hAnsi="游ゴシック"/>
          <w:sz w:val="21"/>
          <w:szCs w:val="21"/>
        </w:rPr>
        <w:t xml:space="preserve">一次エントリーの旧ドラフトでは「A市」「B企業」「C病院」という個別事例として紹介していた数値です。全社統計なのか好事例なのかを混同せず区別して答えてください。</w:t>
      </w:r>
    </w:p>
    <w:p>
      <w:pPr>
        <w:pStyle w:val="Heading2"/>
        <w:spacing w:after="120" w:before="280"/>
      </w:pPr>
      <w:r>
        <w:rPr>
          <w:rFonts w:ascii="游ゴシック" w:cs="游ゴシック" w:eastAsia="游ゴシック" w:hAnsi="游ゴシック"/>
          <w:b/>
          <w:bCs/>
          <w:color w:val="444444"/>
          <w:sz w:val="24"/>
          <w:szCs w:val="24"/>
        </w:rPr>
        <w:t xml:space="preserve">D. 成長性・再現性・組織体制</w:t>
      </w:r>
    </w:p>
    <w:p>
      <w:pPr>
        <w:spacing w:after="60" w:before="160"/>
      </w:pPr>
      <w:r>
        <w:rPr>
          <w:rFonts w:ascii="游ゴシック" w:cs="游ゴシック" w:eastAsia="游ゴシック" w:hAnsi="游ゴシック"/>
          <w:b/>
          <w:bCs/>
          <w:color w:val="9C3B00"/>
          <w:sz w:val="22"/>
          <w:szCs w:val="22"/>
        </w:rPr>
        <w:t xml:space="preserve">Q9. 代表個人への依存度が高いように見えますが、組織としての再現性は？</w:t>
      </w:r>
    </w:p>
    <w:p>
      <w:pPr>
        <w:spacing w:after="120" w:line="330"/>
      </w:pPr>
      <w:r>
        <w:rPr>
          <w:rFonts w:ascii="游ゴシック" w:cs="游ゴシック" w:eastAsia="游ゴシック" w:hAnsi="游ゴシック"/>
          <w:sz w:val="21"/>
          <w:szCs w:val="21"/>
        </w:rPr>
        <w:t xml:space="preserve">「繋ぐノートサポートアドバイザー®」資格が回答の核になります。資格取得者数・合格率・継続率・実際に活動している人の割合を数字で言えるとより説得力が増します。</w:t>
      </w:r>
    </w:p>
    <w:p>
      <w:pPr>
        <w:spacing w:after="60" w:before="160"/>
      </w:pPr>
      <w:r>
        <w:rPr>
          <w:rFonts w:ascii="游ゴシック" w:cs="游ゴシック" w:eastAsia="游ゴシック" w:hAnsi="游ゴシック"/>
          <w:b/>
          <w:bCs/>
          <w:color w:val="9C3B00"/>
          <w:sz w:val="22"/>
          <w:szCs w:val="22"/>
        </w:rPr>
        <w:t xml:space="preserve">Q10. 今後3年でどこまで拡大する計画ですか？</w:t>
      </w:r>
    </w:p>
    <w:p>
      <w:pPr>
        <w:spacing w:after="120" w:line="330"/>
      </w:pPr>
      <w:r>
        <w:rPr>
          <w:rFonts w:ascii="游ゴシック" w:cs="游ゴシック" w:eastAsia="游ゴシック" w:hAnsi="游ゴシック"/>
          <w:sz w:val="21"/>
          <w:szCs w:val="21"/>
        </w:rPr>
        <w:t xml:space="preserve">事業所数、資格取得者数、企業導入数などの具体的な数値目標、または少なくとも方向性を準備しておいてください。</w:t>
      </w:r>
    </w:p>
    <w:p>
      <w:pPr>
        <w:spacing w:after="60" w:before="160"/>
      </w:pPr>
      <w:r>
        <w:rPr>
          <w:rFonts w:ascii="游ゴシック" w:cs="游ゴシック" w:eastAsia="游ゴシック" w:hAnsi="游ゴシック"/>
          <w:b/>
          <w:bCs/>
          <w:color w:val="9C3B00"/>
          <w:sz w:val="22"/>
          <w:szCs w:val="22"/>
        </w:rPr>
        <w:t xml:space="preserve">Q11. 競合（相続コンサル業界、終活関連企業、ACP普及団体等）との関係は？</w:t>
      </w:r>
    </w:p>
    <w:p>
      <w:pPr>
        <w:spacing w:after="120" w:line="330"/>
      </w:pPr>
      <w:r>
        <w:rPr>
          <w:rFonts w:ascii="游ゴシック" w:cs="游ゴシック" w:eastAsia="游ゴシック" w:hAnsi="游ゴシック"/>
          <w:sz w:val="21"/>
          <w:szCs w:val="21"/>
        </w:rPr>
        <w:t xml:space="preserve">「競合がいない」ではなく、異業種との協働関係であることを説明できると強いです。</w:t>
      </w:r>
    </w:p>
    <w:p>
      <w:pPr>
        <w:pStyle w:val="Heading2"/>
        <w:spacing w:after="120" w:before="280"/>
      </w:pPr>
      <w:r>
        <w:rPr>
          <w:rFonts w:ascii="游ゴシック" w:cs="游ゴシック" w:eastAsia="游ゴシック" w:hAnsi="游ゴシック"/>
          <w:b/>
          <w:bCs/>
          <w:color w:val="444444"/>
          <w:sz w:val="24"/>
          <w:szCs w:val="24"/>
        </w:rPr>
        <w:t xml:space="preserve">E. 今後の展望・支援ニーズ</w:t>
      </w:r>
    </w:p>
    <w:p>
      <w:pPr>
        <w:spacing w:after="60" w:before="160"/>
      </w:pPr>
      <w:r>
        <w:rPr>
          <w:rFonts w:ascii="游ゴシック" w:cs="游ゴシック" w:eastAsia="游ゴシック" w:hAnsi="游ゴシック"/>
          <w:b/>
          <w:bCs/>
          <w:color w:val="9C3B00"/>
          <w:sz w:val="22"/>
          <w:szCs w:val="22"/>
        </w:rPr>
        <w:t xml:space="preserve">Q12. 受賞したら何に活かしますか？</w:t>
      </w:r>
    </w:p>
    <w:p>
      <w:pPr>
        <w:spacing w:after="60" w:line="320"/>
        <w:ind w:left="360"/>
      </w:pPr>
      <w:r>
        <w:rPr>
          <w:rFonts w:ascii="游ゴシック" w:cs="游ゴシック" w:eastAsia="游ゴシック" w:hAnsi="游ゴシック"/>
          <w:sz w:val="21"/>
          <w:szCs w:val="21"/>
        </w:rPr>
        <w:t xml:space="preserve">・認知度向上（「繋ぐノート」「人生会議」を自分事化してもらうきっかけ作り）</w:t>
      </w:r>
    </w:p>
    <w:p>
      <w:pPr>
        <w:spacing w:after="60" w:line="320"/>
        <w:ind w:left="360"/>
      </w:pPr>
      <w:r>
        <w:rPr>
          <w:rFonts w:ascii="游ゴシック" w:cs="游ゴシック" w:eastAsia="游ゴシック" w:hAnsi="游ゴシック"/>
          <w:sz w:val="21"/>
          <w:szCs w:val="21"/>
        </w:rPr>
        <w:t xml:space="preserve">・企業・行政との連携のさらなる加速</w:t>
      </w:r>
    </w:p>
    <w:p>
      <w:pPr>
        <w:spacing w:after="60" w:line="320"/>
        <w:ind w:left="360"/>
      </w:pPr>
      <w:r>
        <w:rPr>
          <w:rFonts w:ascii="游ゴシック" w:cs="游ゴシック" w:eastAsia="游ゴシック" w:hAnsi="游ゴシック"/>
          <w:sz w:val="21"/>
          <w:szCs w:val="21"/>
        </w:rPr>
        <w:t xml:space="preserve">・資格制度の普及・標準化</w:t>
      </w:r>
    </w:p>
    <w:p>
      <w:pPr>
        <w:spacing w:after="60" w:before="160"/>
      </w:pPr>
      <w:r>
        <w:rPr>
          <w:rFonts w:ascii="游ゴシック" w:cs="游ゴシック" w:eastAsia="游ゴシック" w:hAnsi="游ゴシック"/>
          <w:b/>
          <w:bCs/>
          <w:color w:val="9C3B00"/>
          <w:sz w:val="22"/>
          <w:szCs w:val="22"/>
        </w:rPr>
        <w:t xml:space="preserve">Q13. なぜ今、このタイミングで応募したのですか？</w:t>
      </w:r>
    </w:p>
    <w:p>
      <w:pPr>
        <w:spacing w:after="120" w:line="330"/>
      </w:pPr>
      <w:r>
        <w:rPr>
          <w:rFonts w:ascii="游ゴシック" w:cs="游ゴシック" w:eastAsia="游ゴシック" w:hAnsi="游ゴシック"/>
          <w:sz w:val="21"/>
          <w:szCs w:val="21"/>
        </w:rPr>
        <w:t xml:space="preserve">「8年かけて実証してきた段階から、企業・行政・教育へ広げる段階に入っている」という提出文の文脈をそのまま使えます。</w:t>
      </w:r>
    </w:p>
    <w:p>
      <w:pPr>
        <w:pStyle w:val="Heading2"/>
        <w:spacing w:after="120" w:before="280"/>
      </w:pPr>
      <w:r>
        <w:rPr>
          <w:rFonts w:ascii="游ゴシック" w:cs="游ゴシック" w:eastAsia="游ゴシック" w:hAnsi="游ゴシック"/>
          <w:b/>
          <w:bCs/>
          <w:color w:val="444444"/>
          <w:sz w:val="24"/>
          <w:szCs w:val="24"/>
        </w:rPr>
        <w:t xml:space="preserve">F. 売上・収益規模 ― 数字の「見せ方」が重要</w:t>
      </w:r>
    </w:p>
    <w:p>
      <w:pPr>
        <w:spacing w:after="120" w:line="330"/>
      </w:pPr>
      <w:r>
        <w:rPr>
          <w:rFonts w:ascii="游ゴシック" w:cs="游ゴシック" w:eastAsia="游ゴシック" w:hAnsi="游ゴシック"/>
          <w:sz w:val="21"/>
          <w:szCs w:val="21"/>
        </w:rPr>
        <w:t xml:space="preserve">単体：年商約5,000万円／FC全体の繋ぐ相続関連売上：約2億円規模／繋ぐグループ全体：約3億円規模</w:t>
      </w:r>
    </w:p>
    <w:p>
      <w:pPr>
        <w:spacing w:after="60" w:before="160"/>
      </w:pPr>
      <w:r>
        <w:rPr>
          <w:rFonts w:ascii="游ゴシック" w:cs="游ゴシック" w:eastAsia="游ゴシック" w:hAnsi="游ゴシック"/>
          <w:b/>
          <w:bCs/>
          <w:color w:val="9C3B00"/>
          <w:sz w:val="22"/>
          <w:szCs w:val="22"/>
        </w:rPr>
        <w:t xml:space="preserve">Q14. 売上規模・利益はどのくらいですか？</w:t>
      </w:r>
    </w:p>
    <w:p>
      <w:pPr>
        <w:spacing w:after="120" w:line="330"/>
      </w:pPr>
      <w:r>
        <w:rPr>
          <w:rFonts w:ascii="游ゴシック" w:cs="游ゴシック" w:eastAsia="游ゴシック" w:hAnsi="游ゴシック"/>
          <w:sz w:val="21"/>
          <w:szCs w:val="21"/>
        </w:rPr>
        <w:t xml:space="preserve">回答の型：「単体では5,000万円の規模ですが、これは意図的なことです。本体が売上を独占するのではなく、全国の加盟事業者が自律的に事業を営む分散型のネットワークだからです。繋ぐ相続という理念のもとで動く経済圏としては、FC全体で約2億円、グループ全体では約3億円の規模になっています。」</w:t>
      </w:r>
    </w:p>
    <w:p>
      <w:pPr>
        <w:spacing w:after="160" w:line="320"/>
      </w:pPr>
      <w:r>
        <w:rPr>
          <w:rFonts w:ascii="游ゴシック" w:cs="游ゴシック" w:eastAsia="游ゴシック" w:hAnsi="游ゴシック"/>
          <w:b/>
          <w:bCs/>
          <w:color w:val="C00000"/>
          <w:sz w:val="21"/>
          <w:szCs w:val="21"/>
        </w:rPr>
        <w:t xml:space="preserve">ポイント：単体の5,000万円だけを答えると小さく見える。必ず「なぜ本体の売上が大きくないのか＝分散型・共存型のモデルだから」とセットで説明する。弱みではなく、経営思想と直結する強みとして語る。</w:t>
      </w:r>
    </w:p>
    <w:p>
      <w:pPr>
        <w:spacing w:after="60" w:before="160"/>
      </w:pPr>
      <w:r>
        <w:rPr>
          <w:rFonts w:ascii="游ゴシック" w:cs="游ゴシック" w:eastAsia="游ゴシック" w:hAnsi="游ゴシック"/>
          <w:b/>
          <w:bCs/>
          <w:color w:val="9C3B00"/>
          <w:sz w:val="22"/>
          <w:szCs w:val="22"/>
        </w:rPr>
        <w:t xml:space="preserve">Q15. 黒字ですか？利益率は？</w:t>
      </w:r>
    </w:p>
    <w:p>
      <w:pPr>
        <w:spacing w:after="160" w:line="320"/>
      </w:pPr>
      <w:r>
        <w:rPr>
          <w:rFonts w:ascii="游ゴシック" w:cs="游ゴシック" w:eastAsia="游ゴシック" w:hAnsi="游ゴシック"/>
          <w:b/>
          <w:bCs/>
          <w:color w:val="C00000"/>
          <w:sz w:val="21"/>
          <w:szCs w:val="21"/>
        </w:rPr>
        <w:t xml:space="preserve">数値未共有。本番前にご自身で即答できる概算を1つ用意してください。「6期連続増収、2025年12月期は過去最高益」はエントリー本文側にある事実なのでそこは自信を持って。</w:t>
      </w:r>
    </w:p>
    <w:p>
      <w:pPr>
        <w:pStyle w:val="Heading2"/>
        <w:spacing w:after="120" w:before="280"/>
      </w:pPr>
      <w:r>
        <w:rPr>
          <w:rFonts w:ascii="游ゴシック" w:cs="游ゴシック" w:eastAsia="游ゴシック" w:hAnsi="游ゴシック"/>
          <w:b/>
          <w:bCs/>
          <w:color w:val="444444"/>
          <w:sz w:val="24"/>
          <w:szCs w:val="24"/>
        </w:rPr>
        <w:t xml:space="preserve">G. 繋ぐノート普及・資格者実績 ― 開示するかどうかの判断</w:t>
      </w:r>
    </w:p>
    <w:p>
      <w:pPr>
        <w:spacing w:after="120" w:line="330"/>
      </w:pPr>
      <w:r>
        <w:rPr>
          <w:rFonts w:ascii="游ゴシック" w:cs="游ゴシック" w:eastAsia="游ゴシック" w:hAnsi="游ゴシック"/>
          <w:sz w:val="21"/>
          <w:szCs w:val="21"/>
        </w:rPr>
        <w:t xml:space="preserve">繋ぐノート：現在5,000部の普及／繋ぐノートサポートアドバイザー®資格者：2年で現在50名</w:t>
      </w:r>
    </w:p>
    <w:p>
      <w:pPr>
        <w:spacing w:after="160" w:line="320"/>
      </w:pPr>
      <w:r>
        <w:rPr>
          <w:rFonts w:ascii="游ゴシック" w:cs="游ゴシック" w:eastAsia="游ゴシック" w:hAnsi="游ゴシック"/>
          <w:b/>
          <w:bCs/>
          <w:color w:val="C00000"/>
          <w:sz w:val="21"/>
          <w:szCs w:val="21"/>
        </w:rPr>
        <w:t xml:space="preserve">「数字が少ないイメージを与えるなら公開したくない」とのことですが、コンサルタントとしての意見は「弱みではなく、伝え方次第で強みになる数字」です。</w:t>
      </w:r>
    </w:p>
    <w:p>
      <w:pPr>
        <w:spacing w:after="60" w:line="320"/>
        <w:ind w:left="360"/>
      </w:pPr>
      <w:r>
        <w:rPr>
          <w:rFonts w:ascii="游ゴシック" w:cs="游ゴシック" w:eastAsia="游ゴシック" w:hAnsi="游ゴシック"/>
          <w:sz w:val="21"/>
          <w:szCs w:val="21"/>
        </w:rPr>
        <w:t xml:space="preserve">・①直接聞かれるリスク：60分の面談で聞かれる可能性は高い。はぐらかすと他の数字の信憑性も疑われる</w:t>
      </w:r>
    </w:p>
    <w:p>
      <w:pPr>
        <w:spacing w:after="60" w:line="320"/>
        <w:ind w:left="360"/>
      </w:pPr>
      <w:r>
        <w:rPr>
          <w:rFonts w:ascii="游ゴシック" w:cs="游ゴシック" w:eastAsia="游ゴシック" w:hAnsi="游ゴシック"/>
          <w:sz w:val="21"/>
          <w:szCs w:val="21"/>
        </w:rPr>
        <w:t xml:space="preserve">・②弱みではない理由：創設2年・eラーニング化2026年という拡大フェーズの入口の数字。広告で一気に増やしたのではなく、医療・行政・企業・教育の現場で信頼関係を積み上げてきた結果</w:t>
      </w:r>
    </w:p>
    <w:p>
      <w:pPr>
        <w:spacing w:after="60" w:before="160"/>
      </w:pPr>
      <w:r>
        <w:rPr>
          <w:rFonts w:ascii="游ゴシック" w:cs="游ゴシック" w:eastAsia="游ゴシック" w:hAnsi="游ゴシック"/>
          <w:b/>
          <w:bCs/>
          <w:color w:val="9C3B00"/>
          <w:sz w:val="22"/>
          <w:szCs w:val="22"/>
        </w:rPr>
        <w:t xml:space="preserve">③回答の型（推奨：開示してリフレーミング）</w:t>
      </w:r>
    </w:p>
    <w:p>
      <w:pPr>
        <w:spacing w:after="120" w:line="330"/>
      </w:pPr>
      <w:r>
        <w:rPr>
          <w:rFonts w:ascii="游ゴシック" w:cs="游ゴシック" w:eastAsia="游ゴシック" w:hAnsi="游ゴシック"/>
          <w:sz w:val="21"/>
          <w:szCs w:val="21"/>
        </w:rPr>
        <w:t xml:space="preserve">「繋ぐノートは現在5,000部が普及し、資格者は2年間で50名です。数としてはまだこれからですが、重要なのはスピードではなく、異業種の現場で一人ひとりとの信頼関係を通じて広げてきたことです。2026年からの資格のeラーニング化によって、ここからの3年で本格的な拡大フェーズに入ります。」</w:t>
      </w:r>
    </w:p>
    <w:p>
      <w:pPr>
        <w:spacing w:after="120" w:line="330"/>
      </w:pPr>
      <w:r>
        <w:rPr>
          <w:rFonts w:ascii="游ゴシック" w:cs="游ゴシック" w:eastAsia="游ゴシック" w:hAnsi="游ゴシック"/>
          <w:sz w:val="21"/>
          <w:szCs w:val="21"/>
        </w:rPr>
        <w:t xml:space="preserve">④代替案：数字を自分から出さず「着実に広がっている」と定性表現に留める。ただし直接聞かれた場合の回答は必ず用意（無回答・はぐらかしは厳禁）。</w:t>
      </w:r>
    </w:p>
    <w:p>
      <w:pPr>
        <w:pStyle w:val="Heading2"/>
        <w:spacing w:after="120" w:before="280"/>
      </w:pPr>
      <w:r>
        <w:rPr>
          <w:rFonts w:ascii="游ゴシック" w:cs="游ゴシック" w:eastAsia="游ゴシック" w:hAnsi="游ゴシック"/>
          <w:b/>
          <w:bCs/>
          <w:color w:val="444444"/>
          <w:sz w:val="24"/>
          <w:szCs w:val="24"/>
        </w:rPr>
        <w:t xml:space="preserve">H. 3年後の目標と成長戦略 ― 「8年で50→3年で100」の根拠</w:t>
      </w:r>
    </w:p>
    <w:p>
      <w:pPr>
        <w:spacing w:after="60" w:before="160"/>
      </w:pPr>
      <w:r>
        <w:rPr>
          <w:rFonts w:ascii="游ゴシック" w:cs="游ゴシック" w:eastAsia="游ゴシック" w:hAnsi="游ゴシック"/>
          <w:b/>
          <w:bCs/>
          <w:color w:val="9C3B00"/>
          <w:sz w:val="22"/>
          <w:szCs w:val="22"/>
        </w:rPr>
        <w:t xml:space="preserve">Q16. 8年で50事業所のペースに対し、3年で倍の100事業所は急激に見えますが根拠は？</w:t>
      </w:r>
    </w:p>
    <w:p>
      <w:pPr>
        <w:spacing w:after="120" w:line="330"/>
      </w:pPr>
      <w:r>
        <w:rPr>
          <w:rFonts w:ascii="游ゴシック" w:cs="游ゴシック" w:eastAsia="游ゴシック" w:hAnsi="游ゴシック"/>
          <w:sz w:val="21"/>
          <w:szCs w:val="21"/>
        </w:rPr>
        <w:t xml:space="preserve">回答の型：「過去8年は、知名度ゼロから信頼を積み上げる“実証フェーズ”でした。これからの3年は、①資格のeラーニング化で異業種の参入障壁が下がったこと、②厚労省のACP推進という社会的追い風、③企業・行政・教育という新チャネルが開いたこと、という3要因が重なる“拡大フェーズ”です。」</w:t>
      </w:r>
    </w:p>
    <w:p>
      <w:pPr>
        <w:spacing w:after="60" w:before="160"/>
      </w:pPr>
      <w:r>
        <w:rPr>
          <w:rFonts w:ascii="游ゴシック" w:cs="游ゴシック" w:eastAsia="游ゴシック" w:hAnsi="游ゴシック"/>
          <w:b/>
          <w:bCs/>
          <w:color w:val="9C3B00"/>
          <w:sz w:val="22"/>
          <w:szCs w:val="22"/>
        </w:rPr>
        <w:t xml:space="preserve">Q17. 100事業所に増やす際、質の担保はどうしますか？</w:t>
      </w:r>
    </w:p>
    <w:p>
      <w:pPr>
        <w:spacing w:after="120" w:line="330"/>
      </w:pPr>
      <w:r>
        <w:rPr>
          <w:rFonts w:ascii="游ゴシック" w:cs="游ゴシック" w:eastAsia="游ゴシック" w:hAnsi="游ゴシック"/>
          <w:sz w:val="21"/>
          <w:szCs w:val="21"/>
        </w:rPr>
        <w:t xml:space="preserve">資格取得を加盟の必須条件にする、研修・継続学習の仕組みがあることを説明。「量を追って質が落ちた」という印象を与えないことが重要です。</w:t>
      </w:r>
    </w:p>
    <w:p>
      <w:pPr>
        <w:pStyle w:val="Heading2"/>
        <w:spacing w:after="120" w:before="280"/>
      </w:pPr>
      <w:r>
        <w:rPr>
          <w:rFonts w:ascii="游ゴシック" w:cs="游ゴシック" w:eastAsia="游ゴシック" w:hAnsi="游ゴシック"/>
          <w:b/>
          <w:bCs/>
          <w:color w:val="444444"/>
          <w:sz w:val="24"/>
          <w:szCs w:val="24"/>
        </w:rPr>
        <w:t xml:space="preserve">I. 「競争から共存へ」という経営思想 ― 一番伝えたいメッセージ</w:t>
      </w:r>
    </w:p>
    <w:p>
      <w:pPr>
        <w:spacing w:after="160" w:line="320"/>
      </w:pPr>
      <w:r>
        <w:rPr>
          <w:rFonts w:ascii="游ゴシック" w:cs="游ゴシック" w:eastAsia="游ゴシック" w:hAnsi="游ゴシック"/>
          <w:b/>
          <w:bCs/>
          <w:color w:val="C00000"/>
          <w:sz w:val="21"/>
          <w:szCs w:val="21"/>
        </w:rPr>
        <w:t xml:space="preserve">質問を待つのではなく、自己紹介やクロージングで自分から語ることを強くおすすめします。</w:t>
      </w:r>
    </w:p>
    <w:p>
      <w:pPr>
        <w:spacing w:after="60" w:line="320"/>
        <w:ind w:left="360"/>
      </w:pPr>
      <w:r>
        <w:rPr>
          <w:rFonts w:ascii="游ゴシック" w:cs="游ゴシック" w:eastAsia="游ゴシック" w:hAnsi="游ゴシック"/>
          <w:sz w:val="21"/>
          <w:szCs w:val="21"/>
        </w:rPr>
        <w:t xml:space="preserve">・繋ぐグループが提供するのは「心置きなく生ききる人生」であり、特定業種の仕事を奪うものではない</w:t>
      </w:r>
    </w:p>
    <w:p>
      <w:pPr>
        <w:spacing w:after="60" w:line="320"/>
        <w:ind w:left="360"/>
      </w:pPr>
      <w:r>
        <w:rPr>
          <w:rFonts w:ascii="游ゴシック" w:cs="游ゴシック" w:eastAsia="游ゴシック" w:hAnsi="游ゴシック"/>
          <w:sz w:val="21"/>
          <w:szCs w:val="21"/>
        </w:rPr>
        <w:t xml:space="preserve">・士業は法務・税務、金融機関は資産運用、福祉・介護は生活支援の専門家として、それぞれの強みを活かしてもらう</w:t>
      </w:r>
    </w:p>
    <w:p>
      <w:pPr>
        <w:spacing w:after="60" w:line="320"/>
        <w:ind w:left="360"/>
      </w:pPr>
      <w:r>
        <w:rPr>
          <w:rFonts w:ascii="游ゴシック" w:cs="游ゴシック" w:eastAsia="游ゴシック" w:hAnsi="游ゴシック"/>
          <w:sz w:val="21"/>
          <w:szCs w:val="21"/>
        </w:rPr>
        <w:t xml:space="preserve">・繋ぐグループは「生きる準備」の入口を開き、必要な専門家へ橋渡しする結節点の役割</w:t>
      </w:r>
    </w:p>
    <w:p>
      <w:pPr>
        <w:spacing w:after="60" w:line="320"/>
        <w:ind w:left="360"/>
      </w:pPr>
      <w:r>
        <w:rPr>
          <w:rFonts w:ascii="游ゴシック" w:cs="游ゴシック" w:eastAsia="游ゴシック" w:hAnsi="游ゴシック"/>
          <w:sz w:val="21"/>
          <w:szCs w:val="21"/>
        </w:rPr>
        <w:t xml:space="preserve">・資格「繋ぐノートサポートアドバイザー®」は金融・保険・福祉・介護・不動産など異業種の人にこそ取得してほしい設計</w:t>
      </w:r>
    </w:p>
    <w:p>
      <w:pPr>
        <w:spacing w:after="60" w:before="160"/>
      </w:pPr>
      <w:r>
        <w:rPr>
          <w:rFonts w:ascii="游ゴシック" w:cs="游ゴシック" w:eastAsia="游ゴシック" w:hAnsi="游ゴシック"/>
          <w:b/>
          <w:bCs/>
          <w:color w:val="9C3B00"/>
          <w:sz w:val="22"/>
          <w:szCs w:val="22"/>
        </w:rPr>
        <w:t xml:space="preserve">Q18. 士業や金融機関は競合にならないのですか？</w:t>
      </w:r>
    </w:p>
    <w:p>
      <w:pPr>
        <w:spacing w:after="120" w:line="330"/>
      </w:pPr>
      <w:r>
        <w:rPr>
          <w:rFonts w:ascii="游ゴシック" w:cs="游ゴシック" w:eastAsia="游ゴシック" w:hAnsi="游ゴシック"/>
          <w:sz w:val="21"/>
          <w:szCs w:val="21"/>
        </w:rPr>
        <w:t xml:space="preserve">回答の型：「競争ではなく共存を前提にしています。財産や手続きを争うのではなく、その手前にある『生きる準備』という領域を担当しています。士業や金融機関の方にも資格を取っていただき、一緒に『心置きなく生ききる社会』をつくる仲間になっていただきたいと考えています。」</w:t>
      </w:r>
    </w:p>
    <w:p>
      <w:pPr>
        <w:spacing w:after="60" w:before="160"/>
      </w:pPr>
      <w:r>
        <w:rPr>
          <w:rFonts w:ascii="游ゴシック" w:cs="游ゴシック" w:eastAsia="游ゴシック" w:hAnsi="游ゴシック"/>
          <w:b/>
          <w:bCs/>
          <w:color w:val="9C3B00"/>
          <w:sz w:val="22"/>
          <w:szCs w:val="22"/>
        </w:rPr>
        <w:t xml:space="preserve">Q19. 「共存」によって御社自身の収益機会が失われませんか？</w:t>
      </w:r>
    </w:p>
    <w:p>
      <w:pPr>
        <w:spacing w:after="120" w:line="330"/>
      </w:pPr>
      <w:r>
        <w:rPr>
          <w:rFonts w:ascii="游ゴシック" w:cs="游ゴシック" w:eastAsia="游ゴシック" w:hAnsi="游ゴシック"/>
          <w:sz w:val="21"/>
          <w:szCs w:val="21"/>
        </w:rPr>
        <w:t xml:space="preserve">回答の型：「資格取得者が増えるほど、『繋ぐノート』『人生会議』という考え方自体が社会に広がり、相談の入口が増えます。資格講座の受講料収入も、異業種の方が増えるほど拡大するモデルです。共存の輪が広がることが、そのまま事業の成長につながる設計です。」</w:t>
      </w:r>
    </w:p>
    <w:p>
      <w:pPr>
        <w:spacing w:after="160" w:line="320"/>
      </w:pPr>
      <w:r>
        <w:rPr>
          <w:rFonts w:ascii="游ゴシック" w:cs="游ゴシック" w:eastAsia="游ゴシック" w:hAnsi="游ゴシック"/>
          <w:b/>
          <w:bCs/>
          <w:color w:val="C00000"/>
          <w:sz w:val="21"/>
          <w:szCs w:val="21"/>
        </w:rPr>
        <w:t xml:space="preserve">本番前にこの質問へのご自身の言葉での回答を1つ用意しておくことをおすすめします。</w:t>
      </w:r>
    </w:p>
    <w:p>
      <w:pPr>
        <w:pStyle w:val="Heading2"/>
        <w:spacing w:after="120" w:before="280"/>
      </w:pPr>
      <w:r>
        <w:rPr>
          <w:rFonts w:ascii="游ゴシック" w:cs="游ゴシック" w:eastAsia="游ゴシック" w:hAnsi="游ゴシック"/>
          <w:b/>
          <w:bCs/>
          <w:color w:val="444444"/>
          <w:sz w:val="24"/>
          <w:szCs w:val="24"/>
        </w:rPr>
        <w:t xml:space="preserve">J. 「終活・相続対策と幸福度」の関係 ― 業界で手つかずの着眼点</w:t>
      </w:r>
    </w:p>
    <w:p>
      <w:pPr>
        <w:spacing w:after="160" w:line="320"/>
      </w:pPr>
      <w:r>
        <w:rPr>
          <w:rFonts w:ascii="游ゴシック" w:cs="游ゴシック" w:eastAsia="游ゴシック" w:hAnsi="游ゴシック"/>
          <w:b/>
          <w:bCs/>
          <w:color w:val="C00000"/>
          <w:sz w:val="21"/>
          <w:szCs w:val="21"/>
        </w:rPr>
        <w:t xml:space="preserve">「終活・相続対策をすること自体が幸福度・QOLを高める」という視点は、業界ではほとんど語られていません。差別化と社会貢献の両方を裏付けられる武器になります。</w:t>
      </w:r>
    </w:p>
    <w:p>
      <w:pPr>
        <w:spacing w:after="60" w:line="320"/>
        <w:ind w:left="360"/>
      </w:pPr>
      <w:r>
        <w:rPr>
          <w:rFonts w:ascii="游ゴシック" w:cs="游ゴシック" w:eastAsia="游ゴシック" w:hAnsi="游ゴシック"/>
          <w:sz w:val="21"/>
          <w:szCs w:val="21"/>
        </w:rPr>
        <w:t xml:space="preserve">・①日本の民間調査（相関）：ハルメク生きかた上手研究所（50〜79歳2,016名）調査で、終活を始めている人（44.0%）は幸福度・生活満足度が高い傾向。ただし相関関係であり逆の因果の可能性もある</w:t>
      </w:r>
    </w:p>
    <w:p>
      <w:pPr>
        <w:spacing w:after="60" w:line="320"/>
        <w:ind w:left="360"/>
      </w:pPr>
      <w:r>
        <w:rPr>
          <w:rFonts w:ascii="游ゴシック" w:cs="游ゴシック" w:eastAsia="游ゴシック" w:hAnsi="游ゴシック"/>
          <w:sz w:val="21"/>
          <w:szCs w:val="21"/>
        </w:rPr>
        <w:t xml:space="preserve">・②日本の公的調査：内閣府「令和6年度高齢社会対策総合調査」で65歳以上の約6割が終活を実施、最多は「財産以外の所有物の整理」</w:t>
      </w:r>
    </w:p>
    <w:p>
      <w:pPr>
        <w:spacing w:after="60" w:line="320"/>
        <w:ind w:left="360"/>
      </w:pPr>
      <w:r>
        <w:rPr>
          <w:rFonts w:ascii="游ゴシック" w:cs="游ゴシック" w:eastAsia="游ゴシック" w:hAnsi="游ゴシック"/>
          <w:sz w:val="21"/>
          <w:szCs w:val="21"/>
        </w:rPr>
        <w:t xml:space="preserve">・③海外の学術研究：ACPは心不全患者のQOL改善（系統的レビュー14試験2,924名）、死別後家族の信頼感向上・不安軽減、小児終末期ケアでの決断後の後悔軽減と関連</w:t>
      </w:r>
    </w:p>
    <w:p>
      <w:pPr>
        <w:spacing w:after="60" w:before="160"/>
      </w:pPr>
      <w:r>
        <w:rPr>
          <w:rFonts w:ascii="游ゴシック" w:cs="游ゴシック" w:eastAsia="游ゴシック" w:hAnsi="游ゴシック"/>
          <w:b/>
          <w:bCs/>
          <w:color w:val="9C3B00"/>
          <w:sz w:val="22"/>
          <w:szCs w:val="22"/>
        </w:rPr>
        <w:t xml:space="preserve">Q20. 終活・相続対策で具体的にどんな良いことがありますか？感情論でなく根拠は？</w:t>
      </w:r>
    </w:p>
    <w:p>
      <w:pPr>
        <w:spacing w:after="120" w:line="330"/>
      </w:pPr>
      <w:r>
        <w:rPr>
          <w:rFonts w:ascii="游ゴシック" w:cs="游ゴシック" w:eastAsia="游ゴシック" w:hAnsi="游ゴシック"/>
          <w:sz w:val="21"/>
          <w:szCs w:val="21"/>
        </w:rPr>
        <w:t xml:space="preserve">回答の型：「国内の民間調査でも、終活を始めている方は幸福度・生活満足度が高い傾向が報告されています。もちろん相関関係であり、終活をすれば自動的に幸せになるという単純な話ではありません。しかし海外の研究では、人生会議に家族を巻き込みながら取り組むことで、本人・家族のQOLが向上し、死別後の不安や後悔が軽減されるという報告も出ています。私たちは終活・相続対策を『義務的な準備』ではなく『心置きなく生ききるための、幸福度を高める行為』として再定義し、届けていきたいと考えています。」</w:t>
      </w:r>
    </w:p>
    <w:p>
      <w:pPr>
        <w:spacing w:after="160" w:line="320"/>
      </w:pPr>
      <w:r>
        <w:rPr>
          <w:rFonts w:ascii="游ゴシック" w:cs="游ゴシック" w:eastAsia="游ゴシック" w:hAnsi="游ゴシック"/>
          <w:b/>
          <w:bCs/>
          <w:color w:val="C00000"/>
          <w:sz w:val="21"/>
          <w:szCs w:val="21"/>
        </w:rPr>
        <w:t xml:space="preserve">注意：因果関係が確立された研究ではないため、「科学的に証明されている」と言い切らず、「相関が報告されている」「研究が示唆している」という誠実な言い回しを徹底してください。</w:t>
      </w:r>
    </w:p>
    <w:p>
      <w:pPr>
        <w:pStyle w:val="Heading1"/>
        <w:pBdr>
          <w:bottom w:val="single" w:color="2E5395" w:sz="6" w:space="4"/>
        </w:pBdr>
        <w:spacing w:after="160" w:before="400"/>
      </w:pPr>
      <w:r>
        <w:rPr>
          <w:rFonts w:ascii="游ゴシック" w:cs="游ゴシック" w:eastAsia="游ゴシック" w:hAnsi="游ゴシック"/>
          <w:b/>
          <w:bCs/>
          <w:color w:val="2E5395"/>
          <w:sz w:val="28"/>
          <w:szCs w:val="28"/>
        </w:rPr>
        <w:t xml:space="preserve">2. 特に確認・準備しておきたい整合性ポイント</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6000"/>
      </w:tblGrid>
      <w:tr>
        <w:tc>
          <w:tcPr>
            <w:tcW w:type="dxa" w:w="3350"/>
            <w:shd w:fill="2E5395" w:val="clear"/>
          </w:tcPr>
          <w:p>
            <w:r>
              <w:rPr>
                <w:rFonts w:ascii="游ゴシック" w:cs="游ゴシック" w:eastAsia="游ゴシック" w:hAnsi="游ゴシック"/>
                <w:b/>
                <w:bCs/>
                <w:color w:val="FFFFFF"/>
                <w:sz w:val="20"/>
                <w:szCs w:val="20"/>
              </w:rPr>
              <w:t xml:space="preserve">項目</w:t>
            </w:r>
          </w:p>
        </w:tc>
        <w:tc>
          <w:tcPr>
            <w:tcW w:type="dxa" w:w="6000"/>
            <w:shd w:fill="2E5395" w:val="clear"/>
          </w:tcPr>
          <w:p>
            <w:r>
              <w:rPr>
                <w:rFonts w:ascii="游ゴシック" w:cs="游ゴシック" w:eastAsia="游ゴシック" w:hAnsi="游ゴシック"/>
                <w:b/>
                <w:bCs/>
                <w:color w:val="FFFFFF"/>
                <w:sz w:val="20"/>
                <w:szCs w:val="20"/>
              </w:rPr>
              <w:t xml:space="preserve">確認事項</w:t>
            </w:r>
          </w:p>
        </w:tc>
      </w:tr>
      <w:tr>
        <w:tc>
          <w:tcPr>
            <w:tcW w:type="dxa" w:w="3350"/>
          </w:tcPr>
          <w:p>
            <w:r>
              <w:rPr>
                <w:rFonts w:ascii="游ゴシック" w:cs="游ゴシック" w:eastAsia="游ゴシック" w:hAnsi="游ゴシック"/>
                <w:b w:val="false"/>
                <w:bCs w:val="false"/>
                <w:color w:val="000000"/>
                <w:sz w:val="20"/>
                <w:szCs w:val="20"/>
              </w:rPr>
              <w:t xml:space="preserve">「商品を一切持たない」</w:t>
            </w:r>
          </w:p>
        </w:tc>
        <w:tc>
          <w:tcPr>
            <w:tcW w:type="dxa" w:w="6000"/>
          </w:tcPr>
          <w:p>
            <w:r>
              <w:rPr>
                <w:rFonts w:ascii="游ゴシック" w:cs="游ゴシック" w:eastAsia="游ゴシック" w:hAnsi="游ゴシック"/>
                <w:b w:val="false"/>
                <w:bCs w:val="false"/>
                <w:color w:val="000000"/>
                <w:sz w:val="20"/>
                <w:szCs w:val="20"/>
              </w:rPr>
              <w:t xml:space="preserve">「金融商品を売らない」の意味だと最初に言い換える。実際の収益源を1〜2文で即答できるようにする</w:t>
            </w:r>
          </w:p>
        </w:tc>
      </w:tr>
      <w:tr>
        <w:tc>
          <w:tcPr>
            <w:tcW w:type="dxa" w:w="3350"/>
          </w:tcPr>
          <w:p>
            <w:r>
              <w:rPr>
                <w:rFonts w:ascii="游ゴシック" w:cs="游ゴシック" w:eastAsia="游ゴシック" w:hAnsi="游ゴシック"/>
                <w:b w:val="false"/>
                <w:bCs w:val="false"/>
                <w:color w:val="000000"/>
                <w:sz w:val="20"/>
                <w:szCs w:val="20"/>
              </w:rPr>
              <w:t xml:space="preserve">「8年間で50事業所」</w:t>
            </w:r>
          </w:p>
        </w:tc>
        <w:tc>
          <w:tcPr>
            <w:tcW w:type="dxa" w:w="6000"/>
          </w:tcPr>
          <w:p>
            <w:r>
              <w:rPr>
                <w:rFonts w:ascii="游ゴシック" w:cs="游ゴシック" w:eastAsia="游ゴシック" w:hAnsi="游ゴシック"/>
                <w:b w:val="false"/>
                <w:bCs w:val="false"/>
                <w:color w:val="000000"/>
                <w:sz w:val="20"/>
                <w:szCs w:val="20"/>
              </w:rPr>
              <w:t xml:space="preserve">起点（個人事業として何年に開始したか）を年表で言えるようにする（法人化は2020年2月）</w:t>
            </w:r>
          </w:p>
        </w:tc>
      </w:tr>
      <w:tr>
        <w:tc>
          <w:tcPr>
            <w:tcW w:type="dxa" w:w="3350"/>
          </w:tcPr>
          <w:p>
            <w:r>
              <w:rPr>
                <w:rFonts w:ascii="游ゴシック" w:cs="游ゴシック" w:eastAsia="游ゴシック" w:hAnsi="游ゴシック"/>
                <w:b w:val="false"/>
                <w:bCs w:val="false"/>
                <w:color w:val="000000"/>
                <w:sz w:val="20"/>
                <w:szCs w:val="20"/>
              </w:rPr>
              <w:t xml:space="preserve">50事業所の契約形態</w:t>
            </w:r>
          </w:p>
        </w:tc>
        <w:tc>
          <w:tcPr>
            <w:tcW w:type="dxa" w:w="6000"/>
          </w:tcPr>
          <w:p>
            <w:r>
              <w:rPr>
                <w:rFonts w:ascii="游ゴシック" w:cs="游ゴシック" w:eastAsia="游ゴシック" w:hAnsi="游ゴシック"/>
                <w:b w:val="false"/>
                <w:bCs w:val="false"/>
                <w:color w:val="000000"/>
                <w:sz w:val="20"/>
                <w:szCs w:val="20"/>
              </w:rPr>
              <w:t xml:space="preserve">加盟条件・費用・質の担保の仕組みを簡潔に説明できるようにする</w:t>
            </w:r>
          </w:p>
        </w:tc>
      </w:tr>
      <w:tr>
        <w:tc>
          <w:tcPr>
            <w:tcW w:type="dxa" w:w="3350"/>
          </w:tcPr>
          <w:p>
            <w:r>
              <w:rPr>
                <w:rFonts w:ascii="游ゴシック" w:cs="游ゴシック" w:eastAsia="游ゴシック" w:hAnsi="游ゴシック"/>
                <w:b w:val="false"/>
                <w:bCs w:val="false"/>
                <w:color w:val="000000"/>
                <w:sz w:val="20"/>
                <w:szCs w:val="20"/>
              </w:rPr>
              <w:t xml:space="preserve">72.1%</w:t>
            </w:r>
          </w:p>
        </w:tc>
        <w:tc>
          <w:tcPr>
            <w:tcW w:type="dxa" w:w="6000"/>
          </w:tcPr>
          <w:p>
            <w:r>
              <w:rPr>
                <w:rFonts w:ascii="游ゴシック" w:cs="游ゴシック" w:eastAsia="游ゴシック" w:hAnsi="游ゴシック"/>
                <w:b w:val="false"/>
                <w:bCs w:val="false"/>
                <w:color w:val="000000"/>
                <w:sz w:val="20"/>
                <w:szCs w:val="20"/>
              </w:rPr>
              <w:t xml:space="preserve">厚労省「人生会議に関する意識調査」令和4年度、n=3,000、一般国民対象 → 出典確定済み</w:t>
            </w:r>
          </w:p>
        </w:tc>
      </w:tr>
      <w:tr>
        <w:tc>
          <w:tcPr>
            <w:tcW w:type="dxa" w:w="3350"/>
          </w:tcPr>
          <w:p>
            <w:r>
              <w:rPr>
                <w:rFonts w:ascii="游ゴシック" w:cs="游ゴシック" w:eastAsia="游ゴシック" w:hAnsi="游ゴシック"/>
                <w:b w:val="false"/>
                <w:bCs w:val="false"/>
                <w:color w:val="000000"/>
                <w:sz w:val="20"/>
                <w:szCs w:val="20"/>
              </w:rPr>
              <w:t xml:space="preserve">68.6%</w:t>
            </w:r>
          </w:p>
        </w:tc>
        <w:tc>
          <w:tcPr>
            <w:tcW w:type="dxa" w:w="6000"/>
          </w:tcPr>
          <w:p>
            <w:r>
              <w:rPr>
                <w:rFonts w:ascii="游ゴシック" w:cs="游ゴシック" w:eastAsia="游ゴシック" w:hAnsi="游ゴシック"/>
                <w:b w:val="false"/>
                <w:bCs w:val="false"/>
                <w:color w:val="000000"/>
                <w:sz w:val="20"/>
                <w:szCs w:val="20"/>
              </w:rPr>
              <w:t xml:space="preserve">出典未確定。本番前にご自身で一次情報を再確認してください（厚労省「人生の最終段階における医療・ケアに関する意識調査」関連の可能性が高い）</w:t>
            </w:r>
          </w:p>
        </w:tc>
      </w:tr>
      <w:tr>
        <w:tc>
          <w:tcPr>
            <w:tcW w:type="dxa" w:w="3350"/>
          </w:tcPr>
          <w:p>
            <w:r>
              <w:rPr>
                <w:rFonts w:ascii="游ゴシック" w:cs="游ゴシック" w:eastAsia="游ゴシック" w:hAnsi="游ゴシック"/>
                <w:b w:val="false"/>
                <w:bCs w:val="false"/>
                <w:color w:val="000000"/>
                <w:sz w:val="20"/>
                <w:szCs w:val="20"/>
              </w:rPr>
              <w:t xml:space="preserve">地域セミナー500名／介護離職30%減／ACP実施率80%超</w:t>
            </w:r>
          </w:p>
        </w:tc>
        <w:tc>
          <w:tcPr>
            <w:tcW w:type="dxa" w:w="6000"/>
          </w:tcPr>
          <w:p>
            <w:r>
              <w:rPr>
                <w:rFonts w:ascii="游ゴシック" w:cs="游ゴシック" w:eastAsia="游ゴシック" w:hAnsi="游ゴシック"/>
                <w:b w:val="false"/>
                <w:bCs w:val="false"/>
                <w:color w:val="000000"/>
                <w:sz w:val="20"/>
                <w:szCs w:val="20"/>
              </w:rPr>
              <w:t xml:space="preserve">全社統計か個別好事例かを明確に区別して答える</w:t>
            </w:r>
          </w:p>
        </w:tc>
      </w:tr>
      <w:tr>
        <w:tc>
          <w:tcPr>
            <w:tcW w:type="dxa" w:w="3350"/>
          </w:tcPr>
          <w:p>
            <w:r>
              <w:rPr>
                <w:rFonts w:ascii="游ゴシック" w:cs="游ゴシック" w:eastAsia="游ゴシック" w:hAnsi="游ゴシック"/>
                <w:b w:val="false"/>
                <w:bCs w:val="false"/>
                <w:color w:val="000000"/>
                <w:sz w:val="20"/>
                <w:szCs w:val="20"/>
              </w:rPr>
              <w:t xml:space="preserve">売上（単体5,000万円／FC全体2億円／グループ全体3億円）</w:t>
            </w:r>
          </w:p>
        </w:tc>
        <w:tc>
          <w:tcPr>
            <w:tcW w:type="dxa" w:w="6000"/>
          </w:tcPr>
          <w:p>
            <w:r>
              <w:rPr>
                <w:rFonts w:ascii="游ゴシック" w:cs="游ゴシック" w:eastAsia="游ゴシック" w:hAnsi="游ゴシック"/>
                <w:b w:val="false"/>
                <w:bCs w:val="false"/>
                <w:color w:val="000000"/>
                <w:sz w:val="20"/>
                <w:szCs w:val="20"/>
              </w:rPr>
              <w:t xml:space="preserve">「なぜ単体が大きくないか＝分散型モデルだから」とセットで即答できるように</w:t>
            </w:r>
          </w:p>
        </w:tc>
      </w:tr>
      <w:tr>
        <w:tc>
          <w:tcPr>
            <w:tcW w:type="dxa" w:w="3350"/>
          </w:tcPr>
          <w:p>
            <w:r>
              <w:rPr>
                <w:rFonts w:ascii="游ゴシック" w:cs="游ゴシック" w:eastAsia="游ゴシック" w:hAnsi="游ゴシック"/>
                <w:b w:val="false"/>
                <w:bCs w:val="false"/>
                <w:color w:val="000000"/>
                <w:sz w:val="20"/>
                <w:szCs w:val="20"/>
              </w:rPr>
              <w:t xml:space="preserve">利益率・黒字かどうか</w:t>
            </w:r>
          </w:p>
        </w:tc>
        <w:tc>
          <w:tcPr>
            <w:tcW w:type="dxa" w:w="6000"/>
          </w:tcPr>
          <w:p>
            <w:r>
              <w:rPr>
                <w:rFonts w:ascii="游ゴシック" w:cs="游ゴシック" w:eastAsia="游ゴシック" w:hAnsi="游ゴシック"/>
                <w:b w:val="false"/>
                <w:bCs w:val="false"/>
                <w:color w:val="000000"/>
                <w:sz w:val="20"/>
                <w:szCs w:val="20"/>
              </w:rPr>
              <w:t xml:space="preserve">未共有。概算でよいので本番前に数字を1つ用意</w:t>
            </w:r>
          </w:p>
        </w:tc>
      </w:tr>
      <w:tr>
        <w:tc>
          <w:tcPr>
            <w:tcW w:type="dxa" w:w="3350"/>
          </w:tcPr>
          <w:p>
            <w:r>
              <w:rPr>
                <w:rFonts w:ascii="游ゴシック" w:cs="游ゴシック" w:eastAsia="游ゴシック" w:hAnsi="游ゴシック"/>
                <w:b w:val="false"/>
                <w:bCs w:val="false"/>
                <w:color w:val="000000"/>
                <w:sz w:val="20"/>
                <w:szCs w:val="20"/>
              </w:rPr>
              <w:t xml:space="preserve">繋ぐノート5,000部／資格者50名（2年）</w:t>
            </w:r>
          </w:p>
        </w:tc>
        <w:tc>
          <w:tcPr>
            <w:tcW w:type="dxa" w:w="6000"/>
          </w:tcPr>
          <w:p>
            <w:r>
              <w:rPr>
                <w:rFonts w:ascii="游ゴシック" w:cs="游ゴシック" w:eastAsia="游ゴシック" w:hAnsi="游ゴシック"/>
                <w:b w:val="false"/>
                <w:bCs w:val="false"/>
                <w:color w:val="000000"/>
                <w:sz w:val="20"/>
                <w:szCs w:val="20"/>
              </w:rPr>
              <w:t xml:space="preserve">開示するかどうかの最終判断をご本人が行う。開示する場合は「信頼ベースで広げてきた結果」という文脈とセットで</w:t>
            </w:r>
          </w:p>
        </w:tc>
      </w:tr>
      <w:tr>
        <w:tc>
          <w:tcPr>
            <w:tcW w:type="dxa" w:w="3350"/>
          </w:tcPr>
          <w:p>
            <w:r>
              <w:rPr>
                <w:rFonts w:ascii="游ゴシック" w:cs="游ゴシック" w:eastAsia="游ゴシック" w:hAnsi="游ゴシック"/>
                <w:b w:val="false"/>
                <w:bCs w:val="false"/>
                <w:color w:val="000000"/>
                <w:sz w:val="20"/>
                <w:szCs w:val="20"/>
              </w:rPr>
              <w:t xml:space="preserve">「2年で資格者50名」と「資格創設2025年」の整合性</w:t>
            </w:r>
          </w:p>
        </w:tc>
        <w:tc>
          <w:tcPr>
            <w:tcW w:type="dxa" w:w="6000"/>
          </w:tcPr>
          <w:p>
            <w:r>
              <w:rPr>
                <w:rFonts w:ascii="游ゴシック" w:cs="游ゴシック" w:eastAsia="游ゴシック" w:hAnsi="游ゴシック"/>
                <w:b w:val="false"/>
                <w:bCs w:val="false"/>
                <w:color w:val="000000"/>
                <w:sz w:val="20"/>
                <w:szCs w:val="20"/>
              </w:rPr>
              <w:t xml:space="preserve">資格創設時期と「2年」の起算点がずれていないか、年表で確認</w:t>
            </w:r>
          </w:p>
        </w:tc>
      </w:tr>
      <w:tr>
        <w:tc>
          <w:tcPr>
            <w:tcW w:type="dxa" w:w="3350"/>
          </w:tcPr>
          <w:p>
            <w:r>
              <w:rPr>
                <w:rFonts w:ascii="游ゴシック" w:cs="游ゴシック" w:eastAsia="游ゴシック" w:hAnsi="游ゴシック"/>
                <w:b w:val="false"/>
                <w:bCs w:val="false"/>
                <w:color w:val="000000"/>
                <w:sz w:val="20"/>
                <w:szCs w:val="20"/>
              </w:rPr>
              <w:t xml:space="preserve">3年でFC100事業所</w:t>
            </w:r>
          </w:p>
        </w:tc>
        <w:tc>
          <w:tcPr>
            <w:tcW w:type="dxa" w:w="6000"/>
          </w:tcPr>
          <w:p>
            <w:r>
              <w:rPr>
                <w:rFonts w:ascii="游ゴシック" w:cs="游ゴシック" w:eastAsia="游ゴシック" w:hAnsi="游ゴシック"/>
                <w:b w:val="false"/>
                <w:bCs w:val="false"/>
                <w:color w:val="000000"/>
                <w:sz w:val="20"/>
                <w:szCs w:val="20"/>
              </w:rPr>
              <w:t xml:space="preserve">「過去8年＝実証フェーズ」「今後3年＝拡大フェーズ」という2段階の説明で根拠づける</w:t>
            </w:r>
          </w:p>
        </w:tc>
      </w:tr>
      <w:tr>
        <w:tc>
          <w:tcPr>
            <w:tcW w:type="dxa" w:w="3350"/>
          </w:tcPr>
          <w:p>
            <w:r>
              <w:rPr>
                <w:rFonts w:ascii="游ゴシック" w:cs="游ゴシック" w:eastAsia="游ゴシック" w:hAnsi="游ゴシック"/>
                <w:b w:val="false"/>
                <w:bCs w:val="false"/>
                <w:color w:val="000000"/>
                <w:sz w:val="20"/>
                <w:szCs w:val="20"/>
              </w:rPr>
              <w:t xml:space="preserve">「終活・相続対策は幸福度を高める」という主張</w:t>
            </w:r>
          </w:p>
        </w:tc>
        <w:tc>
          <w:tcPr>
            <w:tcW w:type="dxa" w:w="6000"/>
          </w:tcPr>
          <w:p>
            <w:r>
              <w:rPr>
                <w:rFonts w:ascii="游ゴシック" w:cs="游ゴシック" w:eastAsia="游ゴシック" w:hAnsi="游ゴシック"/>
                <w:b w:val="false"/>
                <w:bCs w:val="false"/>
                <w:color w:val="000000"/>
                <w:sz w:val="20"/>
                <w:szCs w:val="20"/>
              </w:rPr>
              <w:t xml:space="preserve">相関関係であり因果関係ではないことを認識した上で、「相関が報告されている」という誠実な言い回しで使う</w:t>
            </w:r>
          </w:p>
        </w:tc>
      </w:tr>
    </w:tbl>
    <w:p>
      <w:pPr>
        <w:pStyle w:val="Heading1"/>
        <w:pBdr>
          <w:bottom w:val="single" w:color="2E5395" w:sz="6" w:space="4"/>
        </w:pBdr>
        <w:spacing w:after="160" w:before="400"/>
      </w:pPr>
      <w:r>
        <w:rPr>
          <w:rFonts w:ascii="游ゴシック" w:cs="游ゴシック" w:eastAsia="游ゴシック" w:hAnsi="游ゴシック"/>
          <w:b/>
          <w:bCs/>
          <w:color w:val="2E5395"/>
          <w:sz w:val="28"/>
          <w:szCs w:val="28"/>
        </w:rPr>
        <w:t xml:space="preserve">3. 当日の進行に向けて（Zoom60分）</w:t>
      </w:r>
    </w:p>
    <w:p>
      <w:pPr>
        <w:spacing w:after="120" w:line="330"/>
      </w:pPr>
      <w:r>
        <w:rPr>
          <w:rFonts w:ascii="游ゴシック" w:cs="游ゴシック" w:eastAsia="游ゴシック" w:hAnsi="游ゴシック"/>
          <w:sz w:val="21"/>
          <w:szCs w:val="21"/>
        </w:rPr>
        <w:t xml:space="preserve">60分は一問一答で終わる尺ではなく、かなり深掘りされる前提で準備した方がよい長さです。想定される構成イメージ：</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50"/>
      </w:tblGrid>
      <w:tr>
        <w:tc>
          <w:tcPr>
            <w:tcW w:type="dxa" w:w="1600"/>
            <w:shd w:fill="2E5395" w:val="clear"/>
          </w:tcPr>
          <w:p>
            <w:r>
              <w:rPr>
                <w:rFonts w:ascii="游ゴシック" w:cs="游ゴシック" w:eastAsia="游ゴシック" w:hAnsi="游ゴシック"/>
                <w:b/>
                <w:bCs/>
                <w:color w:val="FFFFFF"/>
                <w:sz w:val="20"/>
                <w:szCs w:val="20"/>
              </w:rPr>
              <w:t xml:space="preserve">時間</w:t>
            </w:r>
          </w:p>
        </w:tc>
        <w:tc>
          <w:tcPr>
            <w:tcW w:type="dxa" w:w="3200"/>
            <w:shd w:fill="2E5395" w:val="clear"/>
          </w:tcPr>
          <w:p>
            <w:r>
              <w:rPr>
                <w:rFonts w:ascii="游ゴシック" w:cs="游ゴシック" w:eastAsia="游ゴシック" w:hAnsi="游ゴシック"/>
                <w:b/>
                <w:bCs/>
                <w:color w:val="FFFFFF"/>
                <w:sz w:val="20"/>
                <w:szCs w:val="20"/>
              </w:rPr>
              <w:t xml:space="preserve">内容</w:t>
            </w:r>
          </w:p>
        </w:tc>
        <w:tc>
          <w:tcPr>
            <w:tcW w:type="dxa" w:w="4550"/>
            <w:shd w:fill="2E5395" w:val="clear"/>
          </w:tcPr>
          <w:p>
            <w:r>
              <w:rPr>
                <w:rFonts w:ascii="游ゴシック" w:cs="游ゴシック" w:eastAsia="游ゴシック" w:hAnsi="游ゴシック"/>
                <w:b/>
                <w:bCs/>
                <w:color w:val="FFFFFF"/>
                <w:sz w:val="20"/>
                <w:szCs w:val="20"/>
              </w:rPr>
              <w:t xml:space="preserve">準備のポイント</w:t>
            </w:r>
          </w:p>
        </w:tc>
      </w:tr>
      <w:tr>
        <w:tc>
          <w:tcPr>
            <w:tcW w:type="dxa" w:w="1600"/>
          </w:tcPr>
          <w:p>
            <w:r>
              <w:rPr>
                <w:rFonts w:ascii="游ゴシック" w:cs="游ゴシック" w:eastAsia="游ゴシック" w:hAnsi="游ゴシック"/>
                <w:b w:val="false"/>
                <w:bCs w:val="false"/>
                <w:color w:val="000000"/>
                <w:sz w:val="20"/>
                <w:szCs w:val="20"/>
              </w:rPr>
              <w:t xml:space="preserve">0〜5分</w:t>
            </w:r>
          </w:p>
        </w:tc>
        <w:tc>
          <w:tcPr>
            <w:tcW w:type="dxa" w:w="3200"/>
          </w:tcPr>
          <w:p>
            <w:r>
              <w:rPr>
                <w:rFonts w:ascii="游ゴシック" w:cs="游ゴシック" w:eastAsia="游ゴシック" w:hAnsi="游ゴシック"/>
                <w:b w:val="false"/>
                <w:bCs w:val="false"/>
                <w:color w:val="000000"/>
                <w:sz w:val="20"/>
                <w:szCs w:val="20"/>
              </w:rPr>
              <w:t xml:space="preserve">挨拶・自己紹介</w:t>
            </w:r>
          </w:p>
        </w:tc>
        <w:tc>
          <w:tcPr>
            <w:tcW w:type="dxa" w:w="4550"/>
          </w:tcPr>
          <w:p>
            <w:r>
              <w:rPr>
                <w:rFonts w:ascii="游ゴシック" w:cs="游ゴシック" w:eastAsia="游ゴシック" w:hAnsi="游ゴシック"/>
                <w:b w:val="false"/>
                <w:bCs w:val="false"/>
                <w:color w:val="000000"/>
                <w:sz w:val="20"/>
                <w:szCs w:val="20"/>
              </w:rPr>
              <w:t xml:space="preserve">経歴（金融20年→相続）と「なぜこの事業か」を1〜2分で簡潔に</w:t>
            </w:r>
          </w:p>
        </w:tc>
      </w:tr>
      <w:tr>
        <w:tc>
          <w:tcPr>
            <w:tcW w:type="dxa" w:w="1600"/>
          </w:tcPr>
          <w:p>
            <w:r>
              <w:rPr>
                <w:rFonts w:ascii="游ゴシック" w:cs="游ゴシック" w:eastAsia="游ゴシック" w:hAnsi="游ゴシック"/>
                <w:b w:val="false"/>
                <w:bCs w:val="false"/>
                <w:color w:val="000000"/>
                <w:sz w:val="20"/>
                <w:szCs w:val="20"/>
              </w:rPr>
              <w:t xml:space="preserve">5〜15分</w:t>
            </w:r>
          </w:p>
        </w:tc>
        <w:tc>
          <w:tcPr>
            <w:tcW w:type="dxa" w:w="3200"/>
          </w:tcPr>
          <w:p>
            <w:r>
              <w:rPr>
                <w:rFonts w:ascii="游ゴシック" w:cs="游ゴシック" w:eastAsia="游ゴシック" w:hAnsi="游ゴシック"/>
                <w:b w:val="false"/>
                <w:bCs w:val="false"/>
                <w:color w:val="000000"/>
                <w:sz w:val="20"/>
                <w:szCs w:val="20"/>
              </w:rPr>
              <w:t xml:space="preserve">事業プレゼン（求められた場合）</w:t>
            </w:r>
          </w:p>
        </w:tc>
        <w:tc>
          <w:tcPr>
            <w:tcW w:type="dxa" w:w="4550"/>
          </w:tcPr>
          <w:p>
            <w:r>
              <w:rPr>
                <w:rFonts w:ascii="游ゴシック" w:cs="游ゴシック" w:eastAsia="游ゴシック" w:hAnsi="游ゴシック"/>
                <w:b w:val="false"/>
                <w:bCs w:val="false"/>
                <w:color w:val="000000"/>
                <w:sz w:val="20"/>
                <w:szCs w:val="20"/>
              </w:rPr>
              <w:t xml:space="preserve">提出本文の流れ（課題→事業→証明→社会動向→目指す姿）を3〜5分で。資料の画面共有があればここで使う</w:t>
            </w:r>
          </w:p>
        </w:tc>
      </w:tr>
      <w:tr>
        <w:tc>
          <w:tcPr>
            <w:tcW w:type="dxa" w:w="1600"/>
          </w:tcPr>
          <w:p>
            <w:r>
              <w:rPr>
                <w:rFonts w:ascii="游ゴシック" w:cs="游ゴシック" w:eastAsia="游ゴシック" w:hAnsi="游ゴシック"/>
                <w:b w:val="false"/>
                <w:bCs w:val="false"/>
                <w:color w:val="000000"/>
                <w:sz w:val="20"/>
                <w:szCs w:val="20"/>
              </w:rPr>
              <w:t xml:space="preserve">15〜50分</w:t>
            </w:r>
          </w:p>
        </w:tc>
        <w:tc>
          <w:tcPr>
            <w:tcW w:type="dxa" w:w="3200"/>
          </w:tcPr>
          <w:p>
            <w:r>
              <w:rPr>
                <w:rFonts w:ascii="游ゴシック" w:cs="游ゴシック" w:eastAsia="游ゴシック" w:hAnsi="游ゴシック"/>
                <w:b w:val="false"/>
                <w:bCs w:val="false"/>
                <w:color w:val="000000"/>
                <w:sz w:val="20"/>
                <w:szCs w:val="20"/>
              </w:rPr>
              <w:t xml:space="preserve">質疑応答（本体）</w:t>
            </w:r>
          </w:p>
        </w:tc>
        <w:tc>
          <w:tcPr>
            <w:tcW w:type="dxa" w:w="4550"/>
          </w:tcPr>
          <w:p>
            <w:r>
              <w:rPr>
                <w:rFonts w:ascii="游ゴシック" w:cs="游ゴシック" w:eastAsia="游ゴシック" w:hAnsi="游ゴシック"/>
                <w:b w:val="false"/>
                <w:bCs w:val="false"/>
                <w:color w:val="000000"/>
                <w:sz w:val="20"/>
                <w:szCs w:val="20"/>
              </w:rPr>
              <w:t xml:space="preserve">想定問答A〜Eが中心。1問30秒〜1分で簡潔に答え、深掘りへの「一段深い回答」も用意</w:t>
            </w:r>
          </w:p>
        </w:tc>
      </w:tr>
      <w:tr>
        <w:tc>
          <w:tcPr>
            <w:tcW w:type="dxa" w:w="1600"/>
          </w:tcPr>
          <w:p>
            <w:r>
              <w:rPr>
                <w:rFonts w:ascii="游ゴシック" w:cs="游ゴシック" w:eastAsia="游ゴシック" w:hAnsi="游ゴシック"/>
                <w:b w:val="false"/>
                <w:bCs w:val="false"/>
                <w:color w:val="000000"/>
                <w:sz w:val="20"/>
                <w:szCs w:val="20"/>
              </w:rPr>
              <w:t xml:space="preserve">50〜58分</w:t>
            </w:r>
          </w:p>
        </w:tc>
        <w:tc>
          <w:tcPr>
            <w:tcW w:type="dxa" w:w="3200"/>
          </w:tcPr>
          <w:p>
            <w:r>
              <w:rPr>
                <w:rFonts w:ascii="游ゴシック" w:cs="游ゴシック" w:eastAsia="游ゴシック" w:hAnsi="游ゴシック"/>
                <w:b w:val="false"/>
                <w:bCs w:val="false"/>
                <w:color w:val="000000"/>
                <w:sz w:val="20"/>
                <w:szCs w:val="20"/>
              </w:rPr>
              <w:t xml:space="preserve">追加確認・逆質問の機会</w:t>
            </w:r>
          </w:p>
        </w:tc>
        <w:tc>
          <w:tcPr>
            <w:tcW w:type="dxa" w:w="4550"/>
          </w:tcPr>
          <w:p>
            <w:r>
              <w:rPr>
                <w:rFonts w:ascii="游ゴシック" w:cs="游ゴシック" w:eastAsia="游ゴシック" w:hAnsi="游ゴシック"/>
                <w:b w:val="false"/>
                <w:bCs w:val="false"/>
                <w:color w:val="000000"/>
                <w:sz w:val="20"/>
                <w:szCs w:val="20"/>
              </w:rPr>
              <w:t xml:space="preserve">「今後の支援・連携で期待すること」を一言で言えるように準備</w:t>
            </w:r>
          </w:p>
        </w:tc>
      </w:tr>
      <w:tr>
        <w:tc>
          <w:tcPr>
            <w:tcW w:type="dxa" w:w="1600"/>
          </w:tcPr>
          <w:p>
            <w:r>
              <w:rPr>
                <w:rFonts w:ascii="游ゴシック" w:cs="游ゴシック" w:eastAsia="游ゴシック" w:hAnsi="游ゴシック"/>
                <w:b w:val="false"/>
                <w:bCs w:val="false"/>
                <w:color w:val="000000"/>
                <w:sz w:val="20"/>
                <w:szCs w:val="20"/>
              </w:rPr>
              <w:t xml:space="preserve">58〜60分</w:t>
            </w:r>
          </w:p>
        </w:tc>
        <w:tc>
          <w:tcPr>
            <w:tcW w:type="dxa" w:w="3200"/>
          </w:tcPr>
          <w:p>
            <w:r>
              <w:rPr>
                <w:rFonts w:ascii="游ゴシック" w:cs="游ゴシック" w:eastAsia="游ゴシック" w:hAnsi="游ゴシック"/>
                <w:b w:val="false"/>
                <w:bCs w:val="false"/>
                <w:color w:val="000000"/>
                <w:sz w:val="20"/>
                <w:szCs w:val="20"/>
              </w:rPr>
              <w:t xml:space="preserve">クロージング・お礼</w:t>
            </w:r>
          </w:p>
        </w:tc>
        <w:tc>
          <w:tcPr>
            <w:tcW w:type="dxa" w:w="4550"/>
          </w:tcPr>
          <w:p>
            <w:r>
              <w:rPr>
                <w:rFonts w:ascii="游ゴシック" w:cs="游ゴシック" w:eastAsia="游ゴシック" w:hAnsi="游ゴシック"/>
                <w:b w:val="false"/>
                <w:bCs w:val="false"/>
                <w:color w:val="000000"/>
                <w:sz w:val="20"/>
                <w:szCs w:val="20"/>
              </w:rPr>
              <w:t xml:space="preserve">提出文の結び「表彰されることそのものが社会課題への一つの解決策になる」で締める</w:t>
            </w:r>
          </w:p>
        </w:tc>
      </w:tr>
    </w:tbl>
    <w:p>
      <w:pPr>
        <w:pStyle w:val="Heading2"/>
        <w:spacing w:after="120" w:before="280"/>
      </w:pPr>
      <w:r>
        <w:rPr>
          <w:rFonts w:ascii="游ゴシック" w:cs="游ゴシック" w:eastAsia="游ゴシック" w:hAnsi="游ゴシック"/>
          <w:b/>
          <w:bCs/>
          <w:color w:val="444444"/>
          <w:sz w:val="24"/>
          <w:szCs w:val="24"/>
        </w:rPr>
        <w:t xml:space="preserve">60分だからこそ意識したいこと</w:t>
      </w:r>
    </w:p>
    <w:p>
      <w:pPr>
        <w:spacing w:after="60" w:line="320"/>
        <w:ind w:left="360"/>
      </w:pPr>
      <w:r>
        <w:rPr>
          <w:rFonts w:ascii="游ゴシック" w:cs="游ゴシック" w:eastAsia="游ゴシック" w:hAnsi="游ゴシック"/>
          <w:sz w:val="21"/>
          <w:szCs w:val="21"/>
        </w:rPr>
        <w:t xml:space="preserve">・1問1答で終わらせず、深掘りに備える：各トピックに「もう一段深い補足」を1つずつ用意しておく</w:t>
      </w:r>
    </w:p>
    <w:p>
      <w:pPr>
        <w:spacing w:after="60" w:line="320"/>
        <w:ind w:left="360"/>
      </w:pPr>
      <w:r>
        <w:rPr>
          <w:rFonts w:ascii="游ゴシック" w:cs="游ゴシック" w:eastAsia="游ゴシック" w:hAnsi="游ゴシック"/>
          <w:sz w:val="21"/>
          <w:szCs w:val="21"/>
        </w:rPr>
        <w:t xml:space="preserve">・沈黙を恐れない：「一番苦労したことは？」等、じっくり考えさせる質問も来る前提で。正直な経験談の方が響く</w:t>
      </w:r>
    </w:p>
    <w:p>
      <w:pPr>
        <w:spacing w:after="60" w:line="320"/>
        <w:ind w:left="360"/>
      </w:pPr>
      <w:r>
        <w:rPr>
          <w:rFonts w:ascii="游ゴシック" w:cs="游ゴシック" w:eastAsia="游ゴシック" w:hAnsi="游ゴシック"/>
          <w:sz w:val="21"/>
          <w:szCs w:val="21"/>
        </w:rPr>
        <w:t xml:space="preserve">・時間が余ったら：チーム体制、資格者・クライアントの声、他の受賞歴やメディア掲載歴も聞かれうる</w:t>
      </w:r>
    </w:p>
    <w:p>
      <w:pPr>
        <w:spacing w:after="60" w:line="320"/>
        <w:ind w:left="360"/>
      </w:pPr>
      <w:r>
        <w:rPr>
          <w:rFonts w:ascii="游ゴシック" w:cs="游ゴシック" w:eastAsia="游ゴシック" w:hAnsi="游ゴシック"/>
          <w:sz w:val="21"/>
          <w:szCs w:val="21"/>
        </w:rPr>
        <w:t xml:space="preserve">・自己紹介・概要説明は1分版・3分版の2パターンを用意（3分版は提出本文の流れで練習）</w:t>
      </w:r>
    </w:p>
    <w:p>
      <w:pPr>
        <w:spacing w:after="60" w:line="320"/>
        <w:ind w:left="360"/>
      </w:pPr>
      <w:r>
        <w:rPr>
          <w:rFonts w:ascii="游ゴシック" w:cs="游ゴシック" w:eastAsia="游ゴシック" w:hAnsi="游ゴシック"/>
          <w:sz w:val="21"/>
          <w:szCs w:val="21"/>
        </w:rPr>
        <w:t xml:space="preserve">・画面共有を求められる場合に備え、繋ぐノート実物写真・事業所マップ・組織図をすぐ出せる状態に</w:t>
      </w:r>
    </w:p>
    <w:p>
      <w:pPr>
        <w:spacing w:after="60" w:line="320"/>
        <w:ind w:left="360"/>
      </w:pPr>
      <w:r>
        <w:rPr>
          <w:rFonts w:ascii="游ゴシック" w:cs="游ゴシック" w:eastAsia="游ゴシック" w:hAnsi="游ゴシック"/>
          <w:sz w:val="21"/>
          <w:szCs w:val="21"/>
        </w:rPr>
        <w:t xml:space="preserve">・想定外の質問には「現状は○○で、今後○○を整備していく予定です」と正直に答える方が誠実な印象につながる</w:t>
      </w:r>
    </w:p>
    <w:p>
      <w:pPr>
        <w:spacing w:after="60" w:line="320"/>
        <w:ind w:left="360"/>
      </w:pPr>
      <w:r>
        <w:rPr>
          <w:rFonts w:ascii="游ゴシック" w:cs="游ゴシック" w:eastAsia="游ゴシック" w:hAnsi="游ゴシック"/>
          <w:sz w:val="21"/>
          <w:szCs w:val="21"/>
        </w:rPr>
        <w:t xml:space="preserve">・Zoom環境：通信・音声・画面共有の事前チェックを前日までに</w:t>
      </w:r>
    </w:p>
    <w:p>
      <w:pPr>
        <w:pStyle w:val="Heading1"/>
        <w:pBdr>
          <w:bottom w:val="single" w:color="2E5395" w:sz="6" w:space="4"/>
        </w:pBdr>
        <w:spacing w:after="160" w:before="400"/>
      </w:pPr>
      <w:r>
        <w:rPr>
          <w:rFonts w:ascii="游ゴシック" w:cs="游ゴシック" w:eastAsia="游ゴシック" w:hAnsi="游ゴシック"/>
          <w:b/>
          <w:bCs/>
          <w:color w:val="2E5395"/>
          <w:sz w:val="28"/>
          <w:szCs w:val="28"/>
        </w:rPr>
        <w:t xml:space="preserve">4. 次のアクション</w:t>
      </w:r>
    </w:p>
    <w:p>
      <w:pPr>
        <w:spacing w:after="60" w:line="320"/>
        <w:ind w:left="360"/>
      </w:pPr>
      <w:r>
        <w:rPr>
          <w:rFonts w:ascii="游ゴシック" w:cs="游ゴシック" w:eastAsia="游ゴシック" w:hAnsi="游ゴシック"/>
          <w:sz w:val="21"/>
          <w:szCs w:val="21"/>
        </w:rPr>
        <w:t xml:space="preserve">・収益源の言語化／68.6%の出典確認（最優先）</w:t>
      </w:r>
    </w:p>
    <w:p>
      <w:pPr>
        <w:spacing w:after="60" w:line="320"/>
        <w:ind w:left="360"/>
      </w:pPr>
      <w:r>
        <w:rPr>
          <w:rFonts w:ascii="游ゴシック" w:cs="游ゴシック" w:eastAsia="游ゴシック" w:hAnsi="游ゴシック"/>
          <w:sz w:val="21"/>
          <w:szCs w:val="21"/>
        </w:rPr>
        <w:t xml:space="preserve">・繋ぐノート5,000部・資格者50名の数字を開示するか／どう伝えるかを決めておく（推奨：開示＋リフレーミング）</w:t>
      </w:r>
    </w:p>
    <w:p>
      <w:pPr>
        <w:spacing w:after="60" w:line="320"/>
        <w:ind w:left="360"/>
      </w:pPr>
      <w:r>
        <w:rPr>
          <w:rFonts w:ascii="游ゴシック" w:cs="游ゴシック" w:eastAsia="游ゴシック" w:hAnsi="游ゴシック"/>
          <w:sz w:val="21"/>
          <w:szCs w:val="21"/>
        </w:rPr>
        <w:t xml:space="preserve">・「利益率・黒字かどうか」の概算を1つ用意しておく</w:t>
      </w:r>
    </w:p>
    <w:p>
      <w:pPr>
        <w:spacing w:after="60" w:line="320"/>
        <w:ind w:left="360"/>
      </w:pPr>
      <w:r>
        <w:rPr>
          <w:rFonts w:ascii="游ゴシック" w:cs="游ゴシック" w:eastAsia="游ゴシック" w:hAnsi="游ゴシック"/>
          <w:sz w:val="21"/>
          <w:szCs w:val="21"/>
        </w:rPr>
        <w:t xml:space="preserve">・「過去8年＝実証フェーズ、今後3年＝拡大フェーズ」のストーリーを声に出して練習</w:t>
      </w:r>
    </w:p>
    <w:p>
      <w:pPr>
        <w:spacing w:after="60" w:line="320"/>
        <w:ind w:left="360"/>
      </w:pPr>
      <w:r>
        <w:rPr>
          <w:rFonts w:ascii="游ゴシック" w:cs="游ゴシック" w:eastAsia="游ゴシック" w:hAnsi="游ゴシック"/>
          <w:sz w:val="21"/>
          <w:szCs w:val="21"/>
        </w:rPr>
        <w:t xml:space="preserve">・「競争から共存へ」の決め台詞を、自己紹介かクロージングのどちらで言うか決めておく</w:t>
      </w:r>
    </w:p>
    <w:p>
      <w:pPr>
        <w:spacing w:after="60" w:line="320"/>
        <w:ind w:left="360"/>
      </w:pPr>
      <w:r>
        <w:rPr>
          <w:rFonts w:ascii="游ゴシック" w:cs="游ゴシック" w:eastAsia="游ゴシック" w:hAnsi="游ゴシック"/>
          <w:sz w:val="21"/>
          <w:szCs w:val="21"/>
        </w:rPr>
        <w:t xml:space="preserve">・「終活・相続対策と幸福度」の関係を語る場合の言い回し（相関関係であり因果関係ではない点）を事前にすり合わせておく</w:t>
      </w:r>
    </w:p>
    <w:p>
      <w:pPr>
        <w:spacing w:after="60" w:line="320"/>
        <w:ind w:left="360"/>
      </w:pPr>
      <w:r>
        <w:rPr>
          <w:rFonts w:ascii="游ゴシック" w:cs="游ゴシック" w:eastAsia="游ゴシック" w:hAnsi="游ゴシック"/>
          <w:sz w:val="21"/>
          <w:szCs w:val="21"/>
        </w:rPr>
        <w:t xml:space="preserve">・自己紹介1分版・3分版を声に出して練習</w:t>
      </w:r>
    </w:p>
    <w:p>
      <w:pPr>
        <w:spacing w:after="60" w:line="320"/>
        <w:ind w:left="360"/>
      </w:pPr>
      <w:r>
        <w:rPr>
          <w:rFonts w:ascii="游ゴシック" w:cs="游ゴシック" w:eastAsia="游ゴシック" w:hAnsi="游ゴシック"/>
          <w:sz w:val="21"/>
          <w:szCs w:val="21"/>
        </w:rPr>
        <w:t xml:space="preserve">・画面共有用の資料（写真・組織図）を手元に用意</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2026-10-20T06:54:37.605Z</dcterms:created>
  <dcterms:modified xsi:type="dcterms:W3CDTF">2026-10-20T06:54:37.605Z</dcterms:modified>
</cp:coreProperties>
</file>

<file path=docProps/custom.xml><?xml version="1.0" encoding="utf-8"?>
<Properties xmlns="http://schemas.openxmlformats.org/officeDocument/2006/custom-properties" xmlns:vt="http://schemas.openxmlformats.org/officeDocument/2006/docPropsVTypes"/>
</file>