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游ゴシック" w:cs="游ゴシック" w:eastAsia="游ゴシック" w:hAnsi="游ゴシック"/>
          <w:b/>
          <w:bCs/>
          <w:sz w:val="32"/>
          <w:szCs w:val="32"/>
        </w:rPr>
        <w:t xml:space="preserve">革新ビジネスアワード2026</w:t>
      </w:r>
    </w:p>
    <w:p>
      <w:pPr>
        <w:spacing w:after="400"/>
        <w:jc w:val="center"/>
      </w:pPr>
      <w:r>
        <w:rPr>
          <w:rFonts w:ascii="游ゴシック" w:cs="游ゴシック" w:eastAsia="游ゴシック" w:hAnsi="游ゴシック"/>
          <w:color w:val="555555"/>
          <w:sz w:val="26"/>
          <w:szCs w:val="26"/>
        </w:rPr>
        <w:t xml:space="preserve">二次審査（Zoom）準備ノート</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0. 当日のための1分チートシート</w:t>
      </w:r>
    </w:p>
    <w:p>
      <w:pPr>
        <w:spacing w:after="60" w:before="160"/>
      </w:pPr>
      <w:r>
        <w:rPr>
          <w:rFonts w:ascii="游ゴシック" w:cs="游ゴシック" w:eastAsia="游ゴシック" w:hAnsi="游ゴシック"/>
          <w:b/>
          <w:bCs/>
          <w:color w:val="9C3B00"/>
          <w:sz w:val="22"/>
          <w:szCs w:val="22"/>
        </w:rPr>
        <w:t xml:space="preserve">一言で言うと？</w:t>
      </w:r>
    </w:p>
    <w:p>
      <w:pPr>
        <w:spacing w:after="120" w:line="330"/>
      </w:pPr>
      <w:r>
        <w:rPr>
          <w:rFonts w:ascii="游ゴシック" w:cs="游ゴシック" w:eastAsia="游ゴシック" w:hAnsi="游ゴシック"/>
          <w:sz w:val="21"/>
          <w:szCs w:val="21"/>
        </w:rPr>
        <w:t xml:space="preserve">「相続・終活を『財産』の話から『心置きなく生ききる人生』の準備へと再定義し、その入口となる『繋ぐノート』と、異業種の誰もが使える資格『繋ぐノートサポートアドバイザー®』を通じて、全国50事業所・8年かけて実証してきた『生きる準備』のインフラを、今まさに企業・行政・教育へと広げている段階です。」</w:t>
      </w:r>
    </w:p>
    <w:p>
      <w:pPr>
        <w:spacing w:after="60" w:before="160"/>
      </w:pPr>
      <w:r>
        <w:rPr>
          <w:rFonts w:ascii="游ゴシック" w:cs="游ゴシック" w:eastAsia="游ゴシック" w:hAnsi="游ゴシック"/>
          <w:b/>
          <w:bCs/>
          <w:color w:val="9C3B00"/>
          <w:sz w:val="22"/>
          <w:szCs w:val="22"/>
        </w:rPr>
        <w:t xml:space="preserve">数字で言うと？</w:t>
      </w:r>
    </w:p>
    <w:p>
      <w:pPr>
        <w:spacing w:after="60" w:line="320"/>
        <w:ind w:left="360"/>
      </w:pPr>
      <w:r>
        <w:rPr>
          <w:rFonts w:ascii="游ゴシック" w:cs="游ゴシック" w:eastAsia="游ゴシック" w:hAnsi="游ゴシック"/>
          <w:sz w:val="21"/>
          <w:szCs w:val="21"/>
        </w:rPr>
        <w:t xml:space="preserve">・創業から8年、全国50事業所（のれん分け型FCではなく思想承継で拡大）</w:t>
      </w:r>
    </w:p>
    <w:p>
      <w:pPr>
        <w:spacing w:after="60" w:line="320"/>
        <w:ind w:left="360"/>
      </w:pPr>
      <w:r>
        <w:rPr>
          <w:rFonts w:ascii="游ゴシック" w:cs="游ゴシック" w:eastAsia="游ゴシック" w:hAnsi="游ゴシック"/>
          <w:sz w:val="21"/>
          <w:szCs w:val="21"/>
        </w:rPr>
        <w:t xml:space="preserve">・人生会議（ACP）の認知度：「知らない」72.1%（厚労省 令和4年度調査）</w:t>
      </w:r>
    </w:p>
    <w:p>
      <w:pPr>
        <w:spacing w:after="60" w:line="320"/>
        <w:ind w:left="360"/>
      </w:pPr>
      <w:r>
        <w:rPr>
          <w:rFonts w:ascii="游ゴシック" w:cs="游ゴシック" w:eastAsia="游ゴシック" w:hAnsi="游ゴシック"/>
          <w:sz w:val="21"/>
          <w:szCs w:val="21"/>
        </w:rPr>
        <w:t xml:space="preserve">・人生の最終段階の医療・ケアについて家族と「話し合ったことがない」約7割（厚労省調査）※要確認</w:t>
      </w:r>
    </w:p>
    <w:p>
      <w:pPr>
        <w:spacing w:after="60" w:line="320"/>
        <w:ind w:left="360"/>
      </w:pPr>
      <w:r>
        <w:rPr>
          <w:rFonts w:ascii="游ゴシック" w:cs="游ゴシック" w:eastAsia="游ゴシック" w:hAnsi="游ゴシック"/>
          <w:sz w:val="21"/>
          <w:szCs w:val="21"/>
        </w:rPr>
        <w:t xml:space="preserve">・企業導入で介護離職30%減、導入病院でACP実施率80%超、地域セミナー3年で延べ500名以上</w:t>
      </w:r>
    </w:p>
    <w:p>
      <w:pPr>
        <w:spacing w:after="60" w:before="160"/>
      </w:pPr>
      <w:r>
        <w:rPr>
          <w:rFonts w:ascii="游ゴシック" w:cs="游ゴシック" w:eastAsia="游ゴシック" w:hAnsi="游ゴシック"/>
          <w:b/>
          <w:bCs/>
          <w:color w:val="9C3B00"/>
          <w:sz w:val="22"/>
          <w:szCs w:val="22"/>
        </w:rPr>
        <w:t xml:space="preserve">聞かれたら一番言いたい一言（決め台詞）</w:t>
      </w:r>
    </w:p>
    <w:p>
      <w:pPr>
        <w:spacing w:after="120" w:line="330"/>
      </w:pPr>
      <w:r>
        <w:rPr>
          <w:rFonts w:ascii="游ゴシック" w:cs="游ゴシック" w:eastAsia="游ゴシック" w:hAnsi="游ゴシック"/>
          <w:sz w:val="21"/>
          <w:szCs w:val="21"/>
        </w:rPr>
        <w:t xml:space="preserve">「相続は“終わり”の手続きではなく、“心置きなく生ききる”ための準備だと考えています。」</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1. 想定問答（カテゴリ別）</w:t>
      </w:r>
    </w:p>
    <w:p>
      <w:pPr>
        <w:pStyle w:val="Heading2"/>
        <w:spacing w:after="120" w:before="280"/>
      </w:pPr>
      <w:r>
        <w:rPr>
          <w:rFonts w:ascii="游ゴシック" w:cs="游ゴシック" w:eastAsia="游ゴシック" w:hAnsi="游ゴシック"/>
          <w:b/>
          <w:bCs/>
          <w:color w:val="444444"/>
          <w:sz w:val="24"/>
          <w:szCs w:val="24"/>
        </w:rPr>
        <w:t xml:space="preserve">A. ビジネスモデル・収益性 ― 一番突っ込まれる点</w:t>
      </w:r>
    </w:p>
    <w:p>
      <w:pPr>
        <w:spacing w:after="60" w:before="160"/>
      </w:pPr>
      <w:r>
        <w:rPr>
          <w:rFonts w:ascii="游ゴシック" w:cs="游ゴシック" w:eastAsia="游ゴシック" w:hAnsi="游ゴシック"/>
          <w:b/>
          <w:bCs/>
          <w:color w:val="9C3B00"/>
          <w:sz w:val="22"/>
          <w:szCs w:val="22"/>
        </w:rPr>
        <w:t xml:space="preserve">Q1. 「商品を一切持たない」とありますが、では何で収益を上げているのですか？</w:t>
      </w:r>
    </w:p>
    <w:p>
      <w:pPr>
        <w:spacing w:after="120" w:line="330"/>
      </w:pPr>
      <w:r>
        <w:rPr>
          <w:rFonts w:ascii="游ゴシック" w:cs="游ゴシック" w:eastAsia="游ゴシック" w:hAnsi="游ゴシック"/>
          <w:sz w:val="21"/>
          <w:szCs w:val="21"/>
        </w:rPr>
        <w:t xml:space="preserve">「商品を一切持たない」は「金融商品を売ることを収益源にしない」という意味だと思われますが、このままでは“無償の団体”に読めてしまい評価上マイナスです。収益源を具体的に：</w:t>
      </w:r>
    </w:p>
    <w:p>
      <w:pPr>
        <w:spacing w:after="60" w:line="320"/>
        <w:ind w:left="360"/>
      </w:pPr>
      <w:r>
        <w:rPr>
          <w:rFonts w:ascii="游ゴシック" w:cs="游ゴシック" w:eastAsia="游ゴシック" w:hAnsi="游ゴシック"/>
          <w:sz w:val="21"/>
          <w:szCs w:val="21"/>
        </w:rPr>
        <w:t xml:space="preserve">・相続コンサルティング・遺産整理業務の報酬（実務代行の対価）</w:t>
      </w:r>
    </w:p>
    <w:p>
      <w:pPr>
        <w:spacing w:after="60" w:line="320"/>
        <w:ind w:left="360"/>
      </w:pPr>
      <w:r>
        <w:rPr>
          <w:rFonts w:ascii="游ゴシック" w:cs="游ゴシック" w:eastAsia="游ゴシック" w:hAnsi="游ゴシック"/>
          <w:sz w:val="21"/>
          <w:szCs w:val="21"/>
        </w:rPr>
        <w:t xml:space="preserve">・「繋ぐノートサポートアドバイザー®」資格認定講座の受講料</w:t>
      </w:r>
    </w:p>
    <w:p>
      <w:pPr>
        <w:spacing w:after="60" w:line="320"/>
        <w:ind w:left="360"/>
      </w:pPr>
      <w:r>
        <w:rPr>
          <w:rFonts w:ascii="游ゴシック" w:cs="游ゴシック" w:eastAsia="游ゴシック" w:hAnsi="游ゴシック"/>
          <w:sz w:val="21"/>
          <w:szCs w:val="21"/>
        </w:rPr>
        <w:t xml:space="preserve">・「繋ぐノート」の提供・導入に伴う対価（企業・団体向け含む）</w:t>
      </w:r>
    </w:p>
    <w:p>
      <w:pPr>
        <w:spacing w:after="60" w:line="320"/>
        <w:ind w:left="360"/>
      </w:pPr>
      <w:r>
        <w:rPr>
          <w:rFonts w:ascii="游ゴシック" w:cs="游ゴシック" w:eastAsia="游ゴシック" w:hAnsi="游ゴシック"/>
          <w:sz w:val="21"/>
          <w:szCs w:val="21"/>
        </w:rPr>
        <w:t xml:space="preserve">・一般社団法人繋ぐライクファミリーサポートの身元保証・見守り・財産管理等の契約報酬</w:t>
      </w:r>
    </w:p>
    <w:p>
      <w:pPr>
        <w:spacing w:after="60" w:line="320"/>
        <w:ind w:left="360"/>
      </w:pPr>
      <w:r>
        <w:rPr>
          <w:rFonts w:ascii="游ゴシック" w:cs="游ゴシック" w:eastAsia="游ゴシック" w:hAnsi="游ゴシック"/>
          <w:sz w:val="21"/>
          <w:szCs w:val="21"/>
        </w:rPr>
        <w:t xml:space="preserve">・企業向け研修・セミナーの講師料</w:t>
      </w:r>
    </w:p>
    <w:p>
      <w:pPr>
        <w:spacing w:after="160" w:line="320"/>
      </w:pPr>
      <w:r>
        <w:rPr>
          <w:rFonts w:ascii="游ゴシック" w:cs="游ゴシック" w:eastAsia="游ゴシック" w:hAnsi="游ゴシック"/>
          <w:b/>
          <w:bCs/>
          <w:color w:val="C00000"/>
          <w:sz w:val="21"/>
          <w:szCs w:val="21"/>
        </w:rPr>
        <w:t xml:space="preserve">→ 本番前に、どれが実際の収益の柱か、ご自身の言葉で1〜2文にまとめておいてください。</w:t>
      </w:r>
    </w:p>
    <w:p>
      <w:pPr>
        <w:spacing w:after="60" w:before="160"/>
      </w:pPr>
      <w:r>
        <w:rPr>
          <w:rFonts w:ascii="游ゴシック" w:cs="游ゴシック" w:eastAsia="游ゴシック" w:hAnsi="游ゴシック"/>
          <w:b/>
          <w:bCs/>
          <w:color w:val="9C3B00"/>
          <w:sz w:val="22"/>
          <w:szCs w:val="22"/>
        </w:rPr>
        <w:t xml:space="preserve">Q2. 全国50事業所は、具体的にどんな契約関係ですか？（FC／のれん分け／提携？）</w:t>
      </w:r>
    </w:p>
    <w:p>
      <w:pPr>
        <w:spacing w:after="120" w:line="330"/>
      </w:pPr>
      <w:r>
        <w:rPr>
          <w:rFonts w:ascii="游ゴシック" w:cs="游ゴシック" w:eastAsia="游ゴシック" w:hAnsi="游ゴシック"/>
          <w:sz w:val="21"/>
          <w:szCs w:val="21"/>
        </w:rPr>
        <w:t xml:space="preserve">加盟審査基準、ブランド使用条件、加盟金・ロイヤリティ等の金銭関係、質の担保の仕組み（資格必須化・定期研修・脱退基準）を簡潔に説明できるようにしてください。</w:t>
      </w:r>
    </w:p>
    <w:p>
      <w:pPr>
        <w:spacing w:after="60" w:before="160"/>
      </w:pPr>
      <w:r>
        <w:rPr>
          <w:rFonts w:ascii="游ゴシック" w:cs="游ゴシック" w:eastAsia="游ゴシック" w:hAnsi="游ゴシック"/>
          <w:b/>
          <w:bCs/>
          <w:color w:val="9C3B00"/>
          <w:sz w:val="22"/>
          <w:szCs w:val="22"/>
        </w:rPr>
        <w:t xml:space="preserve">Q3. 「商品を持たない」が「繋ぐノート」の提供と矛盾しませんか？</w:t>
      </w:r>
    </w:p>
    <w:p>
      <w:pPr>
        <w:spacing w:after="120" w:line="330"/>
      </w:pPr>
      <w:r>
        <w:rPr>
          <w:rFonts w:ascii="游ゴシック" w:cs="游ゴシック" w:eastAsia="游ゴシック" w:hAnsi="游ゴシック"/>
          <w:sz w:val="21"/>
          <w:szCs w:val="21"/>
        </w:rPr>
        <w:t xml:space="preserve">回答の型：「“商品を売る”営業はしない、という意味です。繋ぐノートは売るための商品ではなく、対話のきっかけとなるツールとして、相談・研修・資格講座の中で使っていただいています」</w:t>
      </w:r>
    </w:p>
    <w:p>
      <w:pPr>
        <w:pStyle w:val="Heading2"/>
        <w:spacing w:after="120" w:before="280"/>
      </w:pPr>
      <w:r>
        <w:rPr>
          <w:rFonts w:ascii="游ゴシック" w:cs="游ゴシック" w:eastAsia="游ゴシック" w:hAnsi="游ゴシック"/>
          <w:b/>
          <w:bCs/>
          <w:color w:val="444444"/>
          <w:sz w:val="24"/>
          <w:szCs w:val="24"/>
        </w:rPr>
        <w:t xml:space="preserve">B. 独自性・差別化</w:t>
      </w:r>
    </w:p>
    <w:p>
      <w:pPr>
        <w:spacing w:after="60" w:before="160"/>
      </w:pPr>
      <w:r>
        <w:rPr>
          <w:rFonts w:ascii="游ゴシック" w:cs="游ゴシック" w:eastAsia="游ゴシック" w:hAnsi="游ゴシック"/>
          <w:b/>
          <w:bCs/>
          <w:color w:val="9C3B00"/>
          <w:sz w:val="22"/>
          <w:szCs w:val="22"/>
        </w:rPr>
        <w:t xml:space="preserve">Q4. 一般的な「エンディングノート」や士業の相続サービスとの違いは？</w:t>
      </w:r>
    </w:p>
    <w:p>
      <w:pPr>
        <w:spacing w:after="60" w:line="320"/>
        <w:ind w:left="360"/>
      </w:pPr>
      <w:r>
        <w:rPr>
          <w:rFonts w:ascii="游ゴシック" w:cs="游ゴシック" w:eastAsia="游ゴシック" w:hAnsi="游ゴシック"/>
          <w:sz w:val="21"/>
          <w:szCs w:val="21"/>
        </w:rPr>
        <w:t xml:space="preserve">・エンディングノート：死後の記録が中心 → 繋ぐノートは「生きている間」の対話のきっかけ</w:t>
      </w:r>
    </w:p>
    <w:p>
      <w:pPr>
        <w:spacing w:after="60" w:line="320"/>
        <w:ind w:left="360"/>
      </w:pPr>
      <w:r>
        <w:rPr>
          <w:rFonts w:ascii="游ゴシック" w:cs="游ゴシック" w:eastAsia="游ゴシック" w:hAnsi="游ゴシック"/>
          <w:sz w:val="21"/>
          <w:szCs w:val="21"/>
        </w:rPr>
        <w:t xml:space="preserve">・士業：法律・税務手続きが中心、縦割り → 繋ぐグループは窓口を一本化</w:t>
      </w:r>
    </w:p>
    <w:p>
      <w:pPr>
        <w:spacing w:after="60" w:line="320"/>
        <w:ind w:left="360"/>
      </w:pPr>
      <w:r>
        <w:rPr>
          <w:rFonts w:ascii="游ゴシック" w:cs="游ゴシック" w:eastAsia="游ゴシック" w:hAnsi="游ゴシック"/>
          <w:sz w:val="21"/>
          <w:szCs w:val="21"/>
        </w:rPr>
        <w:t xml:space="preserve">・一般の相続コンサル：財産分配が中心 → 「心置きなく生ききる」という生き方全体を扱う</w:t>
      </w:r>
    </w:p>
    <w:p>
      <w:pPr>
        <w:spacing w:after="60" w:before="160"/>
      </w:pPr>
      <w:r>
        <w:rPr>
          <w:rFonts w:ascii="游ゴシック" w:cs="游ゴシック" w:eastAsia="游ゴシック" w:hAnsi="游ゴシック"/>
          <w:b/>
          <w:bCs/>
          <w:color w:val="9C3B00"/>
          <w:sz w:val="22"/>
          <w:szCs w:val="22"/>
        </w:rPr>
        <w:t xml:space="preserve">Q5. なぜ「相続コンサルタント」ではなく「人生のプロデューサー」なのですか？</w:t>
      </w:r>
    </w:p>
    <w:p>
      <w:pPr>
        <w:spacing w:after="120" w:line="330"/>
      </w:pPr>
      <w:r>
        <w:rPr>
          <w:rFonts w:ascii="游ゴシック" w:cs="游ゴシック" w:eastAsia="游ゴシック" w:hAnsi="游ゴシック"/>
          <w:sz w:val="21"/>
          <w:szCs w:val="21"/>
        </w:rPr>
        <w:t xml:space="preserve">代表ご自身の20年の金融経験から来た「財産の専門家」への違和感が原体験のはずです。なぜ疑問を持ったかを30秒で語れるように。</w:t>
      </w:r>
    </w:p>
    <w:p>
      <w:pPr>
        <w:spacing w:after="60" w:before="160"/>
      </w:pPr>
      <w:r>
        <w:rPr>
          <w:rFonts w:ascii="游ゴシック" w:cs="游ゴシック" w:eastAsia="游ゴシック" w:hAnsi="游ゴシック"/>
          <w:b/>
          <w:bCs/>
          <w:color w:val="9C3B00"/>
          <w:sz w:val="22"/>
          <w:szCs w:val="22"/>
        </w:rPr>
        <w:t xml:space="preserve">Q6. 士業資格を持たないことは弱みになりませんか？</w:t>
      </w:r>
    </w:p>
    <w:p>
      <w:pPr>
        <w:spacing w:after="120" w:line="330"/>
      </w:pPr>
      <w:r>
        <w:rPr>
          <w:rFonts w:ascii="游ゴシック" w:cs="游ゴシック" w:eastAsia="游ゴシック" w:hAnsi="游ゴシック"/>
          <w:sz w:val="21"/>
          <w:szCs w:val="21"/>
        </w:rPr>
        <w:t xml:space="preserve">税理士・弁護士・司法書士との連携体制（ワンストップモデル）を簡潔に説明できるように準備してください。</w:t>
      </w:r>
    </w:p>
    <w:p>
      <w:pPr>
        <w:pStyle w:val="Heading2"/>
        <w:spacing w:after="120" w:before="280"/>
      </w:pPr>
      <w:r>
        <w:rPr>
          <w:rFonts w:ascii="游ゴシック" w:cs="游ゴシック" w:eastAsia="游ゴシック" w:hAnsi="游ゴシック"/>
          <w:b/>
          <w:bCs/>
          <w:color w:val="444444"/>
          <w:sz w:val="24"/>
          <w:szCs w:val="24"/>
        </w:rPr>
        <w:t xml:space="preserve">C. 社会的インパクト・エビデンス</w:t>
      </w:r>
    </w:p>
    <w:p>
      <w:pPr>
        <w:spacing w:after="60" w:before="160"/>
      </w:pPr>
      <w:r>
        <w:rPr>
          <w:rFonts w:ascii="游ゴシック" w:cs="游ゴシック" w:eastAsia="游ゴシック" w:hAnsi="游ゴシック"/>
          <w:b/>
          <w:bCs/>
          <w:color w:val="9C3B00"/>
          <w:sz w:val="22"/>
          <w:szCs w:val="22"/>
        </w:rPr>
        <w:t xml:space="preserve">Q7. 72.1%、68.6%という数字の出典は？</w:t>
      </w:r>
    </w:p>
    <w:p>
      <w:pPr>
        <w:spacing w:after="120" w:line="330"/>
      </w:pPr>
      <w:r>
        <w:rPr>
          <w:rFonts w:ascii="游ゴシック" w:cs="游ゴシック" w:eastAsia="游ゴシック" w:hAnsi="游ゴシック"/>
          <w:sz w:val="21"/>
          <w:szCs w:val="21"/>
        </w:rPr>
        <w:t xml:space="preserve">72.1%（人生会議を「知らない」）：厚生労働省「人生会議に関する意識調査」（令和4年度、一般国民対象 n=3,000）。厚労省の人生会議特設ページに掲載。前回調査（平成29年度）の75.5%から微減。</w:t>
      </w:r>
    </w:p>
    <w:p>
      <w:pPr>
        <w:spacing w:after="160" w:line="320"/>
      </w:pPr>
      <w:r>
        <w:rPr>
          <w:rFonts w:ascii="游ゴシック" w:cs="游ゴシック" w:eastAsia="游ゴシック" w:hAnsi="游ゴシック"/>
          <w:b/>
          <w:bCs/>
          <w:color w:val="C00000"/>
          <w:sz w:val="21"/>
          <w:szCs w:val="21"/>
        </w:rPr>
        <w:t xml:space="preserve">68.6%（家族等と「話し合ったことがない」）：ウェブ検索では正確な出典を特定できませんでした。近い数値として、令和5年度調査で「詳しく、またはある程度話し合っている」が29.9%＝残り約7割という報告はあります。本番までにご自身で一次情報（調査名・年度・設問文）を再確認してください。</w:t>
      </w:r>
    </w:p>
    <w:p>
      <w:pPr>
        <w:spacing w:after="60" w:before="160"/>
      </w:pPr>
      <w:r>
        <w:rPr>
          <w:rFonts w:ascii="游ゴシック" w:cs="游ゴシック" w:eastAsia="游ゴシック" w:hAnsi="游ゴシック"/>
          <w:b/>
          <w:bCs/>
          <w:color w:val="9C3B00"/>
          <w:sz w:val="22"/>
          <w:szCs w:val="22"/>
        </w:rPr>
        <w:t xml:space="preserve">Q8. 「地域セミナー3年500名」「介護離職30%減」「ACP実施率80%超」は全社実績ですか、個別事例ですか？</w:t>
      </w:r>
    </w:p>
    <w:p>
      <w:pPr>
        <w:spacing w:after="120" w:line="330"/>
      </w:pPr>
      <w:r>
        <w:rPr>
          <w:rFonts w:ascii="游ゴシック" w:cs="游ゴシック" w:eastAsia="游ゴシック" w:hAnsi="游ゴシック"/>
          <w:sz w:val="21"/>
          <w:szCs w:val="21"/>
        </w:rPr>
        <w:t xml:space="preserve">一次エントリーの旧ドラフトでは「A市」「B企業」「C病院」という個別事例として紹介していた数値です。全社統計なのか好事例なのかを混同せず区別して答えてください。</w:t>
      </w:r>
    </w:p>
    <w:p>
      <w:pPr>
        <w:pStyle w:val="Heading2"/>
        <w:spacing w:after="120" w:before="280"/>
      </w:pPr>
      <w:r>
        <w:rPr>
          <w:rFonts w:ascii="游ゴシック" w:cs="游ゴシック" w:eastAsia="游ゴシック" w:hAnsi="游ゴシック"/>
          <w:b/>
          <w:bCs/>
          <w:color w:val="444444"/>
          <w:sz w:val="24"/>
          <w:szCs w:val="24"/>
        </w:rPr>
        <w:t xml:space="preserve">D. 成長性・再現性・組織体制</w:t>
      </w:r>
    </w:p>
    <w:p>
      <w:pPr>
        <w:spacing w:after="60" w:before="160"/>
      </w:pPr>
      <w:r>
        <w:rPr>
          <w:rFonts w:ascii="游ゴシック" w:cs="游ゴシック" w:eastAsia="游ゴシック" w:hAnsi="游ゴシック"/>
          <w:b/>
          <w:bCs/>
          <w:color w:val="9C3B00"/>
          <w:sz w:val="22"/>
          <w:szCs w:val="22"/>
        </w:rPr>
        <w:t xml:space="preserve">Q9. 代表個人への依存度が高いように見えますが、組織としての再現性は？</w:t>
      </w:r>
    </w:p>
    <w:p>
      <w:pPr>
        <w:spacing w:after="120" w:line="330"/>
      </w:pPr>
      <w:r>
        <w:rPr>
          <w:rFonts w:ascii="游ゴシック" w:cs="游ゴシック" w:eastAsia="游ゴシック" w:hAnsi="游ゴシック"/>
          <w:sz w:val="21"/>
          <w:szCs w:val="21"/>
        </w:rPr>
        <w:t xml:space="preserve">「繋ぐノートサポートアドバイザー®」資格が回答の核になります。資格取得者数・合格率・継続率・実際に活動している人の割合を数字で言えるとより説得力が増します。</w:t>
      </w:r>
    </w:p>
    <w:p>
      <w:pPr>
        <w:spacing w:after="60" w:before="160"/>
      </w:pPr>
      <w:r>
        <w:rPr>
          <w:rFonts w:ascii="游ゴシック" w:cs="游ゴシック" w:eastAsia="游ゴシック" w:hAnsi="游ゴシック"/>
          <w:b/>
          <w:bCs/>
          <w:color w:val="9C3B00"/>
          <w:sz w:val="22"/>
          <w:szCs w:val="22"/>
        </w:rPr>
        <w:t xml:space="preserve">Q10. 今後3年でどこまで拡大する計画ですか？</w:t>
      </w:r>
    </w:p>
    <w:p>
      <w:pPr>
        <w:spacing w:after="120" w:line="330"/>
      </w:pPr>
      <w:r>
        <w:rPr>
          <w:rFonts w:ascii="游ゴシック" w:cs="游ゴシック" w:eastAsia="游ゴシック" w:hAnsi="游ゴシック"/>
          <w:sz w:val="21"/>
          <w:szCs w:val="21"/>
        </w:rPr>
        <w:t xml:space="preserve">事業所数、資格取得者数、企業導入数などの具体的な数値目標、または少なくとも方向性を準備しておいてください。</w:t>
      </w:r>
    </w:p>
    <w:p>
      <w:pPr>
        <w:spacing w:after="60" w:before="160"/>
      </w:pPr>
      <w:r>
        <w:rPr>
          <w:rFonts w:ascii="游ゴシック" w:cs="游ゴシック" w:eastAsia="游ゴシック" w:hAnsi="游ゴシック"/>
          <w:b/>
          <w:bCs/>
          <w:color w:val="9C3B00"/>
          <w:sz w:val="22"/>
          <w:szCs w:val="22"/>
        </w:rPr>
        <w:t xml:space="preserve">Q11. 競合（相続コンサル業界、終活関連企業、ACP普及団体等）との関係は？</w:t>
      </w:r>
    </w:p>
    <w:p>
      <w:pPr>
        <w:spacing w:after="120" w:line="330"/>
      </w:pPr>
      <w:r>
        <w:rPr>
          <w:rFonts w:ascii="游ゴシック" w:cs="游ゴシック" w:eastAsia="游ゴシック" w:hAnsi="游ゴシック"/>
          <w:sz w:val="21"/>
          <w:szCs w:val="21"/>
        </w:rPr>
        <w:t xml:space="preserve">「競合がいない」ではなく、異業種との協働関係であることを説明できると強いです。</w:t>
      </w:r>
    </w:p>
    <w:p>
      <w:pPr>
        <w:pStyle w:val="Heading2"/>
        <w:spacing w:after="120" w:before="280"/>
      </w:pPr>
      <w:r>
        <w:rPr>
          <w:rFonts w:ascii="游ゴシック" w:cs="游ゴシック" w:eastAsia="游ゴシック" w:hAnsi="游ゴシック"/>
          <w:b/>
          <w:bCs/>
          <w:color w:val="444444"/>
          <w:sz w:val="24"/>
          <w:szCs w:val="24"/>
        </w:rPr>
        <w:t xml:space="preserve">E. 今後の展望・支援ニーズ</w:t>
      </w:r>
    </w:p>
    <w:p>
      <w:pPr>
        <w:spacing w:after="60" w:before="160"/>
      </w:pPr>
      <w:r>
        <w:rPr>
          <w:rFonts w:ascii="游ゴシック" w:cs="游ゴシック" w:eastAsia="游ゴシック" w:hAnsi="游ゴシック"/>
          <w:b/>
          <w:bCs/>
          <w:color w:val="9C3B00"/>
          <w:sz w:val="22"/>
          <w:szCs w:val="22"/>
        </w:rPr>
        <w:t xml:space="preserve">Q12. 受賞したら何に活かしますか？</w:t>
      </w:r>
    </w:p>
    <w:p>
      <w:pPr>
        <w:spacing w:after="60" w:line="320"/>
        <w:ind w:left="360"/>
      </w:pPr>
      <w:r>
        <w:rPr>
          <w:rFonts w:ascii="游ゴシック" w:cs="游ゴシック" w:eastAsia="游ゴシック" w:hAnsi="游ゴシック"/>
          <w:sz w:val="21"/>
          <w:szCs w:val="21"/>
        </w:rPr>
        <w:t xml:space="preserve">・認知度向上（「繋ぐノート」「人生会議」を自分事化してもらうきっかけ作り）</w:t>
      </w:r>
    </w:p>
    <w:p>
      <w:pPr>
        <w:spacing w:after="60" w:line="320"/>
        <w:ind w:left="360"/>
      </w:pPr>
      <w:r>
        <w:rPr>
          <w:rFonts w:ascii="游ゴシック" w:cs="游ゴシック" w:eastAsia="游ゴシック" w:hAnsi="游ゴシック"/>
          <w:sz w:val="21"/>
          <w:szCs w:val="21"/>
        </w:rPr>
        <w:t xml:space="preserve">・企業・行政との連携のさらなる加速</w:t>
      </w:r>
    </w:p>
    <w:p>
      <w:pPr>
        <w:spacing w:after="60" w:line="320"/>
        <w:ind w:left="360"/>
      </w:pPr>
      <w:r>
        <w:rPr>
          <w:rFonts w:ascii="游ゴシック" w:cs="游ゴシック" w:eastAsia="游ゴシック" w:hAnsi="游ゴシック"/>
          <w:sz w:val="21"/>
          <w:szCs w:val="21"/>
        </w:rPr>
        <w:t xml:space="preserve">・資格制度の普及・標準化</w:t>
      </w:r>
    </w:p>
    <w:p>
      <w:pPr>
        <w:spacing w:after="60" w:before="160"/>
      </w:pPr>
      <w:r>
        <w:rPr>
          <w:rFonts w:ascii="游ゴシック" w:cs="游ゴシック" w:eastAsia="游ゴシック" w:hAnsi="游ゴシック"/>
          <w:b/>
          <w:bCs/>
          <w:color w:val="9C3B00"/>
          <w:sz w:val="22"/>
          <w:szCs w:val="22"/>
        </w:rPr>
        <w:t xml:space="preserve">Q13. なぜ今、このタイミングで応募したのですか？</w:t>
      </w:r>
    </w:p>
    <w:p>
      <w:pPr>
        <w:spacing w:after="120" w:line="330"/>
      </w:pPr>
      <w:r>
        <w:rPr>
          <w:rFonts w:ascii="游ゴシック" w:cs="游ゴシック" w:eastAsia="游ゴシック" w:hAnsi="游ゴシック"/>
          <w:sz w:val="21"/>
          <w:szCs w:val="21"/>
        </w:rPr>
        <w:t xml:space="preserve">「8年かけて実証してきた段階から、企業・行政・教育へ広げる段階に入っている」という提出文の文脈をそのまま使えます。</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2. 特に確認・準備しておきたい整合性ポイント</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6000"/>
      </w:tblGrid>
      <w:tr>
        <w:tc>
          <w:tcPr>
            <w:tcW w:type="dxa" w:w="3350"/>
            <w:shd w:fill="2E5395" w:val="clear"/>
          </w:tcPr>
          <w:p>
            <w:r>
              <w:rPr>
                <w:rFonts w:ascii="游ゴシック" w:cs="游ゴシック" w:eastAsia="游ゴシック" w:hAnsi="游ゴシック"/>
                <w:b/>
                <w:bCs/>
                <w:color w:val="FFFFFF"/>
                <w:sz w:val="20"/>
                <w:szCs w:val="20"/>
              </w:rPr>
              <w:t xml:space="preserve">項目</w:t>
            </w:r>
          </w:p>
        </w:tc>
        <w:tc>
          <w:tcPr>
            <w:tcW w:type="dxa" w:w="6000"/>
            <w:shd w:fill="2E5395" w:val="clear"/>
          </w:tcPr>
          <w:p>
            <w:r>
              <w:rPr>
                <w:rFonts w:ascii="游ゴシック" w:cs="游ゴシック" w:eastAsia="游ゴシック" w:hAnsi="游ゴシック"/>
                <w:b/>
                <w:bCs/>
                <w:color w:val="FFFFFF"/>
                <w:sz w:val="20"/>
                <w:szCs w:val="20"/>
              </w:rPr>
              <w:t xml:space="preserve">確認事項</w:t>
            </w:r>
          </w:p>
        </w:tc>
      </w:tr>
      <w:tr>
        <w:tc>
          <w:tcPr>
            <w:tcW w:type="dxa" w:w="3350"/>
          </w:tcPr>
          <w:p>
            <w:r>
              <w:rPr>
                <w:rFonts w:ascii="游ゴシック" w:cs="游ゴシック" w:eastAsia="游ゴシック" w:hAnsi="游ゴシック"/>
                <w:b w:val="false"/>
                <w:bCs w:val="false"/>
                <w:color w:val="000000"/>
                <w:sz w:val="20"/>
                <w:szCs w:val="20"/>
              </w:rPr>
              <w:t xml:space="preserve">「商品を一切持たない」</w:t>
            </w:r>
          </w:p>
        </w:tc>
        <w:tc>
          <w:tcPr>
            <w:tcW w:type="dxa" w:w="6000"/>
          </w:tcPr>
          <w:p>
            <w:r>
              <w:rPr>
                <w:rFonts w:ascii="游ゴシック" w:cs="游ゴシック" w:eastAsia="游ゴシック" w:hAnsi="游ゴシック"/>
                <w:b w:val="false"/>
                <w:bCs w:val="false"/>
                <w:color w:val="000000"/>
                <w:sz w:val="20"/>
                <w:szCs w:val="20"/>
              </w:rPr>
              <w:t xml:space="preserve">「金融商品を売らない」の意味だと最初に言い換える。実際の収益源を1〜2文で即答できるようにする</w:t>
            </w:r>
          </w:p>
        </w:tc>
      </w:tr>
      <w:tr>
        <w:tc>
          <w:tcPr>
            <w:tcW w:type="dxa" w:w="3350"/>
          </w:tcPr>
          <w:p>
            <w:r>
              <w:rPr>
                <w:rFonts w:ascii="游ゴシック" w:cs="游ゴシック" w:eastAsia="游ゴシック" w:hAnsi="游ゴシック"/>
                <w:b w:val="false"/>
                <w:bCs w:val="false"/>
                <w:color w:val="000000"/>
                <w:sz w:val="20"/>
                <w:szCs w:val="20"/>
              </w:rPr>
              <w:t xml:space="preserve">「8年間で50事業所」</w:t>
            </w:r>
          </w:p>
        </w:tc>
        <w:tc>
          <w:tcPr>
            <w:tcW w:type="dxa" w:w="6000"/>
          </w:tcPr>
          <w:p>
            <w:r>
              <w:rPr>
                <w:rFonts w:ascii="游ゴシック" w:cs="游ゴシック" w:eastAsia="游ゴシック" w:hAnsi="游ゴシック"/>
                <w:b w:val="false"/>
                <w:bCs w:val="false"/>
                <w:color w:val="000000"/>
                <w:sz w:val="20"/>
                <w:szCs w:val="20"/>
              </w:rPr>
              <w:t xml:space="preserve">起点（個人事業として何年に開始したか）を年表で言えるようにする（法人化は2020年2月）</w:t>
            </w:r>
          </w:p>
        </w:tc>
      </w:tr>
      <w:tr>
        <w:tc>
          <w:tcPr>
            <w:tcW w:type="dxa" w:w="3350"/>
          </w:tcPr>
          <w:p>
            <w:r>
              <w:rPr>
                <w:rFonts w:ascii="游ゴシック" w:cs="游ゴシック" w:eastAsia="游ゴシック" w:hAnsi="游ゴシック"/>
                <w:b w:val="false"/>
                <w:bCs w:val="false"/>
                <w:color w:val="000000"/>
                <w:sz w:val="20"/>
                <w:szCs w:val="20"/>
              </w:rPr>
              <w:t xml:space="preserve">50事業所の契約形態</w:t>
            </w:r>
          </w:p>
        </w:tc>
        <w:tc>
          <w:tcPr>
            <w:tcW w:type="dxa" w:w="6000"/>
          </w:tcPr>
          <w:p>
            <w:r>
              <w:rPr>
                <w:rFonts w:ascii="游ゴシック" w:cs="游ゴシック" w:eastAsia="游ゴシック" w:hAnsi="游ゴシック"/>
                <w:b w:val="false"/>
                <w:bCs w:val="false"/>
                <w:color w:val="000000"/>
                <w:sz w:val="20"/>
                <w:szCs w:val="20"/>
              </w:rPr>
              <w:t xml:space="preserve">加盟条件・費用・質の担保の仕組みを簡潔に説明できるようにする</w:t>
            </w:r>
          </w:p>
        </w:tc>
      </w:tr>
      <w:tr>
        <w:tc>
          <w:tcPr>
            <w:tcW w:type="dxa" w:w="3350"/>
          </w:tcPr>
          <w:p>
            <w:r>
              <w:rPr>
                <w:rFonts w:ascii="游ゴシック" w:cs="游ゴシック" w:eastAsia="游ゴシック" w:hAnsi="游ゴシック"/>
                <w:b w:val="false"/>
                <w:bCs w:val="false"/>
                <w:color w:val="000000"/>
                <w:sz w:val="20"/>
                <w:szCs w:val="20"/>
              </w:rPr>
              <w:t xml:space="preserve">72.1%</w:t>
            </w:r>
          </w:p>
        </w:tc>
        <w:tc>
          <w:tcPr>
            <w:tcW w:type="dxa" w:w="6000"/>
          </w:tcPr>
          <w:p>
            <w:r>
              <w:rPr>
                <w:rFonts w:ascii="游ゴシック" w:cs="游ゴシック" w:eastAsia="游ゴシック" w:hAnsi="游ゴシック"/>
                <w:b w:val="false"/>
                <w:bCs w:val="false"/>
                <w:color w:val="000000"/>
                <w:sz w:val="20"/>
                <w:szCs w:val="20"/>
              </w:rPr>
              <w:t xml:space="preserve">厚労省「人生会議に関する意識調査」令和4年度、n=3,000、一般国民対象 → 出典確定済み</w:t>
            </w:r>
          </w:p>
        </w:tc>
      </w:tr>
      <w:tr>
        <w:tc>
          <w:tcPr>
            <w:tcW w:type="dxa" w:w="3350"/>
          </w:tcPr>
          <w:p>
            <w:r>
              <w:rPr>
                <w:rFonts w:ascii="游ゴシック" w:cs="游ゴシック" w:eastAsia="游ゴシック" w:hAnsi="游ゴシック"/>
                <w:b w:val="false"/>
                <w:bCs w:val="false"/>
                <w:color w:val="000000"/>
                <w:sz w:val="20"/>
                <w:szCs w:val="20"/>
              </w:rPr>
              <w:t xml:space="preserve">68.6%</w:t>
            </w:r>
          </w:p>
        </w:tc>
        <w:tc>
          <w:tcPr>
            <w:tcW w:type="dxa" w:w="6000"/>
          </w:tcPr>
          <w:p>
            <w:r>
              <w:rPr>
                <w:rFonts w:ascii="游ゴシック" w:cs="游ゴシック" w:eastAsia="游ゴシック" w:hAnsi="游ゴシック"/>
                <w:b w:val="false"/>
                <w:bCs w:val="false"/>
                <w:color w:val="000000"/>
                <w:sz w:val="20"/>
                <w:szCs w:val="20"/>
              </w:rPr>
              <w:t xml:space="preserve">出典未確定。本番前にご自身で一次情報を再確認してください（厚労省「人生の最終段階における医療・ケアに関する意識調査」関連の可能性が高い）</w:t>
            </w:r>
          </w:p>
        </w:tc>
      </w:tr>
      <w:tr>
        <w:tc>
          <w:tcPr>
            <w:tcW w:type="dxa" w:w="3350"/>
          </w:tcPr>
          <w:p>
            <w:r>
              <w:rPr>
                <w:rFonts w:ascii="游ゴシック" w:cs="游ゴシック" w:eastAsia="游ゴシック" w:hAnsi="游ゴシック"/>
                <w:b w:val="false"/>
                <w:bCs w:val="false"/>
                <w:color w:val="000000"/>
                <w:sz w:val="20"/>
                <w:szCs w:val="20"/>
              </w:rPr>
              <w:t xml:space="preserve">地域セミナー500名／介護離職30%減／ACP実施率80%超</w:t>
            </w:r>
          </w:p>
        </w:tc>
        <w:tc>
          <w:tcPr>
            <w:tcW w:type="dxa" w:w="6000"/>
          </w:tcPr>
          <w:p>
            <w:r>
              <w:rPr>
                <w:rFonts w:ascii="游ゴシック" w:cs="游ゴシック" w:eastAsia="游ゴシック" w:hAnsi="游ゴシック"/>
                <w:b w:val="false"/>
                <w:bCs w:val="false"/>
                <w:color w:val="000000"/>
                <w:sz w:val="20"/>
                <w:szCs w:val="20"/>
              </w:rPr>
              <w:t xml:space="preserve">全社統計か個別好事例かを明確に区別して答える</w:t>
            </w:r>
          </w:p>
        </w:tc>
      </w:tr>
    </w:tbl>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3. 当日の進行に向けて</w:t>
      </w:r>
    </w:p>
    <w:p>
      <w:pPr>
        <w:spacing w:after="60" w:line="320"/>
        <w:ind w:left="360"/>
      </w:pPr>
      <w:r>
        <w:rPr>
          <w:rFonts w:ascii="游ゴシック" w:cs="游ゴシック" w:eastAsia="游ゴシック" w:hAnsi="游ゴシック"/>
          <w:sz w:val="21"/>
          <w:szCs w:val="21"/>
        </w:rPr>
        <w:t xml:space="preserve">・自己紹介・概要説明は1分版・3分版の2パターンを用意（3分版は提出本文の流れで練習）</w:t>
      </w:r>
    </w:p>
    <w:p>
      <w:pPr>
        <w:spacing w:after="60" w:line="320"/>
        <w:ind w:left="360"/>
      </w:pPr>
      <w:r>
        <w:rPr>
          <w:rFonts w:ascii="游ゴシック" w:cs="游ゴシック" w:eastAsia="游ゴシック" w:hAnsi="游ゴシック"/>
          <w:sz w:val="21"/>
          <w:szCs w:val="21"/>
        </w:rPr>
        <w:t xml:space="preserve">・画面共有を求められる場合に備え、繋ぐノート実物写真・事業所マップ・組織図をすぐ出せる状態に</w:t>
      </w:r>
    </w:p>
    <w:p>
      <w:pPr>
        <w:spacing w:after="60" w:line="320"/>
        <w:ind w:left="360"/>
      </w:pPr>
      <w:r>
        <w:rPr>
          <w:rFonts w:ascii="游ゴシック" w:cs="游ゴシック" w:eastAsia="游ゴシック" w:hAnsi="游ゴシック"/>
          <w:sz w:val="21"/>
          <w:szCs w:val="21"/>
        </w:rPr>
        <w:t xml:space="preserve">・想定外の質問には「現状は○○で、今後○○を整備していく予定です」と正直に答える方が誠実な印象につながる</w:t>
      </w:r>
    </w:p>
    <w:p>
      <w:pPr>
        <w:spacing w:after="60" w:line="320"/>
        <w:ind w:left="360"/>
      </w:pPr>
      <w:r>
        <w:rPr>
          <w:rFonts w:ascii="游ゴシック" w:cs="游ゴシック" w:eastAsia="游ゴシック" w:hAnsi="游ゴシック"/>
          <w:sz w:val="21"/>
          <w:szCs w:val="21"/>
        </w:rPr>
        <w:t xml:space="preserve">・Zoom環境：通信・音声・画面共有の事前チェックを前日までに</w:t>
      </w:r>
    </w:p>
    <w:p>
      <w:pPr>
        <w:pStyle w:val="Heading1"/>
        <w:pBdr>
          <w:bottom w:val="single" w:color="2E5395" w:sz="6" w:space="4"/>
        </w:pBdr>
        <w:spacing w:after="160" w:before="400"/>
      </w:pPr>
      <w:r>
        <w:rPr>
          <w:rFonts w:ascii="游ゴシック" w:cs="游ゴシック" w:eastAsia="游ゴシック" w:hAnsi="游ゴシック"/>
          <w:b/>
          <w:bCs/>
          <w:color w:val="2E5395"/>
          <w:sz w:val="28"/>
          <w:szCs w:val="28"/>
        </w:rPr>
        <w:t xml:space="preserve">4. 次のアクション</w:t>
      </w:r>
    </w:p>
    <w:p>
      <w:pPr>
        <w:spacing w:after="60" w:line="320"/>
        <w:ind w:left="360"/>
      </w:pPr>
      <w:r>
        <w:rPr>
          <w:rFonts w:ascii="游ゴシック" w:cs="游ゴシック" w:eastAsia="游ゴシック" w:hAnsi="游ゴシック"/>
          <w:sz w:val="21"/>
          <w:szCs w:val="21"/>
        </w:rPr>
        <w:t xml:space="preserve">・収益源の言語化／68.6%の出典確認（最優先）</w:t>
      </w:r>
    </w:p>
    <w:p>
      <w:pPr>
        <w:spacing w:after="60" w:line="320"/>
        <w:ind w:left="360"/>
      </w:pPr>
      <w:r>
        <w:rPr>
          <w:rFonts w:ascii="游ゴシック" w:cs="游ゴシック" w:eastAsia="游ゴシック" w:hAnsi="游ゴシック"/>
          <w:sz w:val="21"/>
          <w:szCs w:val="21"/>
        </w:rPr>
        <w:t xml:space="preserve">・自己紹介1分版・3分版を声に出して練習</w:t>
      </w:r>
    </w:p>
    <w:p>
      <w:pPr>
        <w:spacing w:after="60" w:line="320"/>
        <w:ind w:left="360"/>
      </w:pPr>
      <w:r>
        <w:rPr>
          <w:rFonts w:ascii="游ゴシック" w:cs="游ゴシック" w:eastAsia="游ゴシック" w:hAnsi="游ゴシック"/>
          <w:sz w:val="21"/>
          <w:szCs w:val="21"/>
        </w:rPr>
        <w:t xml:space="preserve">・画面共有用の資料（写真・組織図）を手元に用意</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2026-10-20T06:45:25.602Z</dcterms:created>
  <dcterms:modified xsi:type="dcterms:W3CDTF">2026-10-20T06:45:25.602Z</dcterms:modified>
</cp:coreProperties>
</file>

<file path=docProps/custom.xml><?xml version="1.0" encoding="utf-8"?>
<Properties xmlns="http://schemas.openxmlformats.org/officeDocument/2006/custom-properties" xmlns:vt="http://schemas.openxmlformats.org/officeDocument/2006/docPropsVTypes"/>
</file>