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游ゴシック" w:cs="游ゴシック" w:eastAsia="游ゴシック" w:hAnsi="游ゴシック"/>
          <w:b/>
          <w:bCs/>
          <w:sz w:val="34"/>
          <w:szCs w:val="34"/>
        </w:rPr>
        <w:t xml:space="preserve">「革新ビジネスアワード2026」エントリーフォーム</w:t>
      </w:r>
    </w:p>
    <w:p>
      <w:pPr>
        <w:spacing w:after="400"/>
        <w:jc w:val="center"/>
      </w:pPr>
      <w:r>
        <w:rPr>
          <w:rFonts w:ascii="游ゴシック" w:cs="游ゴシック" w:eastAsia="游ゴシック" w:hAnsi="游ゴシック"/>
          <w:color w:val="555555"/>
          <w:sz w:val="24"/>
          <w:szCs w:val="24"/>
        </w:rPr>
        <w:t xml:space="preserve">記入用ドラフト</w:t>
      </w:r>
    </w:p>
    <w:p>
      <w:pPr>
        <w:pStyle w:val="Heading1"/>
        <w:pBdr>
          <w:bottom w:val="single" w:color="2E5395" w:sz="6" w:space="4"/>
        </w:pBdr>
        <w:spacing w:after="200" w:before="400"/>
      </w:pPr>
      <w:r>
        <w:rPr>
          <w:rFonts w:ascii="游ゴシック" w:cs="游ゴシック" w:eastAsia="游ゴシック" w:hAnsi="游ゴシック"/>
          <w:b/>
          <w:bCs/>
          <w:color w:val="2E5395"/>
          <w:sz w:val="28"/>
          <w:szCs w:val="28"/>
        </w:rPr>
        <w:t xml:space="preserve">① タイトル（エントリー対象のサービス・商品）</w:t>
      </w:r>
    </w:p>
    <w:p>
      <w:pPr>
        <w:spacing w:after="160" w:line="360"/>
      </w:pPr>
      <w:r>
        <w:rPr>
          <w:rFonts w:ascii="游ゴシック" w:cs="游ゴシック" w:eastAsia="游ゴシック" w:hAnsi="游ゴシック"/>
          <w:b w:val="false"/>
          <w:bCs w:val="false"/>
          <w:sz w:val="22"/>
          <w:szCs w:val="22"/>
        </w:rPr>
        <w:t xml:space="preserve">「命の火を、消さない。」〜生きるための「繋ぐノート」が拓く、心置きなく生ききる社会へ〜</w:t>
      </w:r>
    </w:p>
    <w:p>
      <w:pPr>
        <w:pStyle w:val="Heading1"/>
        <w:pBdr>
          <w:bottom w:val="single" w:color="2E5395" w:sz="6" w:space="4"/>
        </w:pBdr>
        <w:spacing w:after="200" w:before="400"/>
      </w:pPr>
      <w:r>
        <w:rPr>
          <w:rFonts w:ascii="游ゴシック" w:cs="游ゴシック" w:eastAsia="游ゴシック" w:hAnsi="游ゴシック"/>
          <w:b/>
          <w:bCs/>
          <w:color w:val="2E5395"/>
          <w:sz w:val="28"/>
          <w:szCs w:val="28"/>
        </w:rPr>
        <w:t xml:space="preserve">② サービス・製品の詳細・概要（2000文字以内）</w:t>
      </w:r>
    </w:p>
    <w:p>
      <w:pPr>
        <w:spacing w:after="160" w:line="360"/>
      </w:pPr>
      <w:r>
        <w:rPr>
          <w:rFonts w:ascii="游ゴシック" w:cs="游ゴシック" w:eastAsia="游ゴシック" w:hAnsi="游ゴシック"/>
          <w:b w:val="false"/>
          <w:bCs w:val="false"/>
          <w:sz w:val="22"/>
          <w:szCs w:val="22"/>
        </w:rPr>
        <w:t xml:space="preserve">人は誰しも、限りある人生の中で「心置きなく生ききる」ことを願っています。しかし多くの人が、自分の想いや意思を言葉にしないまま、余生と向き合う機会を先送りにしてしまいます。私たちは、相続・終活を「財産がある人のためのもの」という誤解から解き放ち、年齢や資産の有無を問わずすべての人に「生きる準備」を届けることに挑戦しています。その中核が、独自ツール「生きるための繋ぐノート」と、日本初の民間資格「繋ぐノートサポートアドバイザー®」です。</w:t>
      </w:r>
    </w:p>
    <w:p>
      <w:pPr>
        <w:spacing w:after="80" w:before="160"/>
      </w:pPr>
      <w:r>
        <w:rPr>
          <w:rFonts w:ascii="游ゴシック" w:cs="游ゴシック" w:eastAsia="游ゴシック" w:hAnsi="游ゴシック"/>
          <w:b/>
          <w:bCs/>
          <w:sz w:val="22"/>
          <w:szCs w:val="22"/>
        </w:rPr>
        <w:t xml:space="preserve">【独自性】</w:t>
      </w:r>
    </w:p>
    <w:p>
      <w:pPr>
        <w:spacing w:after="160" w:line="360"/>
      </w:pPr>
      <w:r>
        <w:rPr>
          <w:rFonts w:ascii="游ゴシック" w:cs="游ゴシック" w:eastAsia="游ゴシック" w:hAnsi="游ゴシック"/>
          <w:b w:val="false"/>
          <w:bCs w:val="false"/>
          <w:sz w:val="22"/>
          <w:szCs w:val="22"/>
        </w:rPr>
        <w:t xml:space="preserve">「繋ぐノート」は、大阪市消防局で34年間現場に立ち続けた元救急救命士・上田雄一氏の「命の火を消さない」という現場経験から生まれました。緊急連絡先や持病・服薬情報を、意識を失っても医療現場に伝えられるよう大病院の問診票を参考に構成し、救急隊員が一目で認識できる表紙デザインまで設計した、専門的な視点による命を守るノートです。厚生労働省が推進する人生会議（ACP）の考え方を土台にしながらも、行政・医療の枠内に閉じることなく、金融・保険・福祉・地域コミュニティ・企業・教育機関という民間の多様なチャネルから届けている点が最大の独自性です。代表の松本恵は、メガバンク・信託銀行・証券会社・外資系保険会社という金融4分野を経験し、「財産の話だけでは人は動かない」という現場の気づきから、財産に着目しない相続・終活サービスへと発想を転換しました。あわせて、身寄りのない方への支援に着目した一般社団法人繋ぐライクファミリーサポートを設立し、身元保証・見守り・財産管理・後見・財産の執行・死後事務まで、本来家族が担うはずのことを第三者として一貫してサポートする体制も構築しています。</w:t>
      </w:r>
    </w:p>
    <w:p>
      <w:pPr>
        <w:spacing w:after="80" w:before="160"/>
      </w:pPr>
      <w:r>
        <w:rPr>
          <w:rFonts w:ascii="游ゴシック" w:cs="游ゴシック" w:eastAsia="游ゴシック" w:hAnsi="游ゴシック"/>
          <w:b/>
          <w:bCs/>
          <w:sz w:val="22"/>
          <w:szCs w:val="22"/>
        </w:rPr>
        <w:t xml:space="preserve">【成長性】</w:t>
      </w:r>
    </w:p>
    <w:p>
      <w:pPr>
        <w:spacing w:after="160" w:line="360"/>
      </w:pPr>
      <w:r>
        <w:rPr>
          <w:rFonts w:ascii="游ゴシック" w:cs="游ゴシック" w:eastAsia="游ゴシック" w:hAnsi="游ゴシック"/>
          <w:b w:val="false"/>
          <w:bCs w:val="false"/>
          <w:sz w:val="22"/>
          <w:szCs w:val="22"/>
        </w:rPr>
        <w:t xml:space="preserve">2020年の法人化以来、のれん分け型フランチャイズに依らない思想承継の手法で、業界最大手クラスの組織（約20事業所）を上回る全国50事業所規模まで拡大しました。日本初の民間資格「繋ぐノートサポートアドバイザー®」により、金融・保険・福祉など異業種からの参入者を育成し、属人的になりがちなノウハウを再現性のある形でスケール化しています。資格者は医療機関・行政・地域コミュニティ・企業・教育機関という5つのフィールドで活動し、行政と協働した地域セミナーは3年間で延べ500名以上が参加、企業への福利厚生導入では介護離職が前年比30%減少、導入病院ではACP実施率が80%を超えるなど、具体的な成果を伴いながら成長を続けています。</w:t>
      </w:r>
    </w:p>
    <w:p>
      <w:pPr>
        <w:spacing w:after="80" w:before="160"/>
      </w:pPr>
      <w:r>
        <w:rPr>
          <w:rFonts w:ascii="游ゴシック" w:cs="游ゴシック" w:eastAsia="游ゴシック" w:hAnsi="游ゴシック"/>
          <w:b/>
          <w:bCs/>
          <w:sz w:val="22"/>
          <w:szCs w:val="22"/>
        </w:rPr>
        <w:t xml:space="preserve">【社会への貢献】</w:t>
      </w:r>
    </w:p>
    <w:p>
      <w:pPr>
        <w:spacing w:after="160" w:line="360"/>
      </w:pPr>
      <w:r>
        <w:rPr>
          <w:rFonts w:ascii="游ゴシック" w:cs="游ゴシック" w:eastAsia="游ゴシック" w:hAnsi="游ゴシック"/>
          <w:b w:val="false"/>
          <w:bCs w:val="false"/>
          <w:sz w:val="22"/>
          <w:szCs w:val="22"/>
        </w:rPr>
        <w:t xml:space="preserve">日本の65歳以上の一人暮らし世帯は約700万人にのぼり、地震などの災害時、緊急連絡先や持病の情報が伝わらないことが命に直結するリスクとなっています。しかし、こうした備えは一部の高齢者や資産家だけの課題として扱われ、全世代に届くインフラにはなっていません。私たちは、家族会議のファシリテーションによる「争族」防止と関係修復、身寄りのない方や障がいのある子を持つ家族の「親亡きあと」への長期伴走支援、行政（朝来市在宅医療・介護連携会議）との連携、そして小中学校から大学までの「命の授業」を通じて、「生きる準備」「命をどう守るか」を、誰もが当たり前に備えられる社会インフラへと育てていくことに挑戦しています。</w:t>
      </w:r>
    </w:p>
    <w:p>
      <w:pPr>
        <w:spacing w:after="80" w:before="160"/>
      </w:pPr>
      <w:r>
        <w:rPr>
          <w:rFonts w:ascii="游ゴシック" w:cs="游ゴシック" w:eastAsia="游ゴシック" w:hAnsi="游ゴシック"/>
          <w:b/>
          <w:bCs/>
          <w:sz w:val="22"/>
          <w:szCs w:val="22"/>
        </w:rPr>
        <w:t xml:space="preserve">【心置きなく生ききる人生へ】</w:t>
      </w:r>
    </w:p>
    <w:p>
      <w:pPr>
        <w:spacing w:after="160" w:line="360"/>
      </w:pPr>
      <w:r>
        <w:rPr>
          <w:rFonts w:ascii="游ゴシック" w:cs="游ゴシック" w:eastAsia="游ゴシック" w:hAnsi="游ゴシック"/>
          <w:b w:val="false"/>
          <w:bCs w:val="false"/>
          <w:sz w:val="22"/>
          <w:szCs w:val="22"/>
        </w:rPr>
        <w:t xml:space="preserve">私たちが目指すのは、制度や書類を整えることそのものではありません。財産の分配や手続きの先にある、「その人がその人らしく、悔いなく余生を生ききること」こそが本当のゴールです。想いを言葉にし、大切な人へ繋ぎ、旅立ちの瞬間に「ありがとう」と言い合えること。私たちは、そんな心置きなく生ききる人生を、すべての人が当たり前に選べる社会を目指しています。</w:t>
      </w:r>
    </w:p>
    <w:p>
      <w:pPr>
        <w:spacing w:after="160" w:line="360"/>
      </w:pPr>
      <w:r>
        <w:rPr>
          <w:rFonts w:ascii="游ゴシック" w:cs="游ゴシック" w:eastAsia="游ゴシック" w:hAnsi="游ゴシック"/>
          <w:b w:val="false"/>
          <w:bCs w:val="false"/>
          <w:sz w:val="22"/>
          <w:szCs w:val="22"/>
        </w:rPr>
        <w:t xml:space="preserve">私たちは、この挑戦が表彰されることそのものが、社会課題への一つの解決策になると信じています。</w:t>
      </w:r>
    </w:p>
    <w:p>
      <w:pPr>
        <w:spacing w:after="200"/>
      </w:pPr>
      <w:r>
        <w:rPr>
          <w:rFonts w:ascii="游ゴシック" w:cs="游ゴシック" w:eastAsia="游ゴシック" w:hAnsi="游ゴシック"/>
          <w:i/>
          <w:iCs/>
          <w:color w:val="777777"/>
          <w:sz w:val="18"/>
          <w:szCs w:val="18"/>
        </w:rPr>
        <w:t xml:space="preserve">（文字数：約1,580文字／改行含む）</w:t>
      </w:r>
    </w:p>
    <w:p>
      <w:pPr>
        <w:pStyle w:val="Heading1"/>
        <w:pBdr>
          <w:bottom w:val="single" w:color="2E5395" w:sz="6" w:space="4"/>
        </w:pBdr>
        <w:spacing w:after="200" w:before="400"/>
      </w:pPr>
      <w:r>
        <w:rPr>
          <w:rFonts w:ascii="游ゴシック" w:cs="游ゴシック" w:eastAsia="游ゴシック" w:hAnsi="游ゴシック"/>
          <w:b/>
          <w:bCs/>
          <w:color w:val="2E5395"/>
          <w:sz w:val="28"/>
          <w:szCs w:val="28"/>
        </w:rPr>
        <w:t xml:space="preserve">③ サービス・製品の参考URL</w:t>
      </w:r>
    </w:p>
    <w:p>
      <w:pPr>
        <w:spacing w:after="80"/>
      </w:pPr>
      <w:r>
        <w:rPr>
          <w:rFonts w:ascii="游ゴシック" w:cs="游ゴシック" w:eastAsia="游ゴシック" w:hAnsi="游ゴシック"/>
          <w:sz w:val="22"/>
          <w:szCs w:val="22"/>
        </w:rPr>
        <w:t xml:space="preserve">繋ぐ相続サロン®：</w:t>
      </w:r>
      <w:hyperlink w:history="1" r:id="rIdri-1ppze6gjwssjf0kcgx">
        <w:r>
          <w:rPr>
            <w:rFonts w:ascii="游ゴシック" w:cs="游ゴシック" w:eastAsia="游ゴシック" w:hAnsi="游ゴシック"/>
            <w:color w:val="1155CC"/>
            <w:sz w:val="22"/>
            <w:szCs w:val="22"/>
            <w:u w:val="single"/>
          </w:rPr>
          <w:t xml:space="preserve">https://tsunagu-souzokusalon.com</w:t>
        </w:r>
      </w:hyperlink>
    </w:p>
    <w:p>
      <w:pPr>
        <w:spacing w:after="80"/>
      </w:pPr>
      <w:r>
        <w:rPr>
          <w:rFonts w:ascii="游ゴシック" w:cs="游ゴシック" w:eastAsia="游ゴシック" w:hAnsi="游ゴシック"/>
          <w:sz w:val="22"/>
          <w:szCs w:val="22"/>
        </w:rPr>
        <w:t xml:space="preserve">一般社団法人繋ぐライクファミリーサポート：</w:t>
      </w:r>
      <w:hyperlink w:history="1" r:id="rIdch1p4yeegxdhf1ktgri5f">
        <w:r>
          <w:rPr>
            <w:rFonts w:ascii="游ゴシック" w:cs="游ゴシック" w:eastAsia="游ゴシック" w:hAnsi="游ゴシック"/>
            <w:color w:val="1155CC"/>
            <w:sz w:val="22"/>
            <w:szCs w:val="22"/>
            <w:u w:val="single"/>
          </w:rPr>
          <w:t xml:space="preserve">https://tsunagu-likefamily.com</w:t>
        </w:r>
      </w:hyperlink>
    </w:p>
    <w:p>
      <w:pPr>
        <w:pStyle w:val="Heading1"/>
        <w:pBdr>
          <w:bottom w:val="single" w:color="2E5395" w:sz="6" w:space="4"/>
        </w:pBdr>
        <w:spacing w:after="200" w:before="400"/>
      </w:pPr>
      <w:r>
        <w:rPr>
          <w:rFonts w:ascii="游ゴシック" w:cs="游ゴシック" w:eastAsia="游ゴシック" w:hAnsi="游ゴシック"/>
          <w:b/>
          <w:bCs/>
          <w:color w:val="2E5395"/>
          <w:sz w:val="28"/>
          <w:szCs w:val="28"/>
        </w:rPr>
        <w:t xml:space="preserve">④ エントリー担当者名</w:t>
      </w:r>
    </w:p>
    <w:p>
      <w:pPr>
        <w:spacing w:after="160" w:line="360"/>
      </w:pPr>
      <w:r>
        <w:rPr>
          <w:rFonts w:ascii="游ゴシック" w:cs="游ゴシック" w:eastAsia="游ゴシック" w:hAnsi="游ゴシック"/>
          <w:b w:val="false"/>
          <w:bCs w:val="false"/>
          <w:sz w:val="22"/>
          <w:szCs w:val="22"/>
        </w:rPr>
        <w:t xml:space="preserve">松本 恵</w:t>
      </w:r>
    </w:p>
    <w:p>
      <w:pPr>
        <w:pStyle w:val="Heading1"/>
        <w:pBdr>
          <w:bottom w:val="single" w:color="2E5395" w:sz="6" w:space="4"/>
        </w:pBdr>
        <w:spacing w:after="200" w:before="400"/>
      </w:pPr>
      <w:r>
        <w:rPr>
          <w:rFonts w:ascii="游ゴシック" w:cs="游ゴシック" w:eastAsia="游ゴシック" w:hAnsi="游ゴシック"/>
          <w:b/>
          <w:bCs/>
          <w:color w:val="2E5395"/>
          <w:sz w:val="28"/>
          <w:szCs w:val="28"/>
        </w:rPr>
        <w:t xml:space="preserve">⑤ エントリー担当者のメールアドレス</w:t>
      </w:r>
    </w:p>
    <w:p>
      <w:pPr>
        <w:spacing w:after="160" w:line="360"/>
      </w:pPr>
      <w:r>
        <w:rPr>
          <w:rFonts w:ascii="游ゴシック" w:cs="游ゴシック" w:eastAsia="游ゴシック" w:hAnsi="游ゴシック"/>
          <w:b w:val="false"/>
          <w:bCs w:val="false"/>
          <w:sz w:val="22"/>
          <w:szCs w:val="22"/>
        </w:rPr>
        <w:t xml:space="preserve">m.matsumoto@tsunagu-souzokusalon.com</w:t>
      </w:r>
    </w:p>
    <w:p>
      <w:pPr>
        <w:pBdr>
          <w:top w:val="single" w:color="CCCCCC" w:sz="4" w:space="8"/>
        </w:pBdr>
        <w:spacing w:before="400"/>
      </w:pPr>
    </w:p>
    <w:p>
      <w:pPr>
        <w:spacing w:after="80" w:before="200"/>
      </w:pPr>
      <w:r>
        <w:rPr>
          <w:rFonts w:ascii="游ゴシック" w:cs="游ゴシック" w:eastAsia="游ゴシック" w:hAnsi="游ゴシック"/>
          <w:b/>
          <w:bCs/>
          <w:sz w:val="20"/>
          <w:szCs w:val="20"/>
        </w:rPr>
        <w:t xml:space="preserve">補足</w:t>
      </w:r>
    </w:p>
    <w:p>
      <w:pPr>
        <w:spacing w:after="160" w:line="360"/>
      </w:pPr>
      <w:r>
        <w:rPr>
          <w:rFonts w:ascii="游ゴシック" w:cs="游ゴシック" w:eastAsia="游ゴシック" w:hAnsi="游ゴシック"/>
          <w:b w:val="false"/>
          <w:bCs w:val="false"/>
          <w:sz w:val="22"/>
          <w:szCs w:val="22"/>
        </w:rPr>
        <w:t xml:space="preserve">・本文中の実績数値（地域セミナー3年で延べ500名以上、企業導入で介護離職30%減少、病院導入でACP実施率80%超）は、自社実績として提出可能なことを確認済みです。</w:t>
      </w:r>
    </w:p>
    <w:p>
      <w:pPr>
        <w:spacing w:after="160" w:line="360"/>
      </w:pPr>
      <w:r>
        <w:rPr>
          <w:rFonts w:ascii="游ゴシック" w:cs="游ゴシック" w:eastAsia="游ゴシック" w:hAnsi="游ゴシック"/>
          <w:b w:val="false"/>
          <w:bCs w:val="false"/>
          <w:sz w:val="22"/>
          <w:szCs w:val="22"/>
        </w:rPr>
        <w:t xml:space="preserve">・受任件数・累計相談者数・年間売上高等の定量データは、社会貢献・独自性・成長性を軸に据える方針のため、本文にはあえて含めていません。</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i-1ppze6gjwssjf0kcgx" Type="http://schemas.openxmlformats.org/officeDocument/2006/relationships/hyperlink" Target="https://tsunagu-souzokusalon.com" TargetMode="External"/><Relationship Id="rIdch1p4yeegxdhf1ktgri5f" Type="http://schemas.openxmlformats.org/officeDocument/2006/relationships/hyperlink" Target="https://tsunagu-likefamily.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2026-09-02T05:25:42.987Z</dcterms:created>
  <dcterms:modified xsi:type="dcterms:W3CDTF">2026-09-02T05:25:43.004Z</dcterms:modified>
</cp:coreProperties>
</file>

<file path=docProps/custom.xml><?xml version="1.0" encoding="utf-8"?>
<Properties xmlns="http://schemas.openxmlformats.org/officeDocument/2006/custom-properties" xmlns:vt="http://schemas.openxmlformats.org/officeDocument/2006/docPropsVTypes"/>
</file>