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User / External Documentation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Users’ Manual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Plan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Nick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and recovery procedures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Greg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plan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Nick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Baseline Project Plan + Updated System Proposal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specifications for all forms, reports, dialogues, and interfaces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Internal Documentation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system data flow diagrams and narratives of diagrams (Context and at least Level 0 and Level 1 decompositions)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Greg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Proposed system data flow diagrams and narratives of diagrams (Context and at least Level 0 and Level 1 decompositions)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Greg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system E-R Diagrams and narratives of diagrams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Greg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Proposed system E-R Diagrams and narratives of diagrams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Christian/Greg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Minutes from meetings with users including design specifications gained from meetings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Greg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program code, the Data Dictionary, and data validation rules (Repair Manual)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Christian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