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pPr>
      <w:r>
        <w:rPr/>
        <w:t>MDSA01: Applied Media Literacy Essay – Fall 2022</w:t>
      </w:r>
    </w:p>
    <w:p>
      <w:pPr>
        <w:pStyle w:val="Normal"/>
        <w:rPr>
          <w:color w:val="auto"/>
        </w:rPr>
      </w:pPr>
      <w:r>
        <w:rPr>
          <w:color w:val="auto"/>
        </w:rPr>
      </w:r>
    </w:p>
    <w:p>
      <w:pPr>
        <w:pStyle w:val="Normal"/>
        <w:ind w:left="540" w:right="450" w:hanging="0"/>
        <w:jc w:val="center"/>
        <w:rPr>
          <w:i/>
          <w:i/>
          <w:iCs/>
          <w:color w:val="auto"/>
        </w:rPr>
      </w:pPr>
      <w:r>
        <w:rPr>
          <w:i/>
          <w:iCs/>
          <w:color w:val="auto"/>
        </w:rPr>
        <w:t xml:space="preserve">Synopsis: For this assignment, you will select one media literacy exercise from our course textbook and apply this exercise to a media object of your choosing (e.g., a film, television show/episode, video game, song/album, book, poem, magazine, etc.). </w:t>
      </w:r>
    </w:p>
    <w:p>
      <w:pPr>
        <w:pStyle w:val="Normal"/>
        <w:rPr>
          <w:color w:val="auto"/>
        </w:rPr>
      </w:pPr>
      <w:r>
        <w:rPr>
          <w:color w:val="auto"/>
        </w:rPr>
      </w:r>
    </w:p>
    <w:p>
      <w:pPr>
        <w:pStyle w:val="Normal"/>
        <w:rPr>
          <w:color w:val="auto"/>
        </w:rPr>
      </w:pPr>
      <w:r>
        <w:rPr>
          <w:color w:val="auto"/>
        </w:rPr>
        <w:t xml:space="preserve">MDSA01 encourages students to explore media (broadly defined) in ways that nurture the development of critical media literacy and that create space in which we can reflect on active intellectual citizenship. Through course content, media studies scholarship, and a discursive classroom community, students are challenged to apply academic theories to media objects and to reflect on our individual, overlapping roles as producers, consumers, and critics in a media-saturated world. Additionally, the course textbook, </w:t>
      </w:r>
      <w:r>
        <w:rPr>
          <w:i/>
          <w:iCs/>
          <w:color w:val="auto"/>
        </w:rPr>
        <w:t>Media &amp; Culture: Mass Communication in a Digital Age</w:t>
      </w:r>
      <w:r>
        <w:rPr>
          <w:color w:val="auto"/>
        </w:rPr>
        <w:t xml:space="preserve">, provides a collection of activities entitled, </w:t>
      </w:r>
      <w:r>
        <w:rPr>
          <w:b/>
          <w:bCs/>
          <w:color w:val="auto"/>
        </w:rPr>
        <w:t>“Media Literacy &amp; The Critical Process”</w:t>
      </w:r>
      <w:r>
        <w:rPr>
          <w:color w:val="auto"/>
        </w:rPr>
        <w:t xml:space="preserve">. These activities invite students to critically engage contemporary and historical media worlds and to reflect on the simultaneous benefits and drawbacks of our diverse media environments. At the heart of such work is the consideration of </w:t>
      </w:r>
      <w:r>
        <w:rPr>
          <w:i/>
          <w:iCs/>
          <w:color w:val="auto"/>
        </w:rPr>
        <w:t>what is at stake</w:t>
      </w:r>
      <w:r>
        <w:rPr>
          <w:color w:val="auto"/>
        </w:rPr>
        <w:t xml:space="preserve"> in this perpetual critical exploration of media ecology.</w:t>
      </w:r>
    </w:p>
    <w:p>
      <w:pPr>
        <w:pStyle w:val="Normal"/>
        <w:rPr>
          <w:color w:val="auto"/>
        </w:rPr>
      </w:pPr>
      <w:r>
        <w:rPr>
          <w:color w:val="auto"/>
        </w:rPr>
      </w:r>
    </w:p>
    <w:p>
      <w:pPr>
        <w:pStyle w:val="Normal"/>
        <w:rPr>
          <w:color w:val="auto"/>
        </w:rPr>
      </w:pPr>
      <w:r>
        <w:rPr>
          <w:color w:val="auto"/>
        </w:rPr>
        <w:t xml:space="preserve">As communicative tools, media objects often shape our understandings of global events and facilitate our connections with others. Moreover, media can provide us with tools through which we curate our own identity and determine the ways we wish to project to the world. However, such mediatized understandings are not merely neutral designators of meaning. They can also shape our </w:t>
      </w:r>
      <w:r>
        <w:rPr>
          <w:i/>
          <w:iCs/>
          <w:color w:val="auto"/>
          <w:u w:val="single"/>
        </w:rPr>
        <w:t>mis</w:t>
      </w:r>
      <w:r>
        <w:rPr>
          <w:color w:val="auto"/>
        </w:rPr>
        <w:t xml:space="preserve">understandings of global events, facilitate our </w:t>
      </w:r>
      <w:r>
        <w:rPr>
          <w:i/>
          <w:iCs/>
          <w:color w:val="auto"/>
          <w:u w:val="single"/>
        </w:rPr>
        <w:t>dis</w:t>
      </w:r>
      <w:r>
        <w:rPr>
          <w:color w:val="auto"/>
        </w:rPr>
        <w:t xml:space="preserve">connections from others, and provide tools that can manipulate our identity development in ways that manufacture consent to dominant structures of power. For every inclusive, constructive, and unifying narrative advanced by the media we consume, there are just as many that are exclusive, disruptive, and divisive.  </w:t>
      </w:r>
    </w:p>
    <w:p>
      <w:pPr>
        <w:pStyle w:val="Normal"/>
        <w:rPr>
          <w:color w:val="auto"/>
        </w:rPr>
      </w:pPr>
      <w:r>
        <w:rPr>
          <w:color w:val="auto"/>
        </w:rPr>
      </w:r>
    </w:p>
    <w:p>
      <w:pPr>
        <w:pStyle w:val="Normal"/>
        <w:rPr>
          <w:color w:val="auto"/>
        </w:rPr>
      </w:pPr>
      <w:r>
        <w:rPr>
          <w:color w:val="auto"/>
        </w:rPr>
        <w:t xml:space="preserve">Developing media literacy requires a sustained interrogation of the ways media form and inform our worldviews. This means appreciating the ways media objects might advance nuanced ways of seeing and appreciating people different from ourselves, but also critiquing the ways media objects can encourage self-interest over mutuality and community, the advancement of profit over the well-being of the world we must all share, and stereotypes that dehumanize others over a shared curiosity that emphasizes the very best in all of us. Because socialized mediation is </w:t>
      </w:r>
      <w:r>
        <w:rPr>
          <w:b/>
          <w:bCs/>
          <w:color w:val="auto"/>
        </w:rPr>
        <w:t>the</w:t>
      </w:r>
      <w:r>
        <w:rPr>
          <w:color w:val="auto"/>
        </w:rPr>
        <w:t xml:space="preserve"> primary lens through which we obtain information about the world, the power of such media objects cannot be underestimated. If anything, it must be taken seriously and critically engaged at every opportunity. </w:t>
      </w:r>
    </w:p>
    <w:p>
      <w:pPr>
        <w:pStyle w:val="Normal"/>
        <w:rPr>
          <w:color w:val="auto"/>
        </w:rPr>
      </w:pPr>
      <w:r>
        <w:rPr>
          <w:color w:val="auto"/>
        </w:rPr>
      </w:r>
    </w:p>
    <w:p>
      <w:pPr>
        <w:pStyle w:val="Normal"/>
        <w:rPr>
          <w:color w:val="auto"/>
        </w:rPr>
      </w:pPr>
      <w:r>
        <w:rPr>
          <w:i/>
          <w:iCs/>
          <w:color w:val="auto"/>
        </w:rPr>
        <w:t>Assignment</w:t>
      </w:r>
    </w:p>
    <w:p>
      <w:pPr>
        <w:pStyle w:val="Normal"/>
        <w:rPr>
          <w:color w:val="auto"/>
        </w:rPr>
      </w:pPr>
      <w:r>
        <w:rPr>
          <w:color w:val="auto"/>
        </w:rPr>
      </w:r>
    </w:p>
    <w:p>
      <w:pPr>
        <w:pStyle w:val="Normal"/>
        <w:rPr>
          <w:color w:val="auto"/>
        </w:rPr>
      </w:pPr>
      <w:r>
        <w:rPr>
          <w:color w:val="auto"/>
        </w:rPr>
        <w:t>The Applied Media Literacy Essay Assignment invites students to choose one of the following textbook activities listed as, “Media Literacy &amp; the Critical Process”. You will choose one option from the list below and compose a researched essay on a media object, media technology, media environment, or media experience associated with your choice of the following activities:</w:t>
      </w:r>
    </w:p>
    <w:p>
      <w:pPr>
        <w:pStyle w:val="Normal"/>
        <w:rPr>
          <w:color w:val="auto"/>
        </w:rPr>
      </w:pPr>
      <w:r>
        <w:rPr>
          <w:color w:val="auto"/>
        </w:rPr>
      </w:r>
    </w:p>
    <w:p>
      <w:pPr>
        <w:pStyle w:val="ListParagraph"/>
        <w:numPr>
          <w:ilvl w:val="0"/>
          <w:numId w:val="1"/>
        </w:numPr>
        <w:rPr>
          <w:color w:val="auto"/>
        </w:rPr>
      </w:pPr>
      <w:r>
        <w:rPr>
          <w:b/>
          <w:bCs/>
          <w:color w:val="auto"/>
        </w:rPr>
        <w:t>Harnessing Creativity by Stepping Away from Your Phone</w:t>
      </w:r>
      <w:r>
        <w:rPr>
          <w:color w:val="auto"/>
        </w:rPr>
        <w:t xml:space="preserve"> (p. 48)</w:t>
      </w:r>
    </w:p>
    <w:p>
      <w:pPr>
        <w:pStyle w:val="ListParagraph"/>
        <w:numPr>
          <w:ilvl w:val="0"/>
          <w:numId w:val="1"/>
        </w:numPr>
        <w:rPr>
          <w:color w:val="auto"/>
        </w:rPr>
      </w:pPr>
      <w:r>
        <w:rPr>
          <w:b/>
          <w:bCs/>
          <w:color w:val="auto"/>
        </w:rPr>
        <w:t>First-Person Shooter Games: Misogyny as Entertainment?</w:t>
      </w:r>
      <w:r>
        <w:rPr>
          <w:color w:val="auto"/>
        </w:rPr>
        <w:t xml:space="preserve"> (p. 80)</w:t>
      </w:r>
    </w:p>
    <w:p>
      <w:pPr>
        <w:pStyle w:val="ListParagraph"/>
        <w:numPr>
          <w:ilvl w:val="0"/>
          <w:numId w:val="1"/>
        </w:numPr>
        <w:rPr>
          <w:color w:val="auto"/>
        </w:rPr>
      </w:pPr>
      <w:r>
        <w:rPr>
          <w:b/>
          <w:bCs/>
          <w:color w:val="auto"/>
        </w:rPr>
        <w:t>Music Preferences Across Generations</w:t>
      </w:r>
      <w:r>
        <w:rPr>
          <w:color w:val="auto"/>
        </w:rPr>
        <w:t xml:space="preserve"> (p. 108)</w:t>
      </w:r>
    </w:p>
    <w:p>
      <w:pPr>
        <w:pStyle w:val="ListParagraph"/>
        <w:numPr>
          <w:ilvl w:val="0"/>
          <w:numId w:val="1"/>
        </w:numPr>
        <w:rPr>
          <w:color w:val="auto"/>
        </w:rPr>
      </w:pPr>
      <w:r>
        <w:rPr>
          <w:b/>
          <w:bCs/>
          <w:color w:val="auto"/>
        </w:rPr>
        <w:t>Comparing Commercial and Noncommercial Radio</w:t>
      </w:r>
      <w:r>
        <w:rPr>
          <w:color w:val="auto"/>
        </w:rPr>
        <w:t xml:space="preserve"> (p. 146)</w:t>
      </w:r>
    </w:p>
    <w:p>
      <w:pPr>
        <w:pStyle w:val="ListParagraph"/>
        <w:numPr>
          <w:ilvl w:val="0"/>
          <w:numId w:val="1"/>
        </w:numPr>
        <w:rPr>
          <w:color w:val="auto"/>
        </w:rPr>
      </w:pPr>
      <w:r>
        <w:rPr>
          <w:b/>
          <w:bCs/>
          <w:color w:val="auto"/>
        </w:rPr>
        <w:t>TV and the State of Storytelling</w:t>
      </w:r>
      <w:r>
        <w:rPr>
          <w:color w:val="auto"/>
        </w:rPr>
        <w:t xml:space="preserve"> (p. 178)</w:t>
      </w:r>
    </w:p>
    <w:p>
      <w:pPr>
        <w:pStyle w:val="ListParagraph"/>
        <w:numPr>
          <w:ilvl w:val="0"/>
          <w:numId w:val="1"/>
        </w:numPr>
        <w:rPr>
          <w:color w:val="auto"/>
        </w:rPr>
      </w:pPr>
      <w:r>
        <w:rPr>
          <w:b/>
          <w:bCs/>
          <w:color w:val="auto"/>
        </w:rPr>
        <w:t>The Blockbuster Mentality</w:t>
      </w:r>
      <w:r>
        <w:rPr>
          <w:color w:val="auto"/>
        </w:rPr>
        <w:t xml:space="preserve"> (p. 219)</w:t>
      </w:r>
    </w:p>
    <w:p>
      <w:pPr>
        <w:pStyle w:val="ListParagraph"/>
        <w:numPr>
          <w:ilvl w:val="0"/>
          <w:numId w:val="1"/>
        </w:numPr>
        <w:rPr>
          <w:color w:val="auto"/>
        </w:rPr>
      </w:pPr>
      <w:r>
        <w:rPr>
          <w:b/>
          <w:bCs/>
          <w:color w:val="auto"/>
        </w:rPr>
        <w:t>Covering the Unionization of Newspaper Workers</w:t>
      </w:r>
      <w:r>
        <w:rPr>
          <w:color w:val="auto"/>
        </w:rPr>
        <w:t xml:space="preserve"> (p.245)</w:t>
      </w:r>
    </w:p>
    <w:p>
      <w:pPr>
        <w:pStyle w:val="ListParagraph"/>
        <w:numPr>
          <w:ilvl w:val="0"/>
          <w:numId w:val="1"/>
        </w:numPr>
        <w:rPr>
          <w:color w:val="auto"/>
        </w:rPr>
      </w:pPr>
      <w:r>
        <w:rPr>
          <w:b/>
          <w:bCs/>
          <w:color w:val="auto"/>
        </w:rPr>
        <w:t>Uncovering American Beauty</w:t>
      </w:r>
      <w:r>
        <w:rPr>
          <w:color w:val="auto"/>
        </w:rPr>
        <w:t xml:space="preserve"> (p, 273)</w:t>
      </w:r>
    </w:p>
    <w:p>
      <w:pPr>
        <w:pStyle w:val="ListParagraph"/>
        <w:numPr>
          <w:ilvl w:val="0"/>
          <w:numId w:val="1"/>
        </w:numPr>
        <w:rPr>
          <w:color w:val="auto"/>
        </w:rPr>
      </w:pPr>
      <w:r>
        <w:rPr>
          <w:b/>
          <w:bCs/>
          <w:color w:val="auto"/>
        </w:rPr>
        <w:t>Publishing Gatekeepers: Who Gets to Write the Big Books</w:t>
      </w:r>
      <w:r>
        <w:rPr>
          <w:color w:val="auto"/>
        </w:rPr>
        <w:t xml:space="preserve"> (p. 300)</w:t>
      </w:r>
    </w:p>
    <w:p>
      <w:pPr>
        <w:pStyle w:val="ListParagraph"/>
        <w:numPr>
          <w:ilvl w:val="0"/>
          <w:numId w:val="1"/>
        </w:numPr>
        <w:rPr>
          <w:color w:val="auto"/>
        </w:rPr>
      </w:pPr>
      <w:r>
        <w:rPr>
          <w:b/>
          <w:bCs/>
          <w:color w:val="auto"/>
        </w:rPr>
        <w:t>The Branded You</w:t>
      </w:r>
      <w:r>
        <w:rPr>
          <w:color w:val="auto"/>
        </w:rPr>
        <w:t xml:space="preserve"> (p. 327)</w:t>
      </w:r>
    </w:p>
    <w:p>
      <w:pPr>
        <w:pStyle w:val="ListParagraph"/>
        <w:numPr>
          <w:ilvl w:val="0"/>
          <w:numId w:val="1"/>
        </w:numPr>
        <w:rPr>
          <w:color w:val="auto"/>
        </w:rPr>
      </w:pPr>
      <w:r>
        <w:rPr>
          <w:b/>
          <w:bCs/>
          <w:color w:val="auto"/>
        </w:rPr>
        <w:t>The Invisible Hand of PR</w:t>
      </w:r>
      <w:r>
        <w:rPr>
          <w:color w:val="auto"/>
        </w:rPr>
        <w:t xml:space="preserve"> (p. 361)</w:t>
      </w:r>
    </w:p>
    <w:p>
      <w:pPr>
        <w:pStyle w:val="ListParagraph"/>
        <w:numPr>
          <w:ilvl w:val="0"/>
          <w:numId w:val="1"/>
        </w:numPr>
        <w:rPr>
          <w:color w:val="auto"/>
        </w:rPr>
      </w:pPr>
      <w:r>
        <w:rPr>
          <w:b/>
          <w:bCs/>
          <w:color w:val="auto"/>
        </w:rPr>
        <w:t>Cultural Imperialism at Movies</w:t>
      </w:r>
      <w:r>
        <w:rPr>
          <w:color w:val="auto"/>
        </w:rPr>
        <w:t xml:space="preserve"> (p.392)</w:t>
      </w:r>
    </w:p>
    <w:p>
      <w:pPr>
        <w:pStyle w:val="ListParagraph"/>
        <w:numPr>
          <w:ilvl w:val="0"/>
          <w:numId w:val="1"/>
        </w:numPr>
        <w:rPr>
          <w:color w:val="auto"/>
        </w:rPr>
      </w:pPr>
      <w:r>
        <w:rPr>
          <w:b/>
          <w:bCs/>
          <w:color w:val="auto"/>
        </w:rPr>
        <w:t>Telling Stories and Covering Disaster</w:t>
      </w:r>
      <w:r>
        <w:rPr>
          <w:color w:val="auto"/>
        </w:rPr>
        <w:t xml:space="preserve"> (p. 416)</w:t>
      </w:r>
    </w:p>
    <w:p>
      <w:pPr>
        <w:pStyle w:val="ListParagraph"/>
        <w:numPr>
          <w:ilvl w:val="0"/>
          <w:numId w:val="1"/>
        </w:numPr>
        <w:rPr>
          <w:color w:val="auto"/>
        </w:rPr>
      </w:pPr>
      <w:r>
        <w:rPr>
          <w:b/>
          <w:bCs/>
          <w:color w:val="auto"/>
        </w:rPr>
        <w:t>Working Media and the Early Theories of Media Effects</w:t>
      </w:r>
      <w:r>
        <w:rPr>
          <w:color w:val="auto"/>
        </w:rPr>
        <w:t xml:space="preserve"> (p.435)</w:t>
      </w:r>
    </w:p>
    <w:p>
      <w:pPr>
        <w:pStyle w:val="ListParagraph"/>
        <w:numPr>
          <w:ilvl w:val="0"/>
          <w:numId w:val="1"/>
        </w:numPr>
        <w:rPr>
          <w:color w:val="auto"/>
        </w:rPr>
      </w:pPr>
      <w:r>
        <w:rPr>
          <w:b/>
          <w:bCs/>
          <w:color w:val="auto"/>
        </w:rPr>
        <w:t xml:space="preserve">Who Knows the First Amendment? </w:t>
      </w:r>
      <w:r>
        <w:rPr>
          <w:color w:val="auto"/>
        </w:rPr>
        <w:t>(p. 462)</w:t>
      </w:r>
    </w:p>
    <w:p>
      <w:pPr>
        <w:pStyle w:val="ListParagraph"/>
        <w:numPr>
          <w:ilvl w:val="1"/>
          <w:numId w:val="1"/>
        </w:numPr>
        <w:rPr>
          <w:color w:val="auto"/>
          <w:sz w:val="20"/>
          <w:szCs w:val="22"/>
        </w:rPr>
      </w:pPr>
      <w:r>
        <w:rPr>
          <w:color w:val="auto"/>
          <w:sz w:val="20"/>
          <w:szCs w:val="22"/>
        </w:rPr>
        <w:t>If this option is appealing to you, you must demonstrate your analysis in the context of Canadian legislation</w:t>
      </w:r>
    </w:p>
    <w:p>
      <w:pPr>
        <w:pStyle w:val="ListParagraph"/>
        <w:numPr>
          <w:ilvl w:val="0"/>
          <w:numId w:val="1"/>
        </w:numPr>
        <w:rPr>
          <w:color w:val="auto"/>
        </w:rPr>
      </w:pPr>
      <w:r>
        <w:rPr>
          <w:b/>
          <w:bCs/>
          <w:color w:val="auto"/>
        </w:rPr>
        <w:t>A Guide to Investigating Fake News</w:t>
      </w:r>
      <w:r>
        <w:rPr>
          <w:color w:val="auto"/>
        </w:rPr>
        <w:t xml:space="preserve"> (p. 485-494)</w:t>
      </w:r>
    </w:p>
    <w:p>
      <w:pPr>
        <w:pStyle w:val="ListParagraph"/>
        <w:ind w:left="720" w:right="720" w:hanging="0"/>
        <w:rPr>
          <w:i/>
          <w:i/>
          <w:iCs/>
          <w:color w:val="auto"/>
        </w:rPr>
      </w:pPr>
      <w:r>
        <w:rPr>
          <w:i/>
          <w:iCs/>
          <w:color w:val="auto"/>
        </w:rPr>
      </w:r>
    </w:p>
    <w:p>
      <w:pPr>
        <w:pStyle w:val="Normal"/>
        <w:tabs>
          <w:tab w:val="clear" w:pos="720"/>
          <w:tab w:val="left" w:pos="8640" w:leader="none"/>
        </w:tabs>
        <w:ind w:left="720" w:right="720" w:hanging="0"/>
        <w:jc w:val="center"/>
        <w:rPr>
          <w:i/>
          <w:i/>
          <w:iCs/>
          <w:color w:val="auto"/>
          <w:sz w:val="20"/>
          <w:szCs w:val="22"/>
        </w:rPr>
      </w:pPr>
      <w:r>
        <w:rPr>
          <w:i/>
          <w:iCs/>
          <w:color w:val="auto"/>
          <w:sz w:val="20"/>
          <w:szCs w:val="22"/>
          <w:highlight w:val="yellow"/>
        </w:rPr>
        <w:t>Note that there is a similar exercise on page 28, but if this is used, it must be used differently from class.</w:t>
      </w:r>
    </w:p>
    <w:p>
      <w:pPr>
        <w:pStyle w:val="Normal"/>
        <w:rPr>
          <w:color w:val="auto"/>
        </w:rPr>
      </w:pPr>
      <w:r>
        <w:rPr>
          <w:color w:val="auto"/>
        </w:rPr>
        <w:t xml:space="preserve">                                                                                                                                                       </w:t>
      </w:r>
      <w:r>
        <w:rPr>
          <w:color w:val="auto"/>
        </w:rPr>
        <w:t>Each of these provide invaluable lessons on media consumption and production, power dynamics and political hegemony, the rights and responsibilities of contemporary political leaders and global citizens, and other potentially disturbing trends in the current media era. Along with each exercise, there are several informative paragraphs that provide information to ensure you have the best chances of success.</w:t>
      </w:r>
    </w:p>
    <w:p>
      <w:pPr>
        <w:pStyle w:val="Normal"/>
        <w:rPr>
          <w:color w:val="auto"/>
        </w:rPr>
      </w:pPr>
      <w:r>
        <w:rPr>
          <w:color w:val="auto"/>
        </w:rPr>
      </w:r>
    </w:p>
    <w:p>
      <w:pPr>
        <w:pStyle w:val="Normal"/>
        <w:rPr>
          <w:color w:val="auto"/>
        </w:rPr>
      </w:pPr>
      <w:r>
        <w:rPr>
          <w:color w:val="auto"/>
        </w:rPr>
        <w:t xml:space="preserve">Note that I am not necessarily looking for a specific response to the prompts and activities provided in the textbook. You will likely end up exploring your own value systems, media environments, consumption and production tendencies, etc., as you complete this assignment. My expectation is that you conduct this exploration in a way that connects to course theory and contemporary Media Studies research. The conclusions you offer should be genuine, unique, and informed by scholarship, regardless of the position you ultimately take on the issue or object on which you are asked to reflect. </w:t>
      </w:r>
    </w:p>
    <w:p>
      <w:pPr>
        <w:pStyle w:val="Heading1"/>
        <w:rPr/>
      </w:pPr>
      <w:r>
        <w:rPr/>
        <w:t>Your Task:</w:t>
      </w:r>
    </w:p>
    <w:p>
      <w:pPr>
        <w:pStyle w:val="Normal"/>
        <w:rPr>
          <w:color w:val="auto"/>
        </w:rPr>
      </w:pPr>
      <w:r>
        <w:rPr>
          <w:color w:val="auto"/>
        </w:rPr>
      </w:r>
    </w:p>
    <w:p>
      <w:pPr>
        <w:pStyle w:val="Normal"/>
        <w:rPr>
          <w:b/>
          <w:b/>
          <w:bCs/>
          <w:color w:val="auto"/>
        </w:rPr>
      </w:pPr>
      <w:r>
        <w:rPr>
          <w:color w:val="auto"/>
        </w:rPr>
        <w:t xml:space="preserve">Compose an essay of 1500 words, plus the Works Cited page (bibliography). Note that the text in the Works Cited page, along with your name, the date and course code, etc., do not count toward the essay’s word count. </w:t>
      </w:r>
      <w:r>
        <w:rPr>
          <w:b/>
          <w:bCs/>
          <w:color w:val="auto"/>
        </w:rPr>
        <w:t>“Word count” refers only to the actual text of the essay.</w:t>
      </w:r>
    </w:p>
    <w:p>
      <w:pPr>
        <w:pStyle w:val="Normal"/>
        <w:rPr>
          <w:b/>
          <w:b/>
          <w:bCs/>
          <w:color w:val="auto"/>
        </w:rPr>
      </w:pPr>
      <w:r>
        <w:rPr>
          <w:b/>
          <w:bCs/>
          <w:color w:val="auto"/>
        </w:rPr>
      </w:r>
    </w:p>
    <w:p>
      <w:pPr>
        <w:pStyle w:val="Normal"/>
        <w:rPr>
          <w:color w:val="auto"/>
        </w:rPr>
      </w:pPr>
      <w:r>
        <w:rPr>
          <w:color w:val="auto"/>
        </w:rPr>
        <w:t>Find three scholarly sources, in addition to your textbook, that help illuminate the ideas or issues you want to address through this project. Your essay should have no fewer than four (4) sources: three scholarly books or articles and your textbook.</w:t>
      </w:r>
    </w:p>
    <w:p>
      <w:pPr>
        <w:pStyle w:val="Normal"/>
        <w:rPr>
          <w:color w:val="auto"/>
        </w:rPr>
      </w:pPr>
      <w:r>
        <w:rPr>
          <w:color w:val="auto"/>
        </w:rPr>
      </w:r>
    </w:p>
    <w:p>
      <w:pPr>
        <w:pStyle w:val="Normal"/>
        <w:rPr>
          <w:color w:val="auto"/>
        </w:rPr>
      </w:pPr>
      <w:r>
        <w:rPr>
          <w:color w:val="auto"/>
        </w:rPr>
        <w:t>Use MLA 8 formatting and citation style for your paper formatting, in-text citations, and Works Cited page.</w:t>
      </w:r>
    </w:p>
    <w:p>
      <w:pPr>
        <w:pStyle w:val="Normal"/>
        <w:rPr>
          <w:color w:val="auto"/>
        </w:rPr>
      </w:pPr>
      <w:r>
        <w:rPr>
          <w:color w:val="auto"/>
        </w:rPr>
      </w:r>
    </w:p>
    <w:p>
      <w:pPr>
        <w:pStyle w:val="Normal"/>
        <w:rPr>
          <w:color w:val="auto"/>
        </w:rPr>
      </w:pPr>
      <w:r>
        <w:rPr>
          <w:color w:val="auto"/>
        </w:rPr>
        <w:t xml:space="preserve">If your project requires you to analyze a specific media object (e.g., a film, song, book, website, etc.), please note that your chosen media object should be </w:t>
      </w:r>
      <w:r>
        <w:rPr>
          <w:b/>
          <w:bCs/>
          <w:color w:val="auto"/>
        </w:rPr>
        <w:t>no more than 3 years old</w:t>
      </w:r>
      <w:r>
        <w:rPr>
          <w:color w:val="auto"/>
        </w:rPr>
        <w:t xml:space="preserve"> (i.e., no earlier than 2019).</w:t>
      </w:r>
    </w:p>
    <w:p>
      <w:pPr>
        <w:pStyle w:val="Normal"/>
        <w:rPr>
          <w:color w:val="auto"/>
        </w:rPr>
      </w:pPr>
      <w:r>
        <w:rPr>
          <w:color w:val="auto"/>
        </w:rPr>
      </w:r>
    </w:p>
    <w:p>
      <w:pPr>
        <w:pStyle w:val="Normal"/>
        <w:rPr>
          <w:color w:val="auto"/>
        </w:rPr>
      </w:pPr>
      <w:r>
        <w:rPr>
          <w:color w:val="auto"/>
        </w:rPr>
        <w:t xml:space="preserve">The essay’s due date is </w:t>
      </w:r>
      <w:r>
        <w:rPr>
          <w:b/>
          <w:bCs/>
          <w:color w:val="auto"/>
        </w:rPr>
        <w:t>November 10, 2022, 11:59pm</w:t>
      </w:r>
      <w:r>
        <w:rPr>
          <w:color w:val="auto"/>
        </w:rPr>
        <w:t xml:space="preserve"> (Toronto time). It can be submitted only through Quercus Assignments. </w:t>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mc:AlternateContent>
          <mc:Choice Requires="wps">
            <w:drawing>
              <wp:anchor behindDoc="0" distT="40005" distB="57150" distL="108585" distR="125730" simplePos="0" locked="0" layoutInCell="0" allowOverlap="1" relativeHeight="2" wp14:anchorId="4B313184">
                <wp:simplePos x="0" y="0"/>
                <wp:positionH relativeFrom="column">
                  <wp:posOffset>396875</wp:posOffset>
                </wp:positionH>
                <wp:positionV relativeFrom="paragraph">
                  <wp:posOffset>85725</wp:posOffset>
                </wp:positionV>
                <wp:extent cx="4841875" cy="2179955"/>
                <wp:effectExtent l="5715" t="5715" r="4445" b="4445"/>
                <wp:wrapSquare wrapText="bothSides"/>
                <wp:docPr id="1" name="Text Box 2"/>
                <a:graphic xmlns:a="http://schemas.openxmlformats.org/drawingml/2006/main">
                  <a:graphicData uri="http://schemas.microsoft.com/office/word/2010/wordprocessingShape">
                    <wps:wsp>
                      <wps:cNvSpPr/>
                      <wps:spPr>
                        <a:xfrm>
                          <a:off x="0" y="0"/>
                          <a:ext cx="4842000" cy="21798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b/>
                                <w:b/>
                                <w:bCs/>
                                <w:color w:val="auto"/>
                              </w:rPr>
                            </w:pPr>
                            <w:r>
                              <w:rPr>
                                <w:b/>
                                <w:bCs/>
                                <w:color w:val="auto"/>
                              </w:rPr>
                              <w:t>Upcoming Support Dates</w:t>
                            </w:r>
                          </w:p>
                          <w:p>
                            <w:pPr>
                              <w:pStyle w:val="FrameContents"/>
                              <w:rPr>
                                <w:b/>
                                <w:b/>
                                <w:bCs/>
                                <w:color w:val="auto"/>
                              </w:rPr>
                            </w:pPr>
                            <w:r>
                              <w:rPr>
                                <w:b/>
                                <w:bCs/>
                                <w:color w:val="auto"/>
                              </w:rPr>
                            </w:r>
                          </w:p>
                          <w:p>
                            <w:pPr>
                              <w:pStyle w:val="ListParagraph"/>
                              <w:numPr>
                                <w:ilvl w:val="0"/>
                                <w:numId w:val="2"/>
                              </w:numPr>
                              <w:ind w:left="630" w:hanging="360"/>
                              <w:rPr>
                                <w:color w:val="auto"/>
                              </w:rPr>
                            </w:pPr>
                            <w:r>
                              <w:rPr>
                                <w:b/>
                                <w:bCs/>
                                <w:color w:val="auto"/>
                              </w:rPr>
                              <w:t xml:space="preserve">September 22: </w:t>
                            </w:r>
                            <w:r>
                              <w:rPr>
                                <w:color w:val="auto"/>
                              </w:rPr>
                              <w:t>Michele Irwin, Acting Coordinator of Writing Support, will provide a quick workshop to help you understand the assignment prompt</w:t>
                            </w:r>
                          </w:p>
                          <w:p>
                            <w:pPr>
                              <w:pStyle w:val="ListParagraph"/>
                              <w:numPr>
                                <w:ilvl w:val="0"/>
                                <w:numId w:val="2"/>
                              </w:numPr>
                              <w:ind w:left="630" w:hanging="360"/>
                              <w:rPr>
                                <w:color w:val="auto"/>
                              </w:rPr>
                            </w:pPr>
                            <w:r>
                              <w:rPr>
                                <w:b/>
                                <w:bCs/>
                                <w:color w:val="auto"/>
                              </w:rPr>
                              <w:t xml:space="preserve">October 20: </w:t>
                            </w:r>
                            <w:r>
                              <w:rPr>
                                <w:color w:val="auto"/>
                              </w:rPr>
                              <w:t>Paulina Rousseau, our departmental librarian, will provide a library research session to help you find sources for your essay</w:t>
                            </w:r>
                          </w:p>
                          <w:p>
                            <w:pPr>
                              <w:pStyle w:val="ListParagraph"/>
                              <w:numPr>
                                <w:ilvl w:val="0"/>
                                <w:numId w:val="2"/>
                              </w:numPr>
                              <w:ind w:left="630" w:hanging="360"/>
                              <w:rPr>
                                <w:color w:val="auto"/>
                              </w:rPr>
                            </w:pPr>
                            <w:r>
                              <w:rPr>
                                <w:b/>
                                <w:bCs/>
                                <w:color w:val="auto"/>
                              </w:rPr>
                              <w:t xml:space="preserve">Upcoming (Late October and/or Early November): </w:t>
                            </w:r>
                            <w:r>
                              <w:rPr>
                                <w:color w:val="auto"/>
                              </w:rPr>
                              <w:t>Michele Irwin will hold Writing Retreats to help guide students through writing activities that will prepare them for finalizing their essay</w:t>
                            </w:r>
                          </w:p>
                          <w:p>
                            <w:pPr>
                              <w:pStyle w:val="FrameContents"/>
                              <w:rPr/>
                            </w:pPr>
                            <w:r>
                              <w:rPr/>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t" o:allowincell="f" style="position:absolute;margin-left:31.25pt;margin-top:6.75pt;width:381.2pt;height:171.6pt;mso-wrap-style:square;v-text-anchor:top" wp14:anchorId="4B313184">
                <v:fill o:detectmouseclick="t" type="solid" color2="black"/>
                <v:stroke color="black" weight="9360" joinstyle="miter" endcap="flat"/>
                <v:textbox>
                  <w:txbxContent>
                    <w:p>
                      <w:pPr>
                        <w:pStyle w:val="FrameContents"/>
                        <w:rPr>
                          <w:b/>
                          <w:b/>
                          <w:bCs/>
                          <w:color w:val="auto"/>
                        </w:rPr>
                      </w:pPr>
                      <w:r>
                        <w:rPr>
                          <w:b/>
                          <w:bCs/>
                          <w:color w:val="auto"/>
                        </w:rPr>
                        <w:t>Upcoming Support Dates</w:t>
                      </w:r>
                    </w:p>
                    <w:p>
                      <w:pPr>
                        <w:pStyle w:val="FrameContents"/>
                        <w:rPr>
                          <w:b/>
                          <w:b/>
                          <w:bCs/>
                          <w:color w:val="auto"/>
                        </w:rPr>
                      </w:pPr>
                      <w:r>
                        <w:rPr>
                          <w:b/>
                          <w:bCs/>
                          <w:color w:val="auto"/>
                        </w:rPr>
                      </w:r>
                    </w:p>
                    <w:p>
                      <w:pPr>
                        <w:pStyle w:val="ListParagraph"/>
                        <w:numPr>
                          <w:ilvl w:val="0"/>
                          <w:numId w:val="2"/>
                        </w:numPr>
                        <w:ind w:left="630" w:hanging="360"/>
                        <w:rPr>
                          <w:color w:val="auto"/>
                        </w:rPr>
                      </w:pPr>
                      <w:r>
                        <w:rPr>
                          <w:b/>
                          <w:bCs/>
                          <w:color w:val="auto"/>
                        </w:rPr>
                        <w:t xml:space="preserve">September 22: </w:t>
                      </w:r>
                      <w:r>
                        <w:rPr>
                          <w:color w:val="auto"/>
                        </w:rPr>
                        <w:t>Michele Irwin, Acting Coordinator of Writing Support, will provide a quick workshop to help you understand the assignment prompt</w:t>
                      </w:r>
                    </w:p>
                    <w:p>
                      <w:pPr>
                        <w:pStyle w:val="ListParagraph"/>
                        <w:numPr>
                          <w:ilvl w:val="0"/>
                          <w:numId w:val="2"/>
                        </w:numPr>
                        <w:ind w:left="630" w:hanging="360"/>
                        <w:rPr>
                          <w:color w:val="auto"/>
                        </w:rPr>
                      </w:pPr>
                      <w:r>
                        <w:rPr>
                          <w:b/>
                          <w:bCs/>
                          <w:color w:val="auto"/>
                        </w:rPr>
                        <w:t xml:space="preserve">October 20: </w:t>
                      </w:r>
                      <w:r>
                        <w:rPr>
                          <w:color w:val="auto"/>
                        </w:rPr>
                        <w:t>Paulina Rousseau, our departmental librarian, will provide a library research session to help you find sources for your essay</w:t>
                      </w:r>
                    </w:p>
                    <w:p>
                      <w:pPr>
                        <w:pStyle w:val="ListParagraph"/>
                        <w:numPr>
                          <w:ilvl w:val="0"/>
                          <w:numId w:val="2"/>
                        </w:numPr>
                        <w:ind w:left="630" w:hanging="360"/>
                        <w:rPr>
                          <w:color w:val="auto"/>
                        </w:rPr>
                      </w:pPr>
                      <w:r>
                        <w:rPr>
                          <w:b/>
                          <w:bCs/>
                          <w:color w:val="auto"/>
                        </w:rPr>
                        <w:t xml:space="preserve">Upcoming (Late October and/or Early November): </w:t>
                      </w:r>
                      <w:r>
                        <w:rPr>
                          <w:color w:val="auto"/>
                        </w:rPr>
                        <w:t>Michele Irwin will hold Writing Retreats to help guide students through writing activities that will prepare them for finalizing their essay</w:t>
                      </w:r>
                    </w:p>
                    <w:p>
                      <w:pPr>
                        <w:pStyle w:val="FrameContents"/>
                        <w:rPr/>
                      </w:pPr>
                      <w:r>
                        <w:rPr/>
                      </w:r>
                    </w:p>
                  </w:txbxContent>
                </v:textbox>
                <w10:wrap type="square"/>
              </v:rect>
            </w:pict>
          </mc:Fallback>
        </mc:AlternateContent>
      </w:r>
    </w:p>
    <w:p>
      <w:pPr>
        <w:pStyle w:val="ListParagraph"/>
        <w:ind w:left="1440" w:hanging="0"/>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color w:val="auto"/>
        </w:rPr>
      </w:r>
    </w:p>
    <w:p>
      <w:pPr>
        <w:pStyle w:val="Normal"/>
        <w:rPr>
          <w:color w:val="auto"/>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entury Gothic">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3bc3"/>
    <w:pPr>
      <w:widowControl/>
      <w:shd w:val="clear" w:color="auto" w:fill="FFFFFF"/>
      <w:bidi w:val="0"/>
      <w:spacing w:lineRule="auto" w:line="240" w:before="0" w:after="0"/>
      <w:jc w:val="left"/>
    </w:pPr>
    <w:rPr>
      <w:rFonts w:ascii="Century Gothic" w:hAnsi="Century Gothic" w:eastAsia="Times New Roman" w:cs="Calibri" w:cstheme="minorHAnsi"/>
      <w:color w:val="2D3B45"/>
      <w:kern w:val="0"/>
      <w:sz w:val="22"/>
      <w:szCs w:val="24"/>
      <w:lang w:val="en-US" w:eastAsia="en-US" w:bidi="ar-SA"/>
    </w:rPr>
  </w:style>
  <w:style w:type="paragraph" w:styleId="Heading1">
    <w:name w:val="Heading 1"/>
    <w:basedOn w:val="Normal"/>
    <w:next w:val="Normal"/>
    <w:link w:val="Heading1Char"/>
    <w:uiPriority w:val="9"/>
    <w:qFormat/>
    <w:rsid w:val="00ce5a14"/>
    <w:pPr>
      <w:keepNext w:val="true"/>
      <w:keepLines/>
      <w:spacing w:before="240" w:after="0"/>
      <w:outlineLvl w:val="0"/>
    </w:pPr>
    <w:rPr>
      <w:rFonts w:eastAsia="" w:cs="" w:cstheme="majorBidi" w:eastAsiaTheme="majorEastAsia"/>
      <w:i/>
      <w:iCs/>
      <w:color w:val="auto"/>
      <w:sz w:val="24"/>
    </w:rPr>
  </w:style>
  <w:style w:type="paragraph" w:styleId="Heading2">
    <w:name w:val="Heading 2"/>
    <w:basedOn w:val="Normal"/>
    <w:next w:val="Normal"/>
    <w:link w:val="Heading2Char"/>
    <w:uiPriority w:val="9"/>
    <w:unhideWhenUsed/>
    <w:qFormat/>
    <w:rsid w:val="00ce5a14"/>
    <w:pPr>
      <w:jc w:val="center"/>
      <w:outlineLvl w:val="1"/>
    </w:pPr>
    <w:rPr>
      <w:b/>
      <w:bCs/>
      <w:color w:val="auto"/>
      <w:sz w:val="28"/>
      <w:szCs w:val="32"/>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927158"/>
    <w:rPr>
      <w:color w:val="0563C1" w:themeColor="hyperlink"/>
      <w:u w:val="single"/>
    </w:rPr>
  </w:style>
  <w:style w:type="character" w:styleId="UnresolvedMention">
    <w:name w:val="Unresolved Mention"/>
    <w:basedOn w:val="DefaultParagraphFont"/>
    <w:uiPriority w:val="99"/>
    <w:semiHidden/>
    <w:unhideWhenUsed/>
    <w:qFormat/>
    <w:rsid w:val="00927158"/>
    <w:rPr>
      <w:color w:val="605E5C"/>
      <w:shd w:fill="E1DFDD" w:val="clear"/>
    </w:rPr>
  </w:style>
  <w:style w:type="character" w:styleId="VisitedInternetLink">
    <w:name w:val="FollowedHyperlink"/>
    <w:basedOn w:val="DefaultParagraphFont"/>
    <w:uiPriority w:val="99"/>
    <w:semiHidden/>
    <w:unhideWhenUsed/>
    <w:rsid w:val="00927158"/>
    <w:rPr>
      <w:color w:val="954F72" w:themeColor="followedHyperlink"/>
      <w:u w:val="single"/>
    </w:rPr>
  </w:style>
  <w:style w:type="character" w:styleId="Heading1Char" w:customStyle="1">
    <w:name w:val="Heading 1 Char"/>
    <w:basedOn w:val="DefaultParagraphFont"/>
    <w:link w:val="Heading1"/>
    <w:uiPriority w:val="9"/>
    <w:qFormat/>
    <w:rsid w:val="00ce5a14"/>
    <w:rPr>
      <w:rFonts w:ascii="Century Gothic" w:hAnsi="Century Gothic" w:eastAsia="" w:cs="" w:cstheme="majorBidi" w:eastAsiaTheme="majorEastAsia"/>
      <w:i/>
      <w:iCs/>
      <w:sz w:val="24"/>
      <w:szCs w:val="24"/>
      <w:shd w:fill="FFFFFF" w:val="clear"/>
    </w:rPr>
  </w:style>
  <w:style w:type="character" w:styleId="Heading2Char" w:customStyle="1">
    <w:name w:val="Heading 2 Char"/>
    <w:basedOn w:val="DefaultParagraphFont"/>
    <w:link w:val="Heading2"/>
    <w:uiPriority w:val="9"/>
    <w:qFormat/>
    <w:rsid w:val="00ce5a14"/>
    <w:rPr>
      <w:rFonts w:ascii="Century Gothic" w:hAnsi="Century Gothic" w:eastAsia="Times New Roman" w:cs="Calibri" w:cstheme="minorHAnsi"/>
      <w:b/>
      <w:bCs/>
      <w:sz w:val="28"/>
      <w:szCs w:val="32"/>
      <w:shd w:fill="FFFFFF" w:val="clear"/>
    </w:rPr>
  </w:style>
  <w:style w:type="character" w:styleId="Annotationreference">
    <w:name w:val="annotation reference"/>
    <w:basedOn w:val="DefaultParagraphFont"/>
    <w:uiPriority w:val="99"/>
    <w:semiHidden/>
    <w:unhideWhenUsed/>
    <w:qFormat/>
    <w:rsid w:val="00d72bfb"/>
    <w:rPr>
      <w:sz w:val="16"/>
      <w:szCs w:val="16"/>
    </w:rPr>
  </w:style>
  <w:style w:type="character" w:styleId="CommentTextChar" w:customStyle="1">
    <w:name w:val="Comment Text Char"/>
    <w:basedOn w:val="DefaultParagraphFont"/>
    <w:link w:val="Annotationtext"/>
    <w:uiPriority w:val="99"/>
    <w:qFormat/>
    <w:rsid w:val="00d72bfb"/>
    <w:rPr>
      <w:rFonts w:ascii="Century Gothic" w:hAnsi="Century Gothic" w:eastAsia="Times New Roman" w:cs="Calibri" w:cstheme="minorHAnsi"/>
      <w:color w:val="2D3B45"/>
      <w:sz w:val="20"/>
      <w:szCs w:val="20"/>
      <w:shd w:fill="FFFFFF" w:val="clear"/>
    </w:rPr>
  </w:style>
  <w:style w:type="character" w:styleId="CommentSubjectChar" w:customStyle="1">
    <w:name w:val="Comment Subject Char"/>
    <w:basedOn w:val="CommentTextChar"/>
    <w:link w:val="Annotationsubject"/>
    <w:uiPriority w:val="99"/>
    <w:semiHidden/>
    <w:qFormat/>
    <w:rsid w:val="00d72bfb"/>
    <w:rPr>
      <w:rFonts w:ascii="Century Gothic" w:hAnsi="Century Gothic" w:eastAsia="Times New Roman" w:cs="Calibri" w:cstheme="minorHAnsi"/>
      <w:b/>
      <w:bCs/>
      <w:color w:val="2D3B45"/>
      <w:sz w:val="20"/>
      <w:szCs w:val="20"/>
      <w:shd w:fill="FFFFFF" w:val="clea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rsid w:val="00927158"/>
    <w:pPr>
      <w:spacing w:before="0" w:after="0"/>
      <w:ind w:left="720" w:hanging="0"/>
      <w:contextualSpacing/>
    </w:pPr>
    <w:rPr/>
  </w:style>
  <w:style w:type="paragraph" w:styleId="Annotationtext">
    <w:name w:val="annotation text"/>
    <w:basedOn w:val="Normal"/>
    <w:link w:val="CommentTextChar"/>
    <w:uiPriority w:val="99"/>
    <w:unhideWhenUsed/>
    <w:qFormat/>
    <w:rsid w:val="00d72bfb"/>
    <w:pPr/>
    <w:rPr>
      <w:sz w:val="20"/>
      <w:szCs w:val="20"/>
    </w:rPr>
  </w:style>
  <w:style w:type="paragraph" w:styleId="Annotationsubject">
    <w:name w:val="annotation subject"/>
    <w:basedOn w:val="Annotationtext"/>
    <w:next w:val="Annotationtext"/>
    <w:link w:val="CommentSubjectChar"/>
    <w:uiPriority w:val="99"/>
    <w:semiHidden/>
    <w:unhideWhenUsed/>
    <w:qFormat/>
    <w:rsid w:val="00d72bfb"/>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A7B56-2AF6-49D2-B6D8-A00211D5A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Application>LibreOffice/7.3.5.2$Windows_X86_64 LibreOffice_project/184fe81b8c8c30d8b5082578aee2fed2ea847c01</Application>
  <AppVersion>15.0000</AppVersion>
  <Pages>3</Pages>
  <Words>1041</Words>
  <Characters>5630</Characters>
  <CharactersWithSpaces>6772</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2022-09-16T18:05:00Z</dcterms:created>
  <dc:creator>Sarah Lynn Kleeb, PhD</dc:creator>
  <dc:description/>
  <dc:language>en-US</dc:language>
  <cp:lastModifiedBy/>
  <dcterms:modified xsi:type="dcterms:W3CDTF">2022-09-22T08:42:11Z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