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80FEA" w14:textId="303B94C0" w:rsidR="00030159" w:rsidRPr="00030159" w:rsidRDefault="00030159" w:rsidP="00030159">
      <w:pPr>
        <w:spacing w:line="480" w:lineRule="auto"/>
        <w:rPr>
          <w:rFonts w:ascii="Times New Roman" w:hAnsi="Times New Roman" w:cs="Times New Roman"/>
          <w:b/>
          <w:bCs/>
          <w:sz w:val="36"/>
          <w:szCs w:val="36"/>
        </w:rPr>
      </w:pPr>
      <w:r w:rsidRPr="00030159">
        <w:rPr>
          <w:rFonts w:ascii="Times New Roman" w:hAnsi="Times New Roman" w:cs="Times New Roman"/>
          <w:b/>
          <w:bCs/>
          <w:sz w:val="36"/>
          <w:szCs w:val="36"/>
        </w:rPr>
        <w:t>Student information:</w:t>
      </w:r>
    </w:p>
    <w:p w14:paraId="693E7F32" w14:textId="5D33192D" w:rsidR="00030159" w:rsidRPr="00030159" w:rsidRDefault="00030159" w:rsidP="00030159">
      <w:pPr>
        <w:spacing w:line="480" w:lineRule="auto"/>
        <w:ind w:firstLineChars="200" w:firstLine="480"/>
        <w:rPr>
          <w:rFonts w:ascii="Times New Roman" w:hAnsi="Times New Roman" w:cs="Times New Roman"/>
          <w:sz w:val="24"/>
        </w:rPr>
      </w:pPr>
      <w:proofErr w:type="spellStart"/>
      <w:r w:rsidRPr="00030159">
        <w:rPr>
          <w:rFonts w:ascii="Times New Roman" w:hAnsi="Times New Roman" w:cs="Times New Roman"/>
          <w:sz w:val="24"/>
        </w:rPr>
        <w:t>Changze</w:t>
      </w:r>
      <w:proofErr w:type="spellEnd"/>
      <w:r w:rsidRPr="00030159">
        <w:rPr>
          <w:rFonts w:ascii="Times New Roman" w:hAnsi="Times New Roman" w:cs="Times New Roman"/>
          <w:sz w:val="24"/>
        </w:rPr>
        <w:t xml:space="preserve"> Wu</w:t>
      </w:r>
    </w:p>
    <w:p w14:paraId="6A555994" w14:textId="04553DE9" w:rsidR="00030159" w:rsidRPr="00030159" w:rsidRDefault="00030159" w:rsidP="00030159">
      <w:pPr>
        <w:spacing w:line="480" w:lineRule="auto"/>
        <w:ind w:firstLineChars="200" w:firstLine="480"/>
        <w:rPr>
          <w:rFonts w:ascii="Times New Roman" w:hAnsi="Times New Roman" w:cs="Times New Roman"/>
          <w:sz w:val="24"/>
        </w:rPr>
      </w:pPr>
      <w:r w:rsidRPr="00030159">
        <w:rPr>
          <w:rFonts w:ascii="Times New Roman" w:hAnsi="Times New Roman" w:cs="Times New Roman"/>
          <w:sz w:val="24"/>
        </w:rPr>
        <w:t>1008837840</w:t>
      </w:r>
    </w:p>
    <w:p w14:paraId="6357D27C" w14:textId="77777777" w:rsidR="00030159" w:rsidRPr="00030159" w:rsidRDefault="00030159" w:rsidP="00030159">
      <w:pPr>
        <w:spacing w:line="480" w:lineRule="auto"/>
        <w:ind w:firstLineChars="200" w:firstLine="480"/>
        <w:rPr>
          <w:rFonts w:ascii="Times New Roman" w:hAnsi="Times New Roman" w:cs="Times New Roman"/>
          <w:sz w:val="24"/>
        </w:rPr>
      </w:pPr>
    </w:p>
    <w:p w14:paraId="20EA33C6" w14:textId="500973B0" w:rsidR="00B33E55" w:rsidRPr="00030159" w:rsidRDefault="00030159" w:rsidP="00030159">
      <w:pPr>
        <w:spacing w:line="480" w:lineRule="auto"/>
        <w:rPr>
          <w:rFonts w:ascii="Times New Roman" w:hAnsi="Times New Roman" w:cs="Times New Roman"/>
          <w:b/>
          <w:bCs/>
          <w:sz w:val="32"/>
          <w:szCs w:val="32"/>
        </w:rPr>
      </w:pPr>
      <w:r w:rsidRPr="00030159">
        <w:rPr>
          <w:rFonts w:ascii="Times New Roman" w:hAnsi="Times New Roman" w:cs="Times New Roman"/>
          <w:b/>
          <w:bCs/>
          <w:sz w:val="32"/>
          <w:szCs w:val="32"/>
        </w:rPr>
        <w:t>Information Presentation Response</w:t>
      </w:r>
    </w:p>
    <w:p w14:paraId="2200FBC9" w14:textId="070CC8CD" w:rsidR="00030159" w:rsidRPr="00030159" w:rsidRDefault="00030159" w:rsidP="00030159">
      <w:pPr>
        <w:spacing w:line="480" w:lineRule="auto"/>
        <w:ind w:firstLineChars="200" w:firstLine="480"/>
        <w:rPr>
          <w:rFonts w:ascii="Times New Roman" w:hAnsi="Times New Roman" w:cs="Times New Roman"/>
          <w:sz w:val="24"/>
        </w:rPr>
      </w:pPr>
      <w:r w:rsidRPr="00030159">
        <w:rPr>
          <w:rFonts w:ascii="Times New Roman" w:hAnsi="Times New Roman" w:cs="Times New Roman"/>
          <w:sz w:val="24"/>
        </w:rPr>
        <w:t>An average student taking this course 10 years ago are likely less concern about the privacy because users less informed about the data exploitation (Madden et al., 2017). Today's average student is more aware of digital privacy due to stricter regulations like GDPR (Taneja et al., 2021). Looking ahead, a student in 10 years maybe even more concern because AI-driven surveillance and predictive analytics may pose new privacy risks (Zuboff, 2019). However, privacy fatigue (Choi et al., 2018) may also lead less concern because students are accustomed to data sharing.</w:t>
      </w:r>
    </w:p>
    <w:p w14:paraId="08D99530" w14:textId="08F25C53" w:rsidR="00030159" w:rsidRPr="00030159" w:rsidRDefault="00030159" w:rsidP="00030159">
      <w:pPr>
        <w:spacing w:line="480" w:lineRule="auto"/>
        <w:rPr>
          <w:rFonts w:ascii="Times New Roman" w:hAnsi="Times New Roman" w:cs="Times New Roman"/>
          <w:b/>
          <w:bCs/>
          <w:sz w:val="32"/>
          <w:szCs w:val="32"/>
        </w:rPr>
      </w:pPr>
      <w:r w:rsidRPr="00030159">
        <w:rPr>
          <w:rFonts w:ascii="Times New Roman" w:hAnsi="Times New Roman" w:cs="Times New Roman"/>
          <w:b/>
          <w:bCs/>
          <w:sz w:val="32"/>
          <w:szCs w:val="32"/>
        </w:rPr>
        <w:t>Much Ado About Leaking</w:t>
      </w:r>
    </w:p>
    <w:p w14:paraId="5E92FAAE" w14:textId="77777777" w:rsidR="00030159" w:rsidRPr="00030159" w:rsidRDefault="00030159" w:rsidP="00030159">
      <w:pPr>
        <w:spacing w:line="480" w:lineRule="auto"/>
        <w:ind w:firstLineChars="200" w:firstLine="480"/>
        <w:rPr>
          <w:rFonts w:ascii="Times New Roman" w:hAnsi="Times New Roman" w:cs="Times New Roman"/>
          <w:sz w:val="24"/>
        </w:rPr>
      </w:pPr>
      <w:r w:rsidRPr="00030159">
        <w:rPr>
          <w:rFonts w:ascii="Times New Roman" w:hAnsi="Times New Roman" w:cs="Times New Roman"/>
          <w:sz w:val="24"/>
        </w:rPr>
        <w:t xml:space="preserve">In the ongoing debate between </w:t>
      </w:r>
      <w:proofErr w:type="spellStart"/>
      <w:r w:rsidRPr="00030159">
        <w:rPr>
          <w:rFonts w:ascii="Times New Roman" w:hAnsi="Times New Roman" w:cs="Times New Roman"/>
          <w:sz w:val="24"/>
        </w:rPr>
        <w:t>Zark</w:t>
      </w:r>
      <w:proofErr w:type="spellEnd"/>
      <w:r w:rsidRPr="00030159">
        <w:rPr>
          <w:rFonts w:ascii="Times New Roman" w:hAnsi="Times New Roman" w:cs="Times New Roman"/>
          <w:sz w:val="24"/>
        </w:rPr>
        <w:t xml:space="preserve"> and </w:t>
      </w:r>
      <w:proofErr w:type="spellStart"/>
      <w:r w:rsidRPr="00030159">
        <w:rPr>
          <w:rFonts w:ascii="Times New Roman" w:hAnsi="Times New Roman" w:cs="Times New Roman"/>
          <w:sz w:val="24"/>
        </w:rPr>
        <w:t>Beff</w:t>
      </w:r>
      <w:proofErr w:type="spellEnd"/>
      <w:r w:rsidRPr="00030159">
        <w:rPr>
          <w:rFonts w:ascii="Times New Roman" w:hAnsi="Times New Roman" w:cs="Times New Roman"/>
          <w:sz w:val="24"/>
        </w:rPr>
        <w:t xml:space="preserve">, it is crucial to find a solution that balances user protection, legal compliance, and our company's reputation. Keeping the security issue secret is both ethically irresponsible and legally </w:t>
      </w:r>
      <w:proofErr w:type="gramStart"/>
      <w:r w:rsidRPr="00030159">
        <w:rPr>
          <w:rFonts w:ascii="Times New Roman" w:hAnsi="Times New Roman" w:cs="Times New Roman"/>
          <w:sz w:val="24"/>
        </w:rPr>
        <w:t>dangerous, but</w:t>
      </w:r>
      <w:proofErr w:type="gramEnd"/>
      <w:r w:rsidRPr="00030159">
        <w:rPr>
          <w:rFonts w:ascii="Times New Roman" w:hAnsi="Times New Roman" w:cs="Times New Roman"/>
          <w:sz w:val="24"/>
        </w:rPr>
        <w:t xml:space="preserve"> disclosing it prematurely may expose us to unnecessary risks from hackers. A responsible disclosure method, which combines transparency and security, is the best approach to resolve this dilemma. </w:t>
      </w:r>
    </w:p>
    <w:p w14:paraId="70DA57DF" w14:textId="77777777" w:rsidR="00030159" w:rsidRPr="00030159" w:rsidRDefault="00030159" w:rsidP="00030159">
      <w:pPr>
        <w:spacing w:line="480" w:lineRule="auto"/>
        <w:ind w:firstLineChars="200" w:firstLine="480"/>
        <w:rPr>
          <w:rFonts w:ascii="Times New Roman" w:hAnsi="Times New Roman" w:cs="Times New Roman"/>
          <w:sz w:val="24"/>
        </w:rPr>
      </w:pPr>
      <w:r w:rsidRPr="00030159">
        <w:rPr>
          <w:rFonts w:ascii="Times New Roman" w:hAnsi="Times New Roman" w:cs="Times New Roman"/>
          <w:sz w:val="24"/>
        </w:rPr>
        <w:t xml:space="preserve">To make a balanced decision, we must consider the interests of all stakeholders affected by the disclosure. Our users need protection and transparency; they trust us with their private conversations, personal pictures, and sensitive files. We must notify </w:t>
      </w:r>
      <w:r w:rsidRPr="00030159">
        <w:rPr>
          <w:rFonts w:ascii="Times New Roman" w:hAnsi="Times New Roman" w:cs="Times New Roman"/>
          <w:sz w:val="24"/>
        </w:rPr>
        <w:lastRenderedPageBreak/>
        <w:t>them responsibly and ensure their data remains secure. Regulators demand compliance with legal standards to avoid hefty fines and legal complications. Investors, on the other hand, want to safeguard the company's financial standing, minimizing risks of lawsuits and loss of user trust. Finally, we must not inadvertently give hackers an opportunity to exploit the bug before a fix is deployed.</w:t>
      </w:r>
    </w:p>
    <w:p w14:paraId="14946821" w14:textId="77777777" w:rsidR="00030159" w:rsidRPr="00030159" w:rsidRDefault="00030159" w:rsidP="00030159">
      <w:pPr>
        <w:spacing w:line="480" w:lineRule="auto"/>
        <w:ind w:firstLineChars="200" w:firstLine="480"/>
        <w:rPr>
          <w:rFonts w:ascii="Times New Roman" w:hAnsi="Times New Roman" w:cs="Times New Roman"/>
          <w:sz w:val="24"/>
        </w:rPr>
      </w:pPr>
      <w:r w:rsidRPr="00030159">
        <w:rPr>
          <w:rFonts w:ascii="Times New Roman" w:hAnsi="Times New Roman" w:cs="Times New Roman"/>
          <w:sz w:val="24"/>
        </w:rPr>
        <w:t>Our users trust us with their private conversations, personal pictures, and sensitive files. The security vulnerability that exposes this data is a significant ethical issue. According to the ACM Code of Ethics (2018), computing professionals must “avoid harm” and act in the public interest. If we knowingly conceal this problem and it results in a data leak, we become complicit in that harm. Moreover, research by Solove (2020) in 'Privacy and Power' shows that users expect transparency from digital service providers. Companies that handle security issues responsibly maintain user trust, while those that fail to do so suffer long-term reputational damage. The Cambridge Analytica scandal (2018) serves as a prime example: Facebook’s lack of disclosure led to a $5 billion FTC fine and significant public backlash (FTC, 2019). Hiding this problem and allowing a later leak would not only erode user trust but also expose us to lawsuits, regulatory action, and financial penalties.</w:t>
      </w:r>
    </w:p>
    <w:p w14:paraId="6449F240" w14:textId="77777777" w:rsidR="00030159" w:rsidRPr="00030159" w:rsidRDefault="00030159" w:rsidP="00030159">
      <w:pPr>
        <w:spacing w:line="480" w:lineRule="auto"/>
        <w:ind w:firstLineChars="200" w:firstLine="480"/>
        <w:rPr>
          <w:rFonts w:ascii="Times New Roman" w:hAnsi="Times New Roman" w:cs="Times New Roman"/>
          <w:sz w:val="24"/>
        </w:rPr>
      </w:pPr>
      <w:r w:rsidRPr="00030159">
        <w:rPr>
          <w:rFonts w:ascii="Times New Roman" w:hAnsi="Times New Roman" w:cs="Times New Roman"/>
          <w:sz w:val="24"/>
        </w:rPr>
        <w:t xml:space="preserve">While </w:t>
      </w:r>
      <w:proofErr w:type="spellStart"/>
      <w:r w:rsidRPr="00030159">
        <w:rPr>
          <w:rFonts w:ascii="Times New Roman" w:hAnsi="Times New Roman" w:cs="Times New Roman"/>
          <w:sz w:val="24"/>
        </w:rPr>
        <w:t>Zark</w:t>
      </w:r>
      <w:proofErr w:type="spellEnd"/>
      <w:r w:rsidRPr="00030159">
        <w:rPr>
          <w:rFonts w:ascii="Times New Roman" w:hAnsi="Times New Roman" w:cs="Times New Roman"/>
          <w:sz w:val="24"/>
        </w:rPr>
        <w:t xml:space="preserve"> raises a valid concern about attracting hackers by disclosing the issue too soon, the greater risk lies in the potential legal repercussions. Operating in a global market requires compliance with international data privacy laws such as GDPR, CCPA, and PIPL. Failure to address and disclose this issue responsibly could result in massive fines and potentially force us out of business. Research by Taneja et al. (2021) found </w:t>
      </w:r>
      <w:r w:rsidRPr="00030159">
        <w:rPr>
          <w:rFonts w:ascii="Times New Roman" w:hAnsi="Times New Roman" w:cs="Times New Roman"/>
          <w:sz w:val="24"/>
        </w:rPr>
        <w:lastRenderedPageBreak/>
        <w:t>that companies that follow responsible disclosure practices face 35% fewer financial penalties compared to those that conceal security problems. Keeping this issue under wraps might cost us millions in regulatory fines and legal fees.</w:t>
      </w:r>
    </w:p>
    <w:p w14:paraId="2B1AEE81" w14:textId="77777777" w:rsidR="00030159" w:rsidRPr="00030159" w:rsidRDefault="00030159" w:rsidP="00030159">
      <w:pPr>
        <w:spacing w:line="480" w:lineRule="auto"/>
        <w:ind w:firstLineChars="200" w:firstLine="480"/>
        <w:rPr>
          <w:rFonts w:ascii="Times New Roman" w:hAnsi="Times New Roman" w:cs="Times New Roman"/>
          <w:sz w:val="24"/>
        </w:rPr>
      </w:pPr>
      <w:r w:rsidRPr="00030159">
        <w:rPr>
          <w:rFonts w:ascii="Times New Roman" w:hAnsi="Times New Roman" w:cs="Times New Roman"/>
          <w:sz w:val="24"/>
        </w:rPr>
        <w:t xml:space="preserve">Although </w:t>
      </w:r>
      <w:proofErr w:type="spellStart"/>
      <w:r w:rsidRPr="00030159">
        <w:rPr>
          <w:rFonts w:ascii="Times New Roman" w:hAnsi="Times New Roman" w:cs="Times New Roman"/>
          <w:sz w:val="24"/>
        </w:rPr>
        <w:t>Zark</w:t>
      </w:r>
      <w:proofErr w:type="spellEnd"/>
      <w:r w:rsidRPr="00030159">
        <w:rPr>
          <w:rFonts w:ascii="Times New Roman" w:hAnsi="Times New Roman" w:cs="Times New Roman"/>
          <w:sz w:val="24"/>
        </w:rPr>
        <w:t xml:space="preserve"> is right that publishing the bug could make us temporarily vulnerable to hackers, concealing it would cause long-term damage. </w:t>
      </w:r>
      <w:proofErr w:type="spellStart"/>
      <w:r w:rsidRPr="00030159">
        <w:rPr>
          <w:rFonts w:ascii="Times New Roman" w:hAnsi="Times New Roman" w:cs="Times New Roman"/>
          <w:sz w:val="24"/>
        </w:rPr>
        <w:t>Kshetri</w:t>
      </w:r>
      <w:proofErr w:type="spellEnd"/>
      <w:r w:rsidRPr="00030159">
        <w:rPr>
          <w:rFonts w:ascii="Times New Roman" w:hAnsi="Times New Roman" w:cs="Times New Roman"/>
          <w:sz w:val="24"/>
        </w:rPr>
        <w:t xml:space="preserve"> and </w:t>
      </w:r>
      <w:proofErr w:type="spellStart"/>
      <w:r w:rsidRPr="00030159">
        <w:rPr>
          <w:rFonts w:ascii="Times New Roman" w:hAnsi="Times New Roman" w:cs="Times New Roman"/>
          <w:sz w:val="24"/>
        </w:rPr>
        <w:t>Voas</w:t>
      </w:r>
      <w:proofErr w:type="spellEnd"/>
      <w:r w:rsidRPr="00030159">
        <w:rPr>
          <w:rFonts w:ascii="Times New Roman" w:hAnsi="Times New Roman" w:cs="Times New Roman"/>
          <w:sz w:val="24"/>
        </w:rPr>
        <w:t xml:space="preserve"> (2017) found that companies failing to disclose security flaws lose an average of 28% of their users within six months. On the other hand, being transparent about security issues helps companies regain user trust more quickly. Similarly, </w:t>
      </w:r>
      <w:proofErr w:type="spellStart"/>
      <w:r w:rsidRPr="00030159">
        <w:rPr>
          <w:rFonts w:ascii="Times New Roman" w:hAnsi="Times New Roman" w:cs="Times New Roman"/>
          <w:sz w:val="24"/>
        </w:rPr>
        <w:t>Beff's</w:t>
      </w:r>
      <w:proofErr w:type="spellEnd"/>
      <w:r w:rsidRPr="00030159">
        <w:rPr>
          <w:rFonts w:ascii="Times New Roman" w:hAnsi="Times New Roman" w:cs="Times New Roman"/>
          <w:sz w:val="24"/>
        </w:rPr>
        <w:t xml:space="preserve"> point about the dangers of perceived inaction is well-supported. If users discover that we did nothing when aware of this vulnerability, the backlash could be devastating. The Yahoo data breach (2013-2014) is a relevant case: years after the breach was revealed, Yahoo lost $350 million in its acquisition deal with Verizon (Reuters, 2017).</w:t>
      </w:r>
    </w:p>
    <w:p w14:paraId="0417F226" w14:textId="77777777" w:rsidR="00030159" w:rsidRPr="00030159" w:rsidRDefault="00030159" w:rsidP="00030159">
      <w:pPr>
        <w:spacing w:line="480" w:lineRule="auto"/>
        <w:ind w:firstLineChars="200" w:firstLine="480"/>
        <w:rPr>
          <w:rFonts w:ascii="Times New Roman" w:hAnsi="Times New Roman" w:cs="Times New Roman"/>
          <w:sz w:val="24"/>
        </w:rPr>
      </w:pPr>
      <w:r w:rsidRPr="00030159">
        <w:rPr>
          <w:rFonts w:ascii="Times New Roman" w:hAnsi="Times New Roman" w:cs="Times New Roman"/>
          <w:sz w:val="24"/>
        </w:rPr>
        <w:t xml:space="preserve">To balance transparency and security, I propose the following steps. First, our engineering team should promptly fix the issue and release a forced update to ensure users install the patch as soon as possible. We should also privately notify cybersecurity experts, regulatory agencies, and trusted researchers, demonstrating good faith compliance while minimizing exposure. Once the fix is secure, we can issue a carefully worded public statement, acknowledging the vulnerability, expressing gratitude to the security community, and providing clear instructions on updating the software. Additionally, implementing a bug bounty program would encourage ethical hackers to report vulnerabilities directly, and conducting regular security audits would help prevent future issues. These steps align with best practices in cybersecurity, minimizing </w:t>
      </w:r>
      <w:r w:rsidRPr="00030159">
        <w:rPr>
          <w:rFonts w:ascii="Times New Roman" w:hAnsi="Times New Roman" w:cs="Times New Roman"/>
          <w:sz w:val="24"/>
        </w:rPr>
        <w:lastRenderedPageBreak/>
        <w:t>both legal and reputational risks (Anderson, 2020).</w:t>
      </w:r>
    </w:p>
    <w:p w14:paraId="4BFED108" w14:textId="7E5C0EC9" w:rsidR="00030159" w:rsidRPr="00030159" w:rsidRDefault="00030159" w:rsidP="00030159">
      <w:pPr>
        <w:spacing w:line="480" w:lineRule="auto"/>
        <w:ind w:firstLineChars="200" w:firstLine="480"/>
        <w:rPr>
          <w:rFonts w:ascii="Times New Roman" w:hAnsi="Times New Roman" w:cs="Times New Roman"/>
          <w:sz w:val="24"/>
        </w:rPr>
      </w:pPr>
      <w:r w:rsidRPr="00030159">
        <w:rPr>
          <w:rFonts w:ascii="Times New Roman" w:hAnsi="Times New Roman" w:cs="Times New Roman"/>
          <w:sz w:val="24"/>
        </w:rPr>
        <w:t xml:space="preserve">Ultimately, I agree with </w:t>
      </w:r>
      <w:proofErr w:type="spellStart"/>
      <w:r w:rsidRPr="00030159">
        <w:rPr>
          <w:rFonts w:ascii="Times New Roman" w:hAnsi="Times New Roman" w:cs="Times New Roman"/>
          <w:sz w:val="24"/>
        </w:rPr>
        <w:t>Beff</w:t>
      </w:r>
      <w:proofErr w:type="spellEnd"/>
      <w:r w:rsidRPr="00030159">
        <w:rPr>
          <w:rFonts w:ascii="Times New Roman" w:hAnsi="Times New Roman" w:cs="Times New Roman"/>
          <w:sz w:val="24"/>
        </w:rPr>
        <w:t xml:space="preserve"> that transparency is essential, but I advocate for a balanced, controlled, and strategic disclosure process to reduce risks. </w:t>
      </w:r>
      <w:proofErr w:type="spellStart"/>
      <w:r w:rsidRPr="00030159">
        <w:rPr>
          <w:rFonts w:ascii="Times New Roman" w:hAnsi="Times New Roman" w:cs="Times New Roman"/>
          <w:sz w:val="24"/>
        </w:rPr>
        <w:t>Zark's</w:t>
      </w:r>
      <w:proofErr w:type="spellEnd"/>
      <w:r w:rsidRPr="00030159">
        <w:rPr>
          <w:rFonts w:ascii="Times New Roman" w:hAnsi="Times New Roman" w:cs="Times New Roman"/>
          <w:sz w:val="24"/>
        </w:rPr>
        <w:t xml:space="preserve"> suggestion to conceal the issue entirely is not viable, as historical cases consistently show that responsible disclosure is more beneficial in the long run. By acting swiftly to protect our users, comply with legal requirements, and uphold our integrity, we will make UTSC stronger and more trusted.</w:t>
      </w:r>
    </w:p>
    <w:p w14:paraId="1603639B" w14:textId="7072FCB2" w:rsidR="00030159" w:rsidRPr="00030159" w:rsidRDefault="00030159" w:rsidP="00030159">
      <w:pPr>
        <w:spacing w:line="480" w:lineRule="auto"/>
        <w:rPr>
          <w:rFonts w:ascii="Times New Roman" w:hAnsi="Times New Roman" w:cs="Times New Roman"/>
          <w:b/>
          <w:bCs/>
          <w:sz w:val="32"/>
          <w:szCs w:val="32"/>
        </w:rPr>
      </w:pPr>
      <w:r w:rsidRPr="00030159">
        <w:rPr>
          <w:rFonts w:ascii="Times New Roman" w:hAnsi="Times New Roman" w:cs="Times New Roman"/>
          <w:b/>
          <w:bCs/>
          <w:sz w:val="32"/>
          <w:szCs w:val="32"/>
        </w:rPr>
        <w:t>The CPPA And Internet Privacy in Canada</w:t>
      </w:r>
    </w:p>
    <w:p w14:paraId="4B724CFF" w14:textId="40FB28E1" w:rsidR="00030159" w:rsidRPr="00030159" w:rsidRDefault="00030159" w:rsidP="00030159">
      <w:pPr>
        <w:spacing w:line="480" w:lineRule="auto"/>
        <w:ind w:firstLineChars="200" w:firstLine="480"/>
        <w:rPr>
          <w:rFonts w:ascii="Times New Roman" w:hAnsi="Times New Roman" w:cs="Times New Roman"/>
          <w:sz w:val="24"/>
        </w:rPr>
      </w:pPr>
      <w:r w:rsidRPr="00030159">
        <w:rPr>
          <w:rFonts w:ascii="Times New Roman" w:hAnsi="Times New Roman" w:cs="Times New Roman"/>
          <w:sz w:val="24"/>
        </w:rPr>
        <w:t xml:space="preserve">The Consumer Privacy Protection Act (CPPA) has sparked debate among supporters and critics. Supporters see the CPPA </w:t>
      </w:r>
      <w:proofErr w:type="gramStart"/>
      <w:r w:rsidRPr="00030159">
        <w:rPr>
          <w:rFonts w:ascii="Times New Roman" w:hAnsi="Times New Roman" w:cs="Times New Roman"/>
          <w:sz w:val="24"/>
        </w:rPr>
        <w:t>as a way to</w:t>
      </w:r>
      <w:proofErr w:type="gramEnd"/>
      <w:r w:rsidRPr="00030159">
        <w:rPr>
          <w:rFonts w:ascii="Times New Roman" w:hAnsi="Times New Roman" w:cs="Times New Roman"/>
          <w:sz w:val="24"/>
        </w:rPr>
        <w:t xml:space="preserve"> modernize Canadian data privacy laws. They believe it brings Canada closer to international standards like the EU’s General Data Protection Regulation (GDPR) (De Hert &amp; Papakonstantinou, 2018; Laufer, 2020). The CPPA aims to give consumers more control over their data. This includes stricter consent rules, data minimization, and the right to access, correct, and delete personal data. Some supporters argue these changes should happen sooner (Kuner et al., 2020; Innovation, Science and Economic Development Canada, 2023). Research shows stronger data protection can build trust and lower data misuse risks (Müller &amp; Klemperer, 2021; Schwartz &amp; Peifer, 2017).</w:t>
      </w:r>
    </w:p>
    <w:p w14:paraId="65A601D1" w14:textId="6E5B55E5" w:rsidR="00030159" w:rsidRPr="00030159" w:rsidRDefault="00030159" w:rsidP="00030159">
      <w:pPr>
        <w:spacing w:line="480" w:lineRule="auto"/>
        <w:ind w:firstLineChars="200" w:firstLine="480"/>
        <w:rPr>
          <w:rFonts w:ascii="Times New Roman" w:hAnsi="Times New Roman" w:cs="Times New Roman"/>
          <w:sz w:val="24"/>
        </w:rPr>
      </w:pPr>
      <w:r w:rsidRPr="00030159">
        <w:rPr>
          <w:rFonts w:ascii="Times New Roman" w:hAnsi="Times New Roman" w:cs="Times New Roman"/>
          <w:sz w:val="24"/>
        </w:rPr>
        <w:t xml:space="preserve">Supporters also highlight the CPPA’s enforcement measures. It gives the Office of the Privacy Commissioner (OPC) the power to penalize companies that fail to protect user data. This step aligns with global standards and holds corporations accountable. It also aims to protect citizens’ digital rights (Gowling WLG, 2023; Canadian Civil </w:t>
      </w:r>
      <w:r w:rsidRPr="00030159">
        <w:rPr>
          <w:rFonts w:ascii="Times New Roman" w:hAnsi="Times New Roman" w:cs="Times New Roman"/>
          <w:sz w:val="24"/>
        </w:rPr>
        <w:lastRenderedPageBreak/>
        <w:t>Liberties Association, 2023).</w:t>
      </w:r>
    </w:p>
    <w:p w14:paraId="26FEC99E" w14:textId="6871BC8D" w:rsidR="00030159" w:rsidRPr="00030159" w:rsidRDefault="00030159" w:rsidP="00030159">
      <w:pPr>
        <w:spacing w:line="480" w:lineRule="auto"/>
        <w:ind w:firstLineChars="200" w:firstLine="480"/>
        <w:rPr>
          <w:rFonts w:ascii="Times New Roman" w:hAnsi="Times New Roman" w:cs="Times New Roman"/>
          <w:sz w:val="24"/>
        </w:rPr>
      </w:pPr>
      <w:r w:rsidRPr="00030159">
        <w:rPr>
          <w:rFonts w:ascii="Times New Roman" w:hAnsi="Times New Roman" w:cs="Times New Roman"/>
          <w:sz w:val="24"/>
        </w:rPr>
        <w:t xml:space="preserve">Critics, however, see the CPPA as too weak. One main issue is that it exempts federal political parties from compliance. This loophole reduces the law’s overall effectiveness (Bailey, 2021; Canadian Civil Liberties Association, 2023). Some scholars also worry that the CPPA does not cover biometric and AI-generated data well enough. These data types are increasingly used in surveillance and targeted ads (Laufer, 2020; </w:t>
      </w:r>
      <w:proofErr w:type="spellStart"/>
      <w:r w:rsidRPr="00030159">
        <w:rPr>
          <w:rFonts w:ascii="Times New Roman" w:hAnsi="Times New Roman" w:cs="Times New Roman"/>
          <w:sz w:val="24"/>
        </w:rPr>
        <w:t>Scassa</w:t>
      </w:r>
      <w:proofErr w:type="spellEnd"/>
      <w:r w:rsidRPr="00030159">
        <w:rPr>
          <w:rFonts w:ascii="Times New Roman" w:hAnsi="Times New Roman" w:cs="Times New Roman"/>
          <w:sz w:val="24"/>
        </w:rPr>
        <w:t>, 2021). Critics feel the law is not keeping up with new digital risks.</w:t>
      </w:r>
    </w:p>
    <w:p w14:paraId="0EE1FF5C" w14:textId="755C13D5" w:rsidR="00030159" w:rsidRPr="00030159" w:rsidRDefault="00030159" w:rsidP="00030159">
      <w:pPr>
        <w:spacing w:line="480" w:lineRule="auto"/>
        <w:ind w:firstLineChars="200" w:firstLine="480"/>
        <w:rPr>
          <w:rFonts w:ascii="Times New Roman" w:hAnsi="Times New Roman" w:cs="Times New Roman"/>
          <w:sz w:val="24"/>
        </w:rPr>
      </w:pPr>
      <w:r w:rsidRPr="00030159">
        <w:rPr>
          <w:rFonts w:ascii="Times New Roman" w:hAnsi="Times New Roman" w:cs="Times New Roman"/>
          <w:sz w:val="24"/>
        </w:rPr>
        <w:t>Businesses also raise concerns. Some say the CPPA’s strict consent and data rules might hurt innovation. This could especially impact small and medium-sized enterprises (SMEs) that rely on data for marketing. Studies show that strict privacy laws can stifle entrepreneurship and harm global competitiveness (</w:t>
      </w:r>
      <w:proofErr w:type="spellStart"/>
      <w:r w:rsidRPr="00030159">
        <w:rPr>
          <w:rFonts w:ascii="Times New Roman" w:hAnsi="Times New Roman" w:cs="Times New Roman"/>
          <w:sz w:val="24"/>
        </w:rPr>
        <w:t>Acquisti</w:t>
      </w:r>
      <w:proofErr w:type="spellEnd"/>
      <w:r w:rsidRPr="00030159">
        <w:rPr>
          <w:rFonts w:ascii="Times New Roman" w:hAnsi="Times New Roman" w:cs="Times New Roman"/>
          <w:sz w:val="24"/>
        </w:rPr>
        <w:t xml:space="preserve"> et al., 2016; Kuner et al., 2020). Compliance costs may also hit smaller businesses harder, giving bigger companies an advantage (Gowling WLG, 2023; </w:t>
      </w:r>
      <w:proofErr w:type="spellStart"/>
      <w:r w:rsidRPr="00030159">
        <w:rPr>
          <w:rFonts w:ascii="Times New Roman" w:hAnsi="Times New Roman" w:cs="Times New Roman"/>
          <w:sz w:val="24"/>
        </w:rPr>
        <w:t>Scassa</w:t>
      </w:r>
      <w:proofErr w:type="spellEnd"/>
      <w:r w:rsidRPr="00030159">
        <w:rPr>
          <w:rFonts w:ascii="Times New Roman" w:hAnsi="Times New Roman" w:cs="Times New Roman"/>
          <w:sz w:val="24"/>
        </w:rPr>
        <w:t>, 2021).</w:t>
      </w:r>
    </w:p>
    <w:p w14:paraId="2AC5596B" w14:textId="6C899668" w:rsidR="00030159" w:rsidRPr="00030159" w:rsidRDefault="00030159" w:rsidP="00030159">
      <w:pPr>
        <w:spacing w:line="480" w:lineRule="auto"/>
        <w:ind w:firstLineChars="200" w:firstLine="480"/>
        <w:rPr>
          <w:rFonts w:ascii="Times New Roman" w:hAnsi="Times New Roman" w:cs="Times New Roman"/>
          <w:sz w:val="24"/>
        </w:rPr>
      </w:pPr>
      <w:r w:rsidRPr="00030159">
        <w:rPr>
          <w:rFonts w:ascii="Times New Roman" w:hAnsi="Times New Roman" w:cs="Times New Roman"/>
          <w:sz w:val="24"/>
        </w:rPr>
        <w:t xml:space="preserve">Experts have mixed views on the CPPA’s future impact. Some think it will improve data protection and boost public trust in online platforms (De Hert &amp; Papakonstantinou, 2018; Schwartz &amp; Peifer, 2017). Others worry that inconsistent enforcement will limit its effectiveness. They argue that the CPPA does not fully address AI and political data issues (Bailey, 2021; </w:t>
      </w:r>
      <w:proofErr w:type="spellStart"/>
      <w:r w:rsidRPr="00030159">
        <w:rPr>
          <w:rFonts w:ascii="Times New Roman" w:hAnsi="Times New Roman" w:cs="Times New Roman"/>
          <w:sz w:val="24"/>
        </w:rPr>
        <w:t>Scassa</w:t>
      </w:r>
      <w:proofErr w:type="spellEnd"/>
      <w:r w:rsidRPr="00030159">
        <w:rPr>
          <w:rFonts w:ascii="Times New Roman" w:hAnsi="Times New Roman" w:cs="Times New Roman"/>
          <w:sz w:val="24"/>
        </w:rPr>
        <w:t>, 2021).</w:t>
      </w:r>
    </w:p>
    <w:p w14:paraId="0E457078" w14:textId="7004359C" w:rsidR="00030159" w:rsidRDefault="00030159" w:rsidP="00030159">
      <w:pPr>
        <w:spacing w:line="480" w:lineRule="auto"/>
        <w:ind w:firstLineChars="200" w:firstLine="480"/>
        <w:rPr>
          <w:rFonts w:ascii="Times New Roman" w:hAnsi="Times New Roman" w:cs="Times New Roman"/>
          <w:sz w:val="24"/>
        </w:rPr>
      </w:pPr>
      <w:r w:rsidRPr="00030159">
        <w:rPr>
          <w:rFonts w:ascii="Times New Roman" w:hAnsi="Times New Roman" w:cs="Times New Roman"/>
          <w:sz w:val="24"/>
        </w:rPr>
        <w:t xml:space="preserve">Some also fear that the CPPA could give the government too much control over digital businesses. They worry this could lead to overregulation (Laufer, 2020; </w:t>
      </w:r>
      <w:proofErr w:type="spellStart"/>
      <w:r w:rsidRPr="00030159">
        <w:rPr>
          <w:rFonts w:ascii="Times New Roman" w:hAnsi="Times New Roman" w:cs="Times New Roman"/>
          <w:sz w:val="24"/>
        </w:rPr>
        <w:t>Tirole</w:t>
      </w:r>
      <w:proofErr w:type="spellEnd"/>
      <w:r w:rsidRPr="00030159">
        <w:rPr>
          <w:rFonts w:ascii="Times New Roman" w:hAnsi="Times New Roman" w:cs="Times New Roman"/>
          <w:sz w:val="24"/>
        </w:rPr>
        <w:t xml:space="preserve">, 2019). There is also concern that, despite its goals, the CPPA could end up like past privacy laws that were not enforced well (Müller &amp; Klemperer, 2021; </w:t>
      </w:r>
      <w:proofErr w:type="spellStart"/>
      <w:r w:rsidRPr="00030159">
        <w:rPr>
          <w:rFonts w:ascii="Times New Roman" w:hAnsi="Times New Roman" w:cs="Times New Roman"/>
          <w:sz w:val="24"/>
        </w:rPr>
        <w:t>Acquisti</w:t>
      </w:r>
      <w:proofErr w:type="spellEnd"/>
      <w:r w:rsidRPr="00030159">
        <w:rPr>
          <w:rFonts w:ascii="Times New Roman" w:hAnsi="Times New Roman" w:cs="Times New Roman"/>
          <w:sz w:val="24"/>
        </w:rPr>
        <w:t xml:space="preserve"> et al., </w:t>
      </w:r>
      <w:r w:rsidRPr="00030159">
        <w:rPr>
          <w:rFonts w:ascii="Times New Roman" w:hAnsi="Times New Roman" w:cs="Times New Roman"/>
          <w:sz w:val="24"/>
        </w:rPr>
        <w:lastRenderedPageBreak/>
        <w:t>2016). Whether the CPPA succeeds or not, it will likely have a major impact on businesses, consumers, and policymakers.</w:t>
      </w:r>
    </w:p>
    <w:p w14:paraId="1CB17693" w14:textId="77777777" w:rsidR="00030159" w:rsidRDefault="00030159" w:rsidP="00030159">
      <w:pPr>
        <w:spacing w:line="480" w:lineRule="auto"/>
        <w:ind w:firstLineChars="200" w:firstLine="480"/>
        <w:rPr>
          <w:rFonts w:ascii="Times New Roman" w:hAnsi="Times New Roman" w:cs="Times New Roman"/>
          <w:sz w:val="24"/>
        </w:rPr>
      </w:pPr>
    </w:p>
    <w:p w14:paraId="369641FC" w14:textId="77777777" w:rsidR="00030159" w:rsidRDefault="00030159" w:rsidP="00030159">
      <w:pPr>
        <w:spacing w:line="480" w:lineRule="auto"/>
        <w:ind w:firstLineChars="200" w:firstLine="480"/>
        <w:rPr>
          <w:rFonts w:ascii="Times New Roman" w:hAnsi="Times New Roman" w:cs="Times New Roman"/>
          <w:sz w:val="24"/>
        </w:rPr>
      </w:pPr>
    </w:p>
    <w:p w14:paraId="48192144" w14:textId="77777777" w:rsidR="00030159" w:rsidRDefault="00030159" w:rsidP="00030159">
      <w:pPr>
        <w:spacing w:line="480" w:lineRule="auto"/>
        <w:ind w:firstLineChars="200" w:firstLine="480"/>
        <w:rPr>
          <w:rFonts w:ascii="Times New Roman" w:hAnsi="Times New Roman" w:cs="Times New Roman"/>
          <w:sz w:val="24"/>
        </w:rPr>
      </w:pPr>
    </w:p>
    <w:p w14:paraId="27F43B93" w14:textId="77777777" w:rsidR="00030159" w:rsidRDefault="00030159" w:rsidP="00030159">
      <w:pPr>
        <w:spacing w:line="480" w:lineRule="auto"/>
        <w:ind w:firstLineChars="200" w:firstLine="480"/>
        <w:rPr>
          <w:rFonts w:ascii="Times New Roman" w:hAnsi="Times New Roman" w:cs="Times New Roman"/>
          <w:sz w:val="24"/>
        </w:rPr>
      </w:pPr>
    </w:p>
    <w:p w14:paraId="52014B2D" w14:textId="77777777" w:rsidR="00030159" w:rsidRDefault="00030159" w:rsidP="00030159">
      <w:pPr>
        <w:spacing w:line="480" w:lineRule="auto"/>
        <w:ind w:firstLineChars="200" w:firstLine="480"/>
        <w:rPr>
          <w:rFonts w:ascii="Times New Roman" w:hAnsi="Times New Roman" w:cs="Times New Roman"/>
          <w:sz w:val="24"/>
        </w:rPr>
      </w:pPr>
    </w:p>
    <w:p w14:paraId="27E2AA11" w14:textId="77777777" w:rsidR="00030159" w:rsidRDefault="00030159" w:rsidP="00030159">
      <w:pPr>
        <w:spacing w:line="480" w:lineRule="auto"/>
        <w:ind w:firstLineChars="200" w:firstLine="480"/>
        <w:rPr>
          <w:rFonts w:ascii="Times New Roman" w:hAnsi="Times New Roman" w:cs="Times New Roman"/>
          <w:sz w:val="24"/>
        </w:rPr>
      </w:pPr>
    </w:p>
    <w:p w14:paraId="33747EF8" w14:textId="77777777" w:rsidR="00030159" w:rsidRDefault="00030159" w:rsidP="00030159">
      <w:pPr>
        <w:spacing w:line="480" w:lineRule="auto"/>
        <w:ind w:firstLineChars="200" w:firstLine="480"/>
        <w:rPr>
          <w:rFonts w:ascii="Times New Roman" w:hAnsi="Times New Roman" w:cs="Times New Roman"/>
          <w:sz w:val="24"/>
        </w:rPr>
      </w:pPr>
    </w:p>
    <w:p w14:paraId="4EDDEEF1" w14:textId="77777777" w:rsidR="00030159" w:rsidRDefault="00030159" w:rsidP="00030159">
      <w:pPr>
        <w:spacing w:line="480" w:lineRule="auto"/>
        <w:ind w:firstLineChars="200" w:firstLine="480"/>
        <w:rPr>
          <w:rFonts w:ascii="Times New Roman" w:hAnsi="Times New Roman" w:cs="Times New Roman"/>
          <w:sz w:val="24"/>
        </w:rPr>
      </w:pPr>
    </w:p>
    <w:p w14:paraId="1618576D" w14:textId="77777777" w:rsidR="00030159" w:rsidRDefault="00030159" w:rsidP="00030159">
      <w:pPr>
        <w:spacing w:line="480" w:lineRule="auto"/>
        <w:ind w:firstLineChars="200" w:firstLine="480"/>
        <w:rPr>
          <w:rFonts w:ascii="Times New Roman" w:hAnsi="Times New Roman" w:cs="Times New Roman"/>
          <w:sz w:val="24"/>
        </w:rPr>
      </w:pPr>
    </w:p>
    <w:p w14:paraId="01E9B4CE" w14:textId="77777777" w:rsidR="00030159" w:rsidRDefault="00030159" w:rsidP="00030159">
      <w:pPr>
        <w:spacing w:line="480" w:lineRule="auto"/>
        <w:ind w:firstLineChars="200" w:firstLine="480"/>
        <w:rPr>
          <w:rFonts w:ascii="Times New Roman" w:hAnsi="Times New Roman" w:cs="Times New Roman"/>
          <w:sz w:val="24"/>
        </w:rPr>
      </w:pPr>
    </w:p>
    <w:p w14:paraId="49A77978" w14:textId="77777777" w:rsidR="00030159" w:rsidRDefault="00030159" w:rsidP="00030159">
      <w:pPr>
        <w:spacing w:line="480" w:lineRule="auto"/>
        <w:ind w:firstLineChars="200" w:firstLine="480"/>
        <w:rPr>
          <w:rFonts w:ascii="Times New Roman" w:hAnsi="Times New Roman" w:cs="Times New Roman"/>
          <w:sz w:val="24"/>
        </w:rPr>
      </w:pPr>
    </w:p>
    <w:p w14:paraId="465AB1AC" w14:textId="77777777" w:rsidR="00030159" w:rsidRDefault="00030159" w:rsidP="00030159">
      <w:pPr>
        <w:spacing w:line="480" w:lineRule="auto"/>
        <w:ind w:firstLineChars="200" w:firstLine="480"/>
        <w:rPr>
          <w:rFonts w:ascii="Times New Roman" w:hAnsi="Times New Roman" w:cs="Times New Roman"/>
          <w:sz w:val="24"/>
        </w:rPr>
      </w:pPr>
    </w:p>
    <w:p w14:paraId="74A0DC60" w14:textId="77777777" w:rsidR="00030159" w:rsidRDefault="00030159" w:rsidP="00030159">
      <w:pPr>
        <w:spacing w:line="480" w:lineRule="auto"/>
        <w:ind w:firstLineChars="200" w:firstLine="480"/>
        <w:rPr>
          <w:rFonts w:ascii="Times New Roman" w:hAnsi="Times New Roman" w:cs="Times New Roman"/>
          <w:sz w:val="24"/>
        </w:rPr>
      </w:pPr>
    </w:p>
    <w:p w14:paraId="7945F3DC" w14:textId="77777777" w:rsidR="00030159" w:rsidRDefault="00030159" w:rsidP="00030159">
      <w:pPr>
        <w:spacing w:line="480" w:lineRule="auto"/>
        <w:ind w:firstLineChars="200" w:firstLine="480"/>
        <w:rPr>
          <w:rFonts w:ascii="Times New Roman" w:hAnsi="Times New Roman" w:cs="Times New Roman"/>
          <w:sz w:val="24"/>
        </w:rPr>
      </w:pPr>
    </w:p>
    <w:p w14:paraId="766BE5DB" w14:textId="77777777" w:rsidR="00030159" w:rsidRDefault="00030159" w:rsidP="00030159">
      <w:pPr>
        <w:spacing w:line="480" w:lineRule="auto"/>
        <w:ind w:firstLineChars="200" w:firstLine="480"/>
        <w:rPr>
          <w:rFonts w:ascii="Times New Roman" w:hAnsi="Times New Roman" w:cs="Times New Roman"/>
          <w:sz w:val="24"/>
        </w:rPr>
      </w:pPr>
    </w:p>
    <w:p w14:paraId="435AFE82" w14:textId="77777777" w:rsidR="00030159" w:rsidRDefault="00030159" w:rsidP="00030159">
      <w:pPr>
        <w:spacing w:line="480" w:lineRule="auto"/>
        <w:ind w:firstLineChars="200" w:firstLine="480"/>
        <w:rPr>
          <w:rFonts w:ascii="Times New Roman" w:hAnsi="Times New Roman" w:cs="Times New Roman"/>
          <w:sz w:val="24"/>
        </w:rPr>
      </w:pPr>
    </w:p>
    <w:p w14:paraId="51F9A8A7" w14:textId="77777777" w:rsidR="00030159" w:rsidRDefault="00030159" w:rsidP="00030159">
      <w:pPr>
        <w:spacing w:line="480" w:lineRule="auto"/>
        <w:ind w:firstLineChars="200" w:firstLine="480"/>
        <w:rPr>
          <w:rFonts w:ascii="Times New Roman" w:hAnsi="Times New Roman" w:cs="Times New Roman"/>
          <w:sz w:val="24"/>
        </w:rPr>
      </w:pPr>
    </w:p>
    <w:p w14:paraId="1DAB2F57" w14:textId="77777777" w:rsidR="00030159" w:rsidRDefault="00030159" w:rsidP="00030159">
      <w:pPr>
        <w:spacing w:line="480" w:lineRule="auto"/>
        <w:ind w:firstLineChars="200" w:firstLine="480"/>
        <w:rPr>
          <w:rFonts w:ascii="Times New Roman" w:hAnsi="Times New Roman" w:cs="Times New Roman"/>
          <w:sz w:val="24"/>
        </w:rPr>
      </w:pPr>
    </w:p>
    <w:p w14:paraId="05B4AEBC" w14:textId="77777777" w:rsidR="00030159" w:rsidRDefault="00030159" w:rsidP="00030159">
      <w:pPr>
        <w:spacing w:line="480" w:lineRule="auto"/>
        <w:ind w:firstLineChars="200" w:firstLine="480"/>
        <w:rPr>
          <w:rFonts w:ascii="Times New Roman" w:hAnsi="Times New Roman" w:cs="Times New Roman"/>
          <w:sz w:val="24"/>
        </w:rPr>
      </w:pPr>
    </w:p>
    <w:p w14:paraId="39033A89" w14:textId="77777777" w:rsidR="00030159" w:rsidRDefault="00030159" w:rsidP="00030159">
      <w:pPr>
        <w:spacing w:line="480" w:lineRule="auto"/>
        <w:ind w:firstLineChars="200" w:firstLine="480"/>
        <w:rPr>
          <w:rFonts w:ascii="Times New Roman" w:hAnsi="Times New Roman" w:cs="Times New Roman"/>
          <w:sz w:val="24"/>
        </w:rPr>
      </w:pPr>
    </w:p>
    <w:p w14:paraId="571EACAB" w14:textId="45B52CA0" w:rsidR="00030159" w:rsidRDefault="00030159" w:rsidP="00030159">
      <w:pPr>
        <w:spacing w:line="480" w:lineRule="auto"/>
        <w:ind w:firstLineChars="200" w:firstLine="480"/>
        <w:jc w:val="center"/>
        <w:rPr>
          <w:rFonts w:ascii="Times New Roman" w:hAnsi="Times New Roman" w:cs="Times New Roman"/>
          <w:b/>
          <w:bCs/>
          <w:sz w:val="24"/>
        </w:rPr>
      </w:pPr>
      <w:r w:rsidRPr="00030159">
        <w:rPr>
          <w:rFonts w:ascii="Times New Roman" w:hAnsi="Times New Roman" w:cs="Times New Roman"/>
          <w:b/>
          <w:bCs/>
          <w:sz w:val="24"/>
        </w:rPr>
        <w:lastRenderedPageBreak/>
        <w:t>Reference</w:t>
      </w:r>
    </w:p>
    <w:p w14:paraId="2AE2AADD" w14:textId="0F71E169" w:rsidR="00030159" w:rsidRDefault="00030159" w:rsidP="00030159">
      <w:pPr>
        <w:spacing w:line="480" w:lineRule="auto"/>
        <w:ind w:left="480" w:hangingChars="200" w:hanging="480"/>
        <w:jc w:val="left"/>
        <w:rPr>
          <w:rFonts w:ascii="Times New Roman" w:hAnsi="Times New Roman" w:cs="Times New Roman"/>
          <w:sz w:val="24"/>
        </w:rPr>
      </w:pPr>
      <w:proofErr w:type="spellStart"/>
      <w:r w:rsidRPr="00030159">
        <w:rPr>
          <w:rFonts w:ascii="Times New Roman" w:hAnsi="Times New Roman" w:cs="Times New Roman"/>
          <w:sz w:val="24"/>
        </w:rPr>
        <w:t>Acquisti</w:t>
      </w:r>
      <w:proofErr w:type="spellEnd"/>
      <w:r w:rsidRPr="00030159">
        <w:rPr>
          <w:rFonts w:ascii="Times New Roman" w:hAnsi="Times New Roman" w:cs="Times New Roman"/>
          <w:sz w:val="24"/>
        </w:rPr>
        <w:t xml:space="preserve">, A., Taylor, C., &amp; Wagman, L. (2016). The economics of privacy. Journal of Economic Literature, 54(2), 442–492. </w:t>
      </w:r>
      <w:hyperlink r:id="rId4" w:history="1">
        <w:r w:rsidRPr="00C02281">
          <w:rPr>
            <w:rStyle w:val="ae"/>
            <w:rFonts w:ascii="Times New Roman" w:hAnsi="Times New Roman" w:cs="Times New Roman"/>
            <w:sz w:val="24"/>
          </w:rPr>
          <w:t>https://doi.org/10.1257/jel.54.2.442</w:t>
        </w:r>
      </w:hyperlink>
    </w:p>
    <w:p w14:paraId="145F3B24" w14:textId="377DEBFD"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 xml:space="preserve">ACM. (2018). ACM code of ethics and professional conduct. </w:t>
      </w:r>
      <w:hyperlink r:id="rId5" w:history="1">
        <w:r w:rsidRPr="00C02281">
          <w:rPr>
            <w:rStyle w:val="ae"/>
            <w:rFonts w:ascii="Times New Roman" w:hAnsi="Times New Roman" w:cs="Times New Roman"/>
            <w:sz w:val="24"/>
          </w:rPr>
          <w:t>https://www.acm.org/code-of-ethics</w:t>
        </w:r>
      </w:hyperlink>
    </w:p>
    <w:p w14:paraId="6F1CA33D" w14:textId="77777777"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Anderson, R. (2020). Security engineering: A guide to building dependable distributed systems. Wiley.</w:t>
      </w:r>
    </w:p>
    <w:p w14:paraId="1268487B" w14:textId="77777777"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Bailey, J. (2021). The failure of privacy self-regulation in Canada: The case for stronger federal privacy laws. Canadian Journal of Law and Technology, 19(2), 45–67.</w:t>
      </w:r>
    </w:p>
    <w:p w14:paraId="247D10A4" w14:textId="40DF913F"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 xml:space="preserve">Canadian Civil Liberties Association. (2023). Submission to the Standing Committee on Industry and Technology regarding Bill C-27. </w:t>
      </w:r>
      <w:hyperlink r:id="rId6" w:history="1">
        <w:r w:rsidRPr="00C02281">
          <w:rPr>
            <w:rStyle w:val="ae"/>
            <w:rFonts w:ascii="Times New Roman" w:hAnsi="Times New Roman" w:cs="Times New Roman"/>
            <w:sz w:val="24"/>
          </w:rPr>
          <w:t>https://ccla.org/</w:t>
        </w:r>
      </w:hyperlink>
    </w:p>
    <w:p w14:paraId="03CBF8D7" w14:textId="3AD57277"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 xml:space="preserve">Choi, H., Park, J., &amp; Jung, K. (2018). Privacy fatigue: The unintended consequence of digital surveillance. Computers in Human Behavior, 82, 421–432. </w:t>
      </w:r>
      <w:hyperlink r:id="rId7" w:history="1">
        <w:r w:rsidRPr="00C02281">
          <w:rPr>
            <w:rStyle w:val="ae"/>
            <w:rFonts w:ascii="Times New Roman" w:hAnsi="Times New Roman" w:cs="Times New Roman"/>
            <w:sz w:val="24"/>
          </w:rPr>
          <w:t>https://doi.org/10.1016/j.chb.2017.12.015</w:t>
        </w:r>
      </w:hyperlink>
    </w:p>
    <w:p w14:paraId="0E6674ED" w14:textId="4AAE54F3"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 xml:space="preserve">De Hert, P., &amp; Papakonstantinou, V. (2018). The General Data Protection Regulation: A commentary. Springer International Publishing. </w:t>
      </w:r>
      <w:hyperlink r:id="rId8" w:history="1">
        <w:r w:rsidRPr="00C02281">
          <w:rPr>
            <w:rStyle w:val="ae"/>
            <w:rFonts w:ascii="Times New Roman" w:hAnsi="Times New Roman" w:cs="Times New Roman"/>
            <w:sz w:val="24"/>
          </w:rPr>
          <w:t>https://doi.org/10.1007/978-3-319-99414-2</w:t>
        </w:r>
      </w:hyperlink>
    </w:p>
    <w:p w14:paraId="49BD0CD0" w14:textId="06FC9A1A"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 xml:space="preserve">European Parliament. (2018). General data protection regulation (GDPR). </w:t>
      </w:r>
      <w:hyperlink r:id="rId9" w:history="1">
        <w:r w:rsidRPr="00C02281">
          <w:rPr>
            <w:rStyle w:val="ae"/>
            <w:rFonts w:ascii="Times New Roman" w:hAnsi="Times New Roman" w:cs="Times New Roman"/>
            <w:sz w:val="24"/>
          </w:rPr>
          <w:t>https://eur-lex.europa.eu/</w:t>
        </w:r>
      </w:hyperlink>
    </w:p>
    <w:p w14:paraId="26501089" w14:textId="4CE287E2"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 xml:space="preserve">Federal Trade Commission (FTC). (2019). Facebook hit with $5 billion penalty for privacy violations. </w:t>
      </w:r>
      <w:hyperlink r:id="rId10" w:history="1">
        <w:r w:rsidRPr="00C02281">
          <w:rPr>
            <w:rStyle w:val="ae"/>
            <w:rFonts w:ascii="Times New Roman" w:hAnsi="Times New Roman" w:cs="Times New Roman"/>
            <w:sz w:val="24"/>
          </w:rPr>
          <w:t>https://www.ftc.gov/</w:t>
        </w:r>
      </w:hyperlink>
    </w:p>
    <w:p w14:paraId="28F157F1" w14:textId="4BF70288"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lastRenderedPageBreak/>
        <w:t xml:space="preserve">Gowling WLG. (2023). Consumer Privacy Protection Act: Canada’s Bill C-27 – Feedback from Industry Participants. </w:t>
      </w:r>
      <w:hyperlink r:id="rId11" w:history="1">
        <w:r w:rsidRPr="00C02281">
          <w:rPr>
            <w:rStyle w:val="ae"/>
            <w:rFonts w:ascii="Times New Roman" w:hAnsi="Times New Roman" w:cs="Times New Roman"/>
            <w:sz w:val="24"/>
          </w:rPr>
          <w:t>https://gowlingwlg.com/</w:t>
        </w:r>
      </w:hyperlink>
    </w:p>
    <w:p w14:paraId="5EBBACBA" w14:textId="3C5732F2"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 xml:space="preserve">Innovation, Science and Economic Development Canada. (2023). Consumer Privacy Protection Act. </w:t>
      </w:r>
      <w:hyperlink r:id="rId12" w:history="1">
        <w:r w:rsidRPr="00C02281">
          <w:rPr>
            <w:rStyle w:val="ae"/>
            <w:rFonts w:ascii="Times New Roman" w:hAnsi="Times New Roman" w:cs="Times New Roman"/>
            <w:sz w:val="24"/>
          </w:rPr>
          <w:t>https://www.ic.gc.ca/</w:t>
        </w:r>
      </w:hyperlink>
    </w:p>
    <w:p w14:paraId="71CB418E" w14:textId="652BED13" w:rsidR="00030159" w:rsidRDefault="00030159" w:rsidP="00030159">
      <w:pPr>
        <w:spacing w:line="480" w:lineRule="auto"/>
        <w:ind w:left="480" w:hangingChars="200" w:hanging="480"/>
        <w:jc w:val="left"/>
        <w:rPr>
          <w:rFonts w:ascii="Times New Roman" w:hAnsi="Times New Roman" w:cs="Times New Roman"/>
          <w:sz w:val="24"/>
        </w:rPr>
      </w:pPr>
      <w:proofErr w:type="spellStart"/>
      <w:r w:rsidRPr="00030159">
        <w:rPr>
          <w:rFonts w:ascii="Times New Roman" w:hAnsi="Times New Roman" w:cs="Times New Roman"/>
          <w:sz w:val="24"/>
        </w:rPr>
        <w:t>Kshetri</w:t>
      </w:r>
      <w:proofErr w:type="spellEnd"/>
      <w:r w:rsidRPr="00030159">
        <w:rPr>
          <w:rFonts w:ascii="Times New Roman" w:hAnsi="Times New Roman" w:cs="Times New Roman"/>
          <w:sz w:val="24"/>
        </w:rPr>
        <w:t xml:space="preserve">, N., &amp; </w:t>
      </w:r>
      <w:proofErr w:type="spellStart"/>
      <w:r w:rsidRPr="00030159">
        <w:rPr>
          <w:rFonts w:ascii="Times New Roman" w:hAnsi="Times New Roman" w:cs="Times New Roman"/>
          <w:sz w:val="24"/>
        </w:rPr>
        <w:t>Voas</w:t>
      </w:r>
      <w:proofErr w:type="spellEnd"/>
      <w:r w:rsidRPr="00030159">
        <w:rPr>
          <w:rFonts w:ascii="Times New Roman" w:hAnsi="Times New Roman" w:cs="Times New Roman"/>
          <w:sz w:val="24"/>
        </w:rPr>
        <w:t xml:space="preserve">, J. (2017). Data breaches: A bigger problem than you think. Computer Fraud &amp; Security, 2017(1), 11–17. </w:t>
      </w:r>
      <w:hyperlink r:id="rId13" w:history="1">
        <w:r w:rsidRPr="00C02281">
          <w:rPr>
            <w:rStyle w:val="ae"/>
            <w:rFonts w:ascii="Times New Roman" w:hAnsi="Times New Roman" w:cs="Times New Roman"/>
            <w:sz w:val="24"/>
          </w:rPr>
          <w:t>https://doi.org/10.1016/S1361-3723(17)30004-1</w:t>
        </w:r>
      </w:hyperlink>
    </w:p>
    <w:p w14:paraId="4D14F4C7" w14:textId="77777777"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 xml:space="preserve">Kuner, C., Bygrave, L. A., &amp; </w:t>
      </w:r>
      <w:proofErr w:type="spellStart"/>
      <w:r w:rsidRPr="00030159">
        <w:rPr>
          <w:rFonts w:ascii="Times New Roman" w:hAnsi="Times New Roman" w:cs="Times New Roman"/>
          <w:sz w:val="24"/>
        </w:rPr>
        <w:t>Docksey</w:t>
      </w:r>
      <w:proofErr w:type="spellEnd"/>
      <w:r w:rsidRPr="00030159">
        <w:rPr>
          <w:rFonts w:ascii="Times New Roman" w:hAnsi="Times New Roman" w:cs="Times New Roman"/>
          <w:sz w:val="24"/>
        </w:rPr>
        <w:t>, C. (2020). The European Union General Data Protection Regulation: A commentary. Oxford University Press.</w:t>
      </w:r>
    </w:p>
    <w:p w14:paraId="2CD9C13F" w14:textId="54854D16"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 xml:space="preserve">Laufer, W. S. (2020). Privacy and data protection: The global challenge. Journal of International Business Studies, 51(5), 905–924. </w:t>
      </w:r>
      <w:hyperlink r:id="rId14" w:history="1">
        <w:r w:rsidRPr="00C02281">
          <w:rPr>
            <w:rStyle w:val="ae"/>
            <w:rFonts w:ascii="Times New Roman" w:hAnsi="Times New Roman" w:cs="Times New Roman"/>
            <w:sz w:val="24"/>
          </w:rPr>
          <w:t>https://doi.org/10.1057/s41267-019-00252-2</w:t>
        </w:r>
      </w:hyperlink>
    </w:p>
    <w:p w14:paraId="5EE37428" w14:textId="60D83FA5"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 xml:space="preserve">Madden, M., Lenhart, A., &amp; Cortesi, S. (2017). Privacy and information sharing: How teens and parents navigate online privacy concerns. Pew Research Center. </w:t>
      </w:r>
      <w:hyperlink r:id="rId15" w:history="1">
        <w:r w:rsidRPr="00C02281">
          <w:rPr>
            <w:rStyle w:val="ae"/>
            <w:rFonts w:ascii="Times New Roman" w:hAnsi="Times New Roman" w:cs="Times New Roman"/>
            <w:sz w:val="24"/>
          </w:rPr>
          <w:t>https://www.pewresearch.org/</w:t>
        </w:r>
      </w:hyperlink>
    </w:p>
    <w:p w14:paraId="592B9FCE" w14:textId="620F3E55"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 xml:space="preserve">Müller, M., &amp; Klemperer, J. (2021). Data protection and privacy: A comparative approach. International Review of Law and Economics, 63, 1–17. </w:t>
      </w:r>
      <w:hyperlink r:id="rId16" w:history="1">
        <w:r w:rsidRPr="00C02281">
          <w:rPr>
            <w:rStyle w:val="ae"/>
            <w:rFonts w:ascii="Times New Roman" w:hAnsi="Times New Roman" w:cs="Times New Roman"/>
            <w:sz w:val="24"/>
          </w:rPr>
          <w:t>https://doi.org/10.1016/j.irle.2021.105943</w:t>
        </w:r>
      </w:hyperlink>
    </w:p>
    <w:p w14:paraId="79EB9378" w14:textId="246E957C"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 xml:space="preserve">Reuters. (2017, February 21). Yahoo to cut $350 million off Verizon deal due to data breach. Reuters. </w:t>
      </w:r>
      <w:hyperlink r:id="rId17" w:history="1">
        <w:r w:rsidRPr="00C02281">
          <w:rPr>
            <w:rStyle w:val="ae"/>
            <w:rFonts w:ascii="Times New Roman" w:hAnsi="Times New Roman" w:cs="Times New Roman"/>
            <w:sz w:val="24"/>
          </w:rPr>
          <w:t>https://www.reuters.com/</w:t>
        </w:r>
      </w:hyperlink>
    </w:p>
    <w:p w14:paraId="44D25C20" w14:textId="77777777"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Schneier, B. (2019). Click here to kill everybody: Security and survival in a hyper-connected world. Norton &amp; Company.</w:t>
      </w:r>
    </w:p>
    <w:p w14:paraId="25A3AB1B" w14:textId="77777777"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lastRenderedPageBreak/>
        <w:t>Schwartz, P. M., &amp; Peifer, D. J. (2017). The EU-U.S. Privacy Shield: Analysis and implications. Harvard Journal of Law &amp; Technology, 30(1), 177–231.</w:t>
      </w:r>
    </w:p>
    <w:p w14:paraId="1BC76425" w14:textId="77777777" w:rsidR="00030159" w:rsidRDefault="00030159" w:rsidP="00030159">
      <w:pPr>
        <w:spacing w:line="480" w:lineRule="auto"/>
        <w:ind w:left="480" w:hangingChars="200" w:hanging="480"/>
        <w:jc w:val="left"/>
        <w:rPr>
          <w:rFonts w:ascii="Times New Roman" w:hAnsi="Times New Roman" w:cs="Times New Roman"/>
          <w:sz w:val="24"/>
        </w:rPr>
      </w:pPr>
      <w:proofErr w:type="spellStart"/>
      <w:r w:rsidRPr="00030159">
        <w:rPr>
          <w:rFonts w:ascii="Times New Roman" w:hAnsi="Times New Roman" w:cs="Times New Roman"/>
          <w:sz w:val="24"/>
        </w:rPr>
        <w:t>Scassa</w:t>
      </w:r>
      <w:proofErr w:type="spellEnd"/>
      <w:r w:rsidRPr="00030159">
        <w:rPr>
          <w:rFonts w:ascii="Times New Roman" w:hAnsi="Times New Roman" w:cs="Times New Roman"/>
          <w:sz w:val="24"/>
        </w:rPr>
        <w:t>, T. (2021). Regulating privacy in the age of artificial intelligence: A Canadian perspective. McGill Law Journal, 66(4), 887–924.</w:t>
      </w:r>
    </w:p>
    <w:p w14:paraId="4874080A" w14:textId="77777777"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Shen, Y. (2022). The impact of China’s Personal Information Protection Law (PIPL) on global data governance. Journal of Cybersecurity Policy, 5(2), 201–215.</w:t>
      </w:r>
    </w:p>
    <w:p w14:paraId="494DFD0A" w14:textId="77777777"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Solove, D. J. (2020). Privacy and power: A theory of information privacy. Harvard University Press.</w:t>
      </w:r>
    </w:p>
    <w:p w14:paraId="0BF0AD9F" w14:textId="3FACF991" w:rsid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 xml:space="preserve">Taneja, H., Goel, S., &amp; Brody, A. (2021). Digital privacy awareness among young adults post-Cambridge Analytica: A longitudinal study. Cyberpsychology, Behavior, and Social Networking, 24(6), 315–329. </w:t>
      </w:r>
      <w:hyperlink r:id="rId18" w:history="1">
        <w:r w:rsidRPr="00C02281">
          <w:rPr>
            <w:rStyle w:val="ae"/>
            <w:rFonts w:ascii="Times New Roman" w:hAnsi="Times New Roman" w:cs="Times New Roman"/>
            <w:sz w:val="24"/>
          </w:rPr>
          <w:t>https://doi.org/10.1089/cyber.2020.0634</w:t>
        </w:r>
      </w:hyperlink>
    </w:p>
    <w:p w14:paraId="2AAE2B15" w14:textId="0744126F" w:rsidR="00030159" w:rsidRDefault="00030159" w:rsidP="00030159">
      <w:pPr>
        <w:spacing w:line="480" w:lineRule="auto"/>
        <w:ind w:left="480" w:hangingChars="200" w:hanging="480"/>
        <w:jc w:val="left"/>
        <w:rPr>
          <w:rFonts w:ascii="Times New Roman" w:hAnsi="Times New Roman" w:cs="Times New Roman"/>
          <w:sz w:val="24"/>
        </w:rPr>
      </w:pPr>
      <w:proofErr w:type="spellStart"/>
      <w:r w:rsidRPr="00030159">
        <w:rPr>
          <w:rFonts w:ascii="Times New Roman" w:hAnsi="Times New Roman" w:cs="Times New Roman"/>
          <w:sz w:val="24"/>
        </w:rPr>
        <w:t>Tirole</w:t>
      </w:r>
      <w:proofErr w:type="spellEnd"/>
      <w:r w:rsidRPr="00030159">
        <w:rPr>
          <w:rFonts w:ascii="Times New Roman" w:hAnsi="Times New Roman" w:cs="Times New Roman"/>
          <w:sz w:val="24"/>
        </w:rPr>
        <w:t xml:space="preserve">, J. (2019). Digital privacy and economic trade-offs. American Economic Review, 109(6), 2045–2071. </w:t>
      </w:r>
      <w:hyperlink r:id="rId19" w:history="1">
        <w:r w:rsidRPr="00C02281">
          <w:rPr>
            <w:rStyle w:val="ae"/>
            <w:rFonts w:ascii="Times New Roman" w:hAnsi="Times New Roman" w:cs="Times New Roman"/>
            <w:sz w:val="24"/>
          </w:rPr>
          <w:t>https://doi.org/10.1257/aer.109.6.2045</w:t>
        </w:r>
      </w:hyperlink>
    </w:p>
    <w:p w14:paraId="0E33B1F1" w14:textId="04AE3830" w:rsidR="00030159" w:rsidRPr="00030159" w:rsidRDefault="00030159" w:rsidP="00030159">
      <w:pPr>
        <w:spacing w:line="480" w:lineRule="auto"/>
        <w:ind w:left="480" w:hangingChars="200" w:hanging="480"/>
        <w:jc w:val="left"/>
        <w:rPr>
          <w:rFonts w:ascii="Times New Roman" w:hAnsi="Times New Roman" w:cs="Times New Roman"/>
          <w:sz w:val="24"/>
        </w:rPr>
      </w:pPr>
      <w:r w:rsidRPr="00030159">
        <w:rPr>
          <w:rFonts w:ascii="Times New Roman" w:hAnsi="Times New Roman" w:cs="Times New Roman"/>
          <w:sz w:val="24"/>
        </w:rPr>
        <w:t>Zuboff, S. (2019). The age of surveillance capitalism: The fight for a human future at the new frontier of power. PublicAffairs.</w:t>
      </w:r>
    </w:p>
    <w:sectPr w:rsidR="00030159" w:rsidRPr="000301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159"/>
    <w:rsid w:val="00002079"/>
    <w:rsid w:val="00030159"/>
    <w:rsid w:val="00103F4E"/>
    <w:rsid w:val="006C296B"/>
    <w:rsid w:val="00B33E55"/>
    <w:rsid w:val="00BC41C2"/>
    <w:rsid w:val="00D809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402AE82"/>
  <w15:chartTrackingRefBased/>
  <w15:docId w15:val="{0196F3DA-A355-B94A-9C31-F238EED70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01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301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301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301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301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3015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3015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015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3015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01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301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301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30159"/>
    <w:rPr>
      <w:rFonts w:cstheme="majorBidi"/>
      <w:color w:val="0F4761" w:themeColor="accent1" w:themeShade="BF"/>
      <w:sz w:val="28"/>
      <w:szCs w:val="28"/>
    </w:rPr>
  </w:style>
  <w:style w:type="character" w:customStyle="1" w:styleId="50">
    <w:name w:val="标题 5 字符"/>
    <w:basedOn w:val="a0"/>
    <w:link w:val="5"/>
    <w:uiPriority w:val="9"/>
    <w:semiHidden/>
    <w:rsid w:val="00030159"/>
    <w:rPr>
      <w:rFonts w:cstheme="majorBidi"/>
      <w:color w:val="0F4761" w:themeColor="accent1" w:themeShade="BF"/>
      <w:sz w:val="24"/>
    </w:rPr>
  </w:style>
  <w:style w:type="character" w:customStyle="1" w:styleId="60">
    <w:name w:val="标题 6 字符"/>
    <w:basedOn w:val="a0"/>
    <w:link w:val="6"/>
    <w:uiPriority w:val="9"/>
    <w:semiHidden/>
    <w:rsid w:val="00030159"/>
    <w:rPr>
      <w:rFonts w:cstheme="majorBidi"/>
      <w:b/>
      <w:bCs/>
      <w:color w:val="0F4761" w:themeColor="accent1" w:themeShade="BF"/>
    </w:rPr>
  </w:style>
  <w:style w:type="character" w:customStyle="1" w:styleId="70">
    <w:name w:val="标题 7 字符"/>
    <w:basedOn w:val="a0"/>
    <w:link w:val="7"/>
    <w:uiPriority w:val="9"/>
    <w:semiHidden/>
    <w:rsid w:val="00030159"/>
    <w:rPr>
      <w:rFonts w:cstheme="majorBidi"/>
      <w:b/>
      <w:bCs/>
      <w:color w:val="595959" w:themeColor="text1" w:themeTint="A6"/>
    </w:rPr>
  </w:style>
  <w:style w:type="character" w:customStyle="1" w:styleId="80">
    <w:name w:val="标题 8 字符"/>
    <w:basedOn w:val="a0"/>
    <w:link w:val="8"/>
    <w:uiPriority w:val="9"/>
    <w:semiHidden/>
    <w:rsid w:val="00030159"/>
    <w:rPr>
      <w:rFonts w:cstheme="majorBidi"/>
      <w:color w:val="595959" w:themeColor="text1" w:themeTint="A6"/>
    </w:rPr>
  </w:style>
  <w:style w:type="character" w:customStyle="1" w:styleId="90">
    <w:name w:val="标题 9 字符"/>
    <w:basedOn w:val="a0"/>
    <w:link w:val="9"/>
    <w:uiPriority w:val="9"/>
    <w:semiHidden/>
    <w:rsid w:val="00030159"/>
    <w:rPr>
      <w:rFonts w:eastAsiaTheme="majorEastAsia" w:cstheme="majorBidi"/>
      <w:color w:val="595959" w:themeColor="text1" w:themeTint="A6"/>
    </w:rPr>
  </w:style>
  <w:style w:type="paragraph" w:styleId="a3">
    <w:name w:val="Title"/>
    <w:basedOn w:val="a"/>
    <w:next w:val="a"/>
    <w:link w:val="a4"/>
    <w:uiPriority w:val="10"/>
    <w:qFormat/>
    <w:rsid w:val="0003015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01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015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01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0159"/>
    <w:pPr>
      <w:spacing w:before="160" w:after="160"/>
      <w:jc w:val="center"/>
    </w:pPr>
    <w:rPr>
      <w:i/>
      <w:iCs/>
      <w:color w:val="404040" w:themeColor="text1" w:themeTint="BF"/>
    </w:rPr>
  </w:style>
  <w:style w:type="character" w:customStyle="1" w:styleId="a8">
    <w:name w:val="引用 字符"/>
    <w:basedOn w:val="a0"/>
    <w:link w:val="a7"/>
    <w:uiPriority w:val="29"/>
    <w:rsid w:val="00030159"/>
    <w:rPr>
      <w:i/>
      <w:iCs/>
      <w:color w:val="404040" w:themeColor="text1" w:themeTint="BF"/>
    </w:rPr>
  </w:style>
  <w:style w:type="paragraph" w:styleId="a9">
    <w:name w:val="List Paragraph"/>
    <w:basedOn w:val="a"/>
    <w:uiPriority w:val="34"/>
    <w:qFormat/>
    <w:rsid w:val="00030159"/>
    <w:pPr>
      <w:ind w:left="720"/>
      <w:contextualSpacing/>
    </w:pPr>
  </w:style>
  <w:style w:type="character" w:styleId="aa">
    <w:name w:val="Intense Emphasis"/>
    <w:basedOn w:val="a0"/>
    <w:uiPriority w:val="21"/>
    <w:qFormat/>
    <w:rsid w:val="00030159"/>
    <w:rPr>
      <w:i/>
      <w:iCs/>
      <w:color w:val="0F4761" w:themeColor="accent1" w:themeShade="BF"/>
    </w:rPr>
  </w:style>
  <w:style w:type="paragraph" w:styleId="ab">
    <w:name w:val="Intense Quote"/>
    <w:basedOn w:val="a"/>
    <w:next w:val="a"/>
    <w:link w:val="ac"/>
    <w:uiPriority w:val="30"/>
    <w:qFormat/>
    <w:rsid w:val="0003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30159"/>
    <w:rPr>
      <w:i/>
      <w:iCs/>
      <w:color w:val="0F4761" w:themeColor="accent1" w:themeShade="BF"/>
    </w:rPr>
  </w:style>
  <w:style w:type="character" w:styleId="ad">
    <w:name w:val="Intense Reference"/>
    <w:basedOn w:val="a0"/>
    <w:uiPriority w:val="32"/>
    <w:qFormat/>
    <w:rsid w:val="00030159"/>
    <w:rPr>
      <w:b/>
      <w:bCs/>
      <w:smallCaps/>
      <w:color w:val="0F4761" w:themeColor="accent1" w:themeShade="BF"/>
      <w:spacing w:val="5"/>
    </w:rPr>
  </w:style>
  <w:style w:type="character" w:styleId="ae">
    <w:name w:val="Hyperlink"/>
    <w:basedOn w:val="a0"/>
    <w:uiPriority w:val="99"/>
    <w:unhideWhenUsed/>
    <w:rsid w:val="00030159"/>
    <w:rPr>
      <w:color w:val="467886" w:themeColor="hyperlink"/>
      <w:u w:val="single"/>
    </w:rPr>
  </w:style>
  <w:style w:type="character" w:styleId="af">
    <w:name w:val="Unresolved Mention"/>
    <w:basedOn w:val="a0"/>
    <w:uiPriority w:val="99"/>
    <w:semiHidden/>
    <w:unhideWhenUsed/>
    <w:rsid w:val="000301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319-99414-2" TargetMode="External"/><Relationship Id="rId13" Type="http://schemas.openxmlformats.org/officeDocument/2006/relationships/hyperlink" Target="https://doi.org/10.1016/S1361-3723(17)30004-1" TargetMode="External"/><Relationship Id="rId18" Type="http://schemas.openxmlformats.org/officeDocument/2006/relationships/hyperlink" Target="https://doi.org/10.1089/cyber.2020.0634"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1016/j.chb.2017.12.015" TargetMode="External"/><Relationship Id="rId12" Type="http://schemas.openxmlformats.org/officeDocument/2006/relationships/hyperlink" Target="https://www.ic.gc.ca/" TargetMode="External"/><Relationship Id="rId17" Type="http://schemas.openxmlformats.org/officeDocument/2006/relationships/hyperlink" Target="https://www.reuters.com/" TargetMode="External"/><Relationship Id="rId2" Type="http://schemas.openxmlformats.org/officeDocument/2006/relationships/settings" Target="settings.xml"/><Relationship Id="rId16" Type="http://schemas.openxmlformats.org/officeDocument/2006/relationships/hyperlink" Target="https://doi.org/10.1016/j.irle.2021.105943"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ccla.org/" TargetMode="External"/><Relationship Id="rId11" Type="http://schemas.openxmlformats.org/officeDocument/2006/relationships/hyperlink" Target="https://gowlingwlg.com/" TargetMode="External"/><Relationship Id="rId5" Type="http://schemas.openxmlformats.org/officeDocument/2006/relationships/hyperlink" Target="https://www.acm.org/code-of-ethics" TargetMode="External"/><Relationship Id="rId15" Type="http://schemas.openxmlformats.org/officeDocument/2006/relationships/hyperlink" Target="https://www.pewresearch.org/" TargetMode="External"/><Relationship Id="rId10" Type="http://schemas.openxmlformats.org/officeDocument/2006/relationships/hyperlink" Target="https://www.ftc.gov/" TargetMode="External"/><Relationship Id="rId19" Type="http://schemas.openxmlformats.org/officeDocument/2006/relationships/hyperlink" Target="https://doi.org/10.1257/aer.109.6.2045" TargetMode="External"/><Relationship Id="rId4" Type="http://schemas.openxmlformats.org/officeDocument/2006/relationships/hyperlink" Target="https://doi.org/10.1257/jel.54.2.442" TargetMode="External"/><Relationship Id="rId9" Type="http://schemas.openxmlformats.org/officeDocument/2006/relationships/hyperlink" Target="https://eur-lex.europa.eu/" TargetMode="External"/><Relationship Id="rId14" Type="http://schemas.openxmlformats.org/officeDocument/2006/relationships/hyperlink" Target="https://doi.org/10.1057/s41267-019-00252-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1939</Words>
  <Characters>11058</Characters>
  <Application>Microsoft Office Word</Application>
  <DocSecurity>0</DocSecurity>
  <Lines>92</Lines>
  <Paragraphs>25</Paragraphs>
  <ScaleCrop>false</ScaleCrop>
  <Company/>
  <LinksUpToDate>false</LinksUpToDate>
  <CharactersWithSpaces>12972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Changze Wu</dc:creator>
  <cp:keywords/>
  <dc:description/>
  <cp:lastModifiedBy>Changze Wu</cp:lastModifiedBy>
  <cp:revision>1</cp:revision>
  <cp:lastPrinted>2025-04-04T19:50:00Z</cp:lastPrinted>
  <dcterms:created xsi:type="dcterms:W3CDTF">2025-04-04T19:34:00Z</dcterms:created>
  <dcterms:modified xsi:type="dcterms:W3CDTF">2025-04-04T19:50:00Z</dcterms:modified>
</cp:coreProperties>
</file>