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7DE5" w14:textId="47518803" w:rsidR="00B33E55" w:rsidRPr="001143FA" w:rsidRDefault="007978CC" w:rsidP="001143FA">
      <w:pPr>
        <w:spacing w:line="480" w:lineRule="auto"/>
        <w:ind w:firstLineChars="200" w:firstLine="640"/>
        <w:jc w:val="center"/>
        <w:rPr>
          <w:rFonts w:ascii="Times New Roman" w:hAnsi="Times New Roman" w:cs="Times New Roman"/>
          <w:b/>
          <w:bCs/>
          <w:sz w:val="32"/>
          <w:szCs w:val="32"/>
        </w:rPr>
      </w:pPr>
      <w:r w:rsidRPr="001143FA">
        <w:rPr>
          <w:rFonts w:ascii="Times New Roman" w:hAnsi="Times New Roman" w:cs="Times New Roman"/>
          <w:b/>
          <w:bCs/>
          <w:sz w:val="32"/>
          <w:szCs w:val="32"/>
        </w:rPr>
        <w:t>A4</w:t>
      </w:r>
    </w:p>
    <w:p w14:paraId="192B2DE9" w14:textId="288CA0B7" w:rsidR="001143FA" w:rsidRPr="001143FA" w:rsidRDefault="001143FA" w:rsidP="001143FA">
      <w:pPr>
        <w:spacing w:line="480" w:lineRule="auto"/>
        <w:rPr>
          <w:rFonts w:ascii="Times New Roman" w:hAnsi="Times New Roman" w:cs="Times New Roman"/>
          <w:b/>
          <w:bCs/>
          <w:sz w:val="32"/>
          <w:szCs w:val="32"/>
        </w:rPr>
      </w:pPr>
      <w:r w:rsidRPr="001143FA">
        <w:rPr>
          <w:rFonts w:ascii="Times New Roman" w:hAnsi="Times New Roman" w:cs="Times New Roman"/>
          <w:b/>
          <w:bCs/>
          <w:sz w:val="32"/>
          <w:szCs w:val="32"/>
        </w:rPr>
        <w:t>Student information</w:t>
      </w:r>
    </w:p>
    <w:p w14:paraId="7A43B97E" w14:textId="7EE75890" w:rsidR="001143FA" w:rsidRPr="001143FA" w:rsidRDefault="001143FA" w:rsidP="001143FA">
      <w:pPr>
        <w:spacing w:line="480" w:lineRule="auto"/>
        <w:ind w:firstLineChars="200" w:firstLine="480"/>
        <w:rPr>
          <w:rFonts w:ascii="Times New Roman" w:hAnsi="Times New Roman" w:cs="Times New Roman"/>
          <w:sz w:val="24"/>
        </w:rPr>
      </w:pPr>
      <w:proofErr w:type="spellStart"/>
      <w:r w:rsidRPr="001143FA">
        <w:rPr>
          <w:rFonts w:ascii="Times New Roman" w:hAnsi="Times New Roman" w:cs="Times New Roman"/>
          <w:sz w:val="24"/>
        </w:rPr>
        <w:t>Changze</w:t>
      </w:r>
      <w:proofErr w:type="spellEnd"/>
      <w:r w:rsidRPr="001143FA">
        <w:rPr>
          <w:rFonts w:ascii="Times New Roman" w:hAnsi="Times New Roman" w:cs="Times New Roman"/>
          <w:sz w:val="24"/>
        </w:rPr>
        <w:t xml:space="preserve"> Wu</w:t>
      </w:r>
    </w:p>
    <w:p w14:paraId="2E89C99E" w14:textId="5DC7497F"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1008837840</w:t>
      </w:r>
    </w:p>
    <w:p w14:paraId="134842A6" w14:textId="70A28324" w:rsidR="007978CC" w:rsidRPr="001143FA" w:rsidRDefault="007978CC" w:rsidP="001143FA">
      <w:pPr>
        <w:spacing w:line="480" w:lineRule="auto"/>
        <w:rPr>
          <w:rFonts w:ascii="Times New Roman" w:hAnsi="Times New Roman" w:cs="Times New Roman"/>
          <w:b/>
          <w:bCs/>
          <w:sz w:val="32"/>
          <w:szCs w:val="32"/>
        </w:rPr>
      </w:pPr>
      <w:r w:rsidRPr="001143FA">
        <w:rPr>
          <w:rFonts w:ascii="Times New Roman" w:hAnsi="Times New Roman" w:cs="Times New Roman"/>
          <w:b/>
          <w:bCs/>
          <w:sz w:val="32"/>
          <w:szCs w:val="32"/>
        </w:rPr>
        <w:t>Information Presentation Response</w:t>
      </w:r>
    </w:p>
    <w:p w14:paraId="24333249" w14:textId="25543B39" w:rsidR="00C43ACE" w:rsidRPr="001143FA" w:rsidRDefault="007978CC"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The presentation Fake News Solutions effectively addresses the given prompt by covering key strategies such as platform policies, AI-driven detection, and fact-checking partnerships. It accurately fulfills the information need by presenting well-supported solutions, though a deeper discussion of enforcement challenges could enhance it. Overall, it aligns with the prompt’s requirements</w:t>
      </w:r>
    </w:p>
    <w:p w14:paraId="7EFAEEE6" w14:textId="3C7C34C2" w:rsidR="007978CC" w:rsidRPr="001143FA" w:rsidRDefault="007978CC" w:rsidP="001143FA">
      <w:pPr>
        <w:spacing w:line="480" w:lineRule="auto"/>
        <w:rPr>
          <w:rFonts w:ascii="Times New Roman" w:hAnsi="Times New Roman" w:cs="Times New Roman"/>
          <w:b/>
          <w:bCs/>
          <w:sz w:val="32"/>
          <w:szCs w:val="32"/>
        </w:rPr>
      </w:pPr>
      <w:r w:rsidRPr="001143FA">
        <w:rPr>
          <w:rFonts w:ascii="Times New Roman" w:hAnsi="Times New Roman" w:cs="Times New Roman"/>
          <w:b/>
          <w:bCs/>
          <w:sz w:val="32"/>
          <w:szCs w:val="32"/>
        </w:rPr>
        <w:t>Cultural Issues in Computer Science Education</w:t>
      </w:r>
    </w:p>
    <w:p w14:paraId="4231C61A" w14:textId="5ADD4604" w:rsidR="001143FA" w:rsidRPr="001143FA" w:rsidRDefault="001143FA" w:rsidP="001143FA">
      <w:pPr>
        <w:spacing w:line="480" w:lineRule="auto"/>
        <w:rPr>
          <w:rFonts w:ascii="Times New Roman" w:hAnsi="Times New Roman" w:cs="Times New Roman"/>
          <w:b/>
          <w:bCs/>
          <w:sz w:val="28"/>
          <w:szCs w:val="28"/>
        </w:rPr>
      </w:pPr>
      <w:r w:rsidRPr="001143FA">
        <w:rPr>
          <w:rFonts w:ascii="Times New Roman" w:hAnsi="Times New Roman" w:cs="Times New Roman"/>
          <w:b/>
          <w:bCs/>
          <w:sz w:val="28"/>
          <w:szCs w:val="28"/>
        </w:rPr>
        <w:t>Introduction</w:t>
      </w:r>
    </w:p>
    <w:p w14:paraId="06604D58" w14:textId="4777D6D1"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Nicki Washington’s article, When Twice as Good Isn’t Enough: The Case for Cultural Competence in Computing, highlights an important gap in computer science education. She argues that computing departments should integrate cultural awareness into their curricula. This would help address bias, increase diversity, and create a more inclusive industry (Washington, 2020).</w:t>
      </w:r>
    </w:p>
    <w:p w14:paraId="0AE7E4F5" w14:textId="673A8A8F"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Research supports Washington’s idea. Studies show that diversity in computing improves workplace dynamics. It also enhances problem-solving and innovation (Williams et al., 2022). As the tech industry becomes more global, students must develop cultural competence. This skill helps them navigate diverse professional environments.</w:t>
      </w:r>
    </w:p>
    <w:p w14:paraId="5BE152A4" w14:textId="78EFCBB6" w:rsidR="001143FA" w:rsidRPr="001143FA" w:rsidRDefault="001143FA" w:rsidP="001143FA">
      <w:pPr>
        <w:spacing w:line="480" w:lineRule="auto"/>
        <w:rPr>
          <w:rFonts w:ascii="Times New Roman" w:hAnsi="Times New Roman" w:cs="Times New Roman"/>
          <w:b/>
          <w:bCs/>
          <w:sz w:val="28"/>
          <w:szCs w:val="28"/>
        </w:rPr>
      </w:pPr>
      <w:r w:rsidRPr="001143FA">
        <w:rPr>
          <w:rFonts w:ascii="Times New Roman" w:hAnsi="Times New Roman" w:cs="Times New Roman"/>
          <w:b/>
          <w:bCs/>
          <w:sz w:val="28"/>
          <w:szCs w:val="28"/>
        </w:rPr>
        <w:t>Personal Experience and UTSC’s Approach</w:t>
      </w:r>
    </w:p>
    <w:p w14:paraId="334B6E4D" w14:textId="4BE27D92"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lastRenderedPageBreak/>
        <w:t>At UTSC, diversity is a core value. The student body reflects a wide range of backgrounds. However, the computer science curriculum still focuses mostly on technical skills. It lacks emphasis on cultural awareness. In my own experience, this gap became apparent during group projects. Working with peers from different cultures was challenging. Miscommunication sometimes affected collaboration. If cultural competence training were part of the curriculum, it would help students understand diverse perspectives better. It would also make group work more effective.</w:t>
      </w:r>
    </w:p>
    <w:p w14:paraId="7719BD78" w14:textId="7F770F81"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The lack of cultural awareness can contribute to bias in technology. For example, algorithmic discrimination in AI systems often occurs. Facial recognition software has been shown to misidentify people from underrepresented groups. This problem arises from biased training data (Mehrabi et al., 2021). If UTSC integrated cultural competence into its courses, students could learn to spot these biases. They would also know how to develop fairer solutions.</w:t>
      </w:r>
    </w:p>
    <w:p w14:paraId="16F3E645" w14:textId="159AC346"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To adopt Washington’s recommendations, UTSC could start by introducing cultural competence modules. These could be part of existing computer science courses. Topics could include bias in algorithms and the impact of diversity on innovation. In addition, workshops on cultural competence could be made available. These would focus on real-world applications, like ethical AI development.</w:t>
      </w:r>
    </w:p>
    <w:p w14:paraId="63A4B882" w14:textId="6D420E32"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Moreover, UTSC should involve students in this process. Gathering student feedback could guide how cultural competence is taught. This would ensure that the curriculum meets the needs of a diverse student body.</w:t>
      </w:r>
    </w:p>
    <w:p w14:paraId="0D9B72BE" w14:textId="1A279618"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 xml:space="preserve">Leading tech companies recognize the value of diversity. Many have introduced training programs to improve inclusion (Smith et al., 2021). They know that diverse teams build more </w:t>
      </w:r>
      <w:r w:rsidRPr="001143FA">
        <w:rPr>
          <w:rFonts w:ascii="Times New Roman" w:hAnsi="Times New Roman" w:cs="Times New Roman"/>
          <w:sz w:val="24"/>
        </w:rPr>
        <w:lastRenderedPageBreak/>
        <w:t>robust and ethical products. Cultural competence not only improves collaboration but also supports responsible innovation (Patel et al., 2018). If UTSC implements these ideas, students will be better prepared for diverse workplaces. They will not only excel technically but also think critically about social impacts.</w:t>
      </w:r>
    </w:p>
    <w:p w14:paraId="072F6A80" w14:textId="7BB5C8D8" w:rsidR="001143FA"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Washington’s argument is strong, but it could be more specific. She highlights the problem well but lacks concrete solutions. A CRAAP analysis shows that her article is current and relevant. However, the lack of actionable steps weakens its practical impact. Including case studies or examples of successful implementations would strengthen her position.</w:t>
      </w:r>
    </w:p>
    <w:p w14:paraId="37DCE549" w14:textId="027385E5" w:rsidR="001143FA" w:rsidRPr="001143FA" w:rsidRDefault="001143FA" w:rsidP="001143FA">
      <w:pPr>
        <w:spacing w:line="480" w:lineRule="auto"/>
        <w:rPr>
          <w:rFonts w:ascii="Times New Roman" w:hAnsi="Times New Roman" w:cs="Times New Roman"/>
          <w:b/>
          <w:bCs/>
          <w:sz w:val="28"/>
          <w:szCs w:val="28"/>
        </w:rPr>
      </w:pPr>
      <w:r w:rsidRPr="001143FA">
        <w:rPr>
          <w:rFonts w:ascii="Times New Roman" w:hAnsi="Times New Roman" w:cs="Times New Roman"/>
          <w:b/>
          <w:bCs/>
          <w:sz w:val="28"/>
          <w:szCs w:val="28"/>
        </w:rPr>
        <w:t>Conclusion</w:t>
      </w:r>
    </w:p>
    <w:p w14:paraId="452C88FC" w14:textId="41156866" w:rsidR="00C43ACE" w:rsidRPr="001143FA" w:rsidRDefault="001143FA"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 xml:space="preserve">Washington makes a compelling case for cultural competence in computing education. UTSC should adopt these ideas to better prepare students. Integrating cultural awareness into the curriculum would equip future engineers to design fairer technologies. It would also foster a more inclusive and socially responsible tech </w:t>
      </w:r>
      <w:proofErr w:type="gramStart"/>
      <w:r w:rsidRPr="001143FA">
        <w:rPr>
          <w:rFonts w:ascii="Times New Roman" w:hAnsi="Times New Roman" w:cs="Times New Roman"/>
          <w:sz w:val="24"/>
        </w:rPr>
        <w:t>community.</w:t>
      </w:r>
      <w:r w:rsidR="004A0DD7" w:rsidRPr="001143FA">
        <w:rPr>
          <w:rFonts w:ascii="Times New Roman" w:hAnsi="Times New Roman" w:cs="Times New Roman"/>
          <w:sz w:val="24"/>
        </w:rPr>
        <w:t>.</w:t>
      </w:r>
      <w:proofErr w:type="gramEnd"/>
    </w:p>
    <w:p w14:paraId="2479471C" w14:textId="20A0D108" w:rsidR="00C43ACE" w:rsidRPr="001143FA" w:rsidRDefault="00C43ACE" w:rsidP="001143FA">
      <w:pPr>
        <w:spacing w:line="480" w:lineRule="auto"/>
        <w:rPr>
          <w:rFonts w:ascii="Times New Roman" w:hAnsi="Times New Roman" w:cs="Times New Roman"/>
          <w:b/>
          <w:bCs/>
          <w:sz w:val="28"/>
          <w:szCs w:val="28"/>
        </w:rPr>
      </w:pPr>
      <w:r w:rsidRPr="001143FA">
        <w:rPr>
          <w:rFonts w:ascii="Times New Roman" w:hAnsi="Times New Roman" w:cs="Times New Roman"/>
          <w:b/>
          <w:bCs/>
          <w:sz w:val="28"/>
          <w:szCs w:val="28"/>
        </w:rPr>
        <w:t>Criticize an argument</w:t>
      </w:r>
      <w:r w:rsidR="00D856F2" w:rsidRPr="001143FA">
        <w:rPr>
          <w:rFonts w:ascii="Times New Roman" w:hAnsi="Times New Roman" w:cs="Times New Roman"/>
          <w:b/>
          <w:bCs/>
          <w:sz w:val="28"/>
          <w:szCs w:val="28"/>
        </w:rPr>
        <w:t xml:space="preserve"> (For P3c Right to Be Forgotten)</w:t>
      </w:r>
    </w:p>
    <w:p w14:paraId="41EE36A5" w14:textId="0BB79EBE" w:rsidR="00333BE4" w:rsidRPr="001143FA" w:rsidRDefault="00333BE4"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 xml:space="preserve">The Right to Be Forgotten (RTBF) presentation presents a compelling case for allowing individuals to remove personal information from search engines. It highlights the 2014 Google Spain SL v. Agencia Española de </w:t>
      </w:r>
      <w:proofErr w:type="spellStart"/>
      <w:r w:rsidRPr="001143FA">
        <w:rPr>
          <w:rFonts w:ascii="Times New Roman" w:hAnsi="Times New Roman" w:cs="Times New Roman"/>
          <w:sz w:val="24"/>
        </w:rPr>
        <w:t>Protección</w:t>
      </w:r>
      <w:proofErr w:type="spellEnd"/>
      <w:r w:rsidRPr="001143FA">
        <w:rPr>
          <w:rFonts w:ascii="Times New Roman" w:hAnsi="Times New Roman" w:cs="Times New Roman"/>
          <w:sz w:val="24"/>
        </w:rPr>
        <w:t xml:space="preserve"> de Datos case as a landmark ruling that established this right within the European Union. While the argument for RTBF is rooted in the protection of individual privacy, it fails to sufficiently consider its implications for free speech, historical accuracy, and technological feasibility. The concept of RTBF raises critical ethical and legal dilemmas, particularly when powerful individuals or organizations seek to remove unfavorable content under the guise of privacy rights (Rosen, 2019).</w:t>
      </w:r>
    </w:p>
    <w:p w14:paraId="74E335D9" w14:textId="3F97A712" w:rsidR="00333BE4" w:rsidRPr="001143FA" w:rsidRDefault="00333BE4"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lastRenderedPageBreak/>
        <w:t xml:space="preserve">One of the most significant concerns surrounding RTBF is its potential for censorship. The presentation acknowledges that RTBF could be misused by public figures or corporations to remove damaging yet </w:t>
      </w:r>
      <w:proofErr w:type="gramStart"/>
      <w:r w:rsidRPr="001143FA">
        <w:rPr>
          <w:rFonts w:ascii="Times New Roman" w:hAnsi="Times New Roman" w:cs="Times New Roman"/>
          <w:sz w:val="24"/>
        </w:rPr>
        <w:t>factual information</w:t>
      </w:r>
      <w:proofErr w:type="gramEnd"/>
      <w:r w:rsidRPr="001143FA">
        <w:rPr>
          <w:rFonts w:ascii="Times New Roman" w:hAnsi="Times New Roman" w:cs="Times New Roman"/>
          <w:sz w:val="24"/>
        </w:rPr>
        <w:t xml:space="preserve">. For example, the case of pianist Dejan Lazic, who attempted to erase a negative performance review from search results, demonstrates how this right can be exploited to suppress legitimate criticism rather than protect privacy (WQXR, n.d.). Similarly, the Wikipedia case involving Wolfgang </w:t>
      </w:r>
      <w:proofErr w:type="spellStart"/>
      <w:r w:rsidRPr="001143FA">
        <w:rPr>
          <w:rFonts w:ascii="Times New Roman" w:hAnsi="Times New Roman" w:cs="Times New Roman"/>
          <w:sz w:val="24"/>
        </w:rPr>
        <w:t>Werlé</w:t>
      </w:r>
      <w:proofErr w:type="spellEnd"/>
      <w:r w:rsidRPr="001143FA">
        <w:rPr>
          <w:rFonts w:ascii="Times New Roman" w:hAnsi="Times New Roman" w:cs="Times New Roman"/>
          <w:sz w:val="24"/>
        </w:rPr>
        <w:t xml:space="preserve"> and Manfred Lauber, two German criminals who sought to erase their names from historical records, raises questions about whether such individuals should be able to alter the public record (Schwartz, 2009). While the presentation recognizes these concerns, it does not propose a clear distinction between legitimate privacy protections and unjustified censorship.</w:t>
      </w:r>
    </w:p>
    <w:p w14:paraId="480F84BA" w14:textId="37F13D4C" w:rsidR="00333BE4" w:rsidRPr="001143FA" w:rsidRDefault="00333BE4"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In addition to ethical concerns, RTBF also presents significant technical challenges that the presentation does not fully address. Even if information is deleted from search engine results, it may still exist in online archives, news reports, or social media, making complete erasure nearly impossible (Zhang, 2024). Moreover, once information spreads across multiple platforms, it can be copied and redistributed beyond the control of the original publisher. The Streisand effect, which the presentation briefly mentions, illustrates how attempting to remove information can sometimes lead to even greater public attention (Byrne, n.d.). This raises doubts about the effectiveness of RTBF as a solution for protecting privacy in the digital age.</w:t>
      </w:r>
    </w:p>
    <w:p w14:paraId="0BC0A723" w14:textId="3CC96BB2" w:rsidR="00333BE4" w:rsidRPr="001143FA" w:rsidRDefault="00333BE4"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 xml:space="preserve">Another flaw in the RTBF argument is the difficulty of balancing personal privacy with the public’s right to access information. While the GDPR defines specific conditions under which data should be removed, there remains significant ambiguity about how these decisions should be made (GDPR.eu, 2023). Journalists, historians, and legal scholars argue that allowing </w:t>
      </w:r>
      <w:r w:rsidRPr="001143FA">
        <w:rPr>
          <w:rFonts w:ascii="Times New Roman" w:hAnsi="Times New Roman" w:cs="Times New Roman"/>
          <w:sz w:val="24"/>
        </w:rPr>
        <w:lastRenderedPageBreak/>
        <w:t>individuals to erase records of past actions, particularly in cases involving public figures or criminal activity, undermines transparency and accountability (Pressly, n.d.). If an individual’s actions have had a lasting impact on society, does the public not have the right to know? The presentation does not offer a strong framework for determining when privacy should take precedence over public interest, leaving a critical gap in its argument.</w:t>
      </w:r>
    </w:p>
    <w:p w14:paraId="47F11BDC" w14:textId="78D89086" w:rsidR="00D856F2" w:rsidRPr="001143FA" w:rsidRDefault="00333BE4"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Ultimately, while the RTBF presentation effectively outlines the legal and procedural aspects of data removal, it does not fully consider the broader implications of such policies. Privacy is undoubtedly important, but the unrestricted application of RTBF poses significant risks to free expression and historical accuracy. Instead of focusing solely on the removal of information, a more balanced approach might involve labeling outdated or misleading content while preserving public access to critical records. By addressing these concerns, policymakers can create a more effective system that protects both privacy and the integrity of the digital information landscape.</w:t>
      </w:r>
    </w:p>
    <w:p w14:paraId="32796F08" w14:textId="77A54B5D" w:rsidR="00D856F2" w:rsidRDefault="00D856F2" w:rsidP="001143FA">
      <w:pPr>
        <w:spacing w:line="480" w:lineRule="auto"/>
        <w:ind w:firstLineChars="200" w:firstLine="480"/>
        <w:rPr>
          <w:rFonts w:ascii="Times New Roman" w:hAnsi="Times New Roman" w:cs="Times New Roman"/>
          <w:sz w:val="24"/>
        </w:rPr>
      </w:pPr>
      <w:r w:rsidRPr="001143FA">
        <w:rPr>
          <w:rFonts w:ascii="Times New Roman" w:hAnsi="Times New Roman" w:cs="Times New Roman"/>
          <w:sz w:val="24"/>
        </w:rPr>
        <w:tab/>
      </w:r>
    </w:p>
    <w:p w14:paraId="73D8BAC5" w14:textId="77777777" w:rsidR="001143FA" w:rsidRDefault="001143FA" w:rsidP="001143FA">
      <w:pPr>
        <w:spacing w:line="480" w:lineRule="auto"/>
        <w:ind w:firstLineChars="200" w:firstLine="480"/>
        <w:rPr>
          <w:rFonts w:ascii="Times New Roman" w:hAnsi="Times New Roman" w:cs="Times New Roman"/>
          <w:sz w:val="24"/>
        </w:rPr>
      </w:pPr>
    </w:p>
    <w:p w14:paraId="05C29326" w14:textId="77777777" w:rsidR="001143FA" w:rsidRDefault="001143FA" w:rsidP="001143FA">
      <w:pPr>
        <w:spacing w:line="480" w:lineRule="auto"/>
        <w:ind w:firstLineChars="200" w:firstLine="480"/>
        <w:rPr>
          <w:rFonts w:ascii="Times New Roman" w:hAnsi="Times New Roman" w:cs="Times New Roman"/>
          <w:sz w:val="24"/>
        </w:rPr>
      </w:pPr>
    </w:p>
    <w:p w14:paraId="03926908" w14:textId="77777777" w:rsidR="001143FA" w:rsidRDefault="001143FA" w:rsidP="001143FA">
      <w:pPr>
        <w:spacing w:line="480" w:lineRule="auto"/>
        <w:ind w:firstLineChars="200" w:firstLine="480"/>
        <w:rPr>
          <w:rFonts w:ascii="Times New Roman" w:hAnsi="Times New Roman" w:cs="Times New Roman"/>
          <w:sz w:val="24"/>
        </w:rPr>
      </w:pPr>
    </w:p>
    <w:p w14:paraId="3D5ACE0A" w14:textId="77777777" w:rsidR="001143FA" w:rsidRDefault="001143FA" w:rsidP="001143FA">
      <w:pPr>
        <w:spacing w:line="480" w:lineRule="auto"/>
        <w:ind w:firstLineChars="200" w:firstLine="480"/>
        <w:rPr>
          <w:rFonts w:ascii="Times New Roman" w:hAnsi="Times New Roman" w:cs="Times New Roman"/>
          <w:sz w:val="24"/>
        </w:rPr>
      </w:pPr>
    </w:p>
    <w:p w14:paraId="7804311A" w14:textId="77777777" w:rsidR="001143FA" w:rsidRDefault="001143FA" w:rsidP="001143FA">
      <w:pPr>
        <w:spacing w:line="480" w:lineRule="auto"/>
        <w:ind w:firstLineChars="200" w:firstLine="480"/>
        <w:rPr>
          <w:rFonts w:ascii="Times New Roman" w:hAnsi="Times New Roman" w:cs="Times New Roman"/>
          <w:sz w:val="24"/>
        </w:rPr>
      </w:pPr>
    </w:p>
    <w:p w14:paraId="52F5508A" w14:textId="77777777" w:rsidR="001143FA" w:rsidRDefault="001143FA" w:rsidP="001143FA">
      <w:pPr>
        <w:spacing w:line="480" w:lineRule="auto"/>
        <w:ind w:firstLineChars="200" w:firstLine="480"/>
        <w:rPr>
          <w:rFonts w:ascii="Times New Roman" w:hAnsi="Times New Roman" w:cs="Times New Roman"/>
          <w:sz w:val="24"/>
        </w:rPr>
      </w:pPr>
    </w:p>
    <w:p w14:paraId="5F7A989A" w14:textId="77777777" w:rsidR="001143FA" w:rsidRPr="001143FA" w:rsidRDefault="001143FA" w:rsidP="001143FA">
      <w:pPr>
        <w:spacing w:line="480" w:lineRule="auto"/>
        <w:ind w:firstLineChars="200" w:firstLine="480"/>
        <w:rPr>
          <w:rFonts w:ascii="Times New Roman" w:hAnsi="Times New Roman" w:cs="Times New Roman"/>
          <w:sz w:val="24"/>
        </w:rPr>
      </w:pPr>
    </w:p>
    <w:p w14:paraId="403A59F2" w14:textId="77777777" w:rsidR="00C43ACE" w:rsidRPr="001143FA" w:rsidRDefault="00C43ACE" w:rsidP="001143FA">
      <w:pPr>
        <w:spacing w:line="480" w:lineRule="auto"/>
        <w:ind w:firstLineChars="200" w:firstLine="480"/>
        <w:rPr>
          <w:rFonts w:ascii="Times New Roman" w:hAnsi="Times New Roman" w:cs="Times New Roman"/>
          <w:sz w:val="24"/>
        </w:rPr>
      </w:pPr>
    </w:p>
    <w:p w14:paraId="479D3FC9" w14:textId="10C123ED" w:rsidR="00C43ACE" w:rsidRPr="001143FA" w:rsidRDefault="00C43ACE" w:rsidP="001143FA">
      <w:pPr>
        <w:spacing w:line="480" w:lineRule="auto"/>
        <w:ind w:firstLineChars="200" w:firstLine="640"/>
        <w:jc w:val="center"/>
        <w:rPr>
          <w:rFonts w:ascii="Times New Roman" w:hAnsi="Times New Roman" w:cs="Times New Roman"/>
          <w:b/>
          <w:bCs/>
          <w:sz w:val="32"/>
          <w:szCs w:val="32"/>
        </w:rPr>
      </w:pPr>
      <w:r w:rsidRPr="001143FA">
        <w:rPr>
          <w:rFonts w:ascii="Times New Roman" w:hAnsi="Times New Roman" w:cs="Times New Roman"/>
          <w:b/>
          <w:bCs/>
          <w:sz w:val="32"/>
          <w:szCs w:val="32"/>
        </w:rPr>
        <w:lastRenderedPageBreak/>
        <w:t>Reference</w:t>
      </w:r>
    </w:p>
    <w:p w14:paraId="0E762B13" w14:textId="36E04CF0" w:rsidR="00333BE4" w:rsidRPr="001143FA" w:rsidRDefault="00C43ACE"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Mehrabi, N., </w:t>
      </w:r>
      <w:proofErr w:type="spellStart"/>
      <w:r w:rsidRPr="001143FA">
        <w:rPr>
          <w:rFonts w:ascii="Times New Roman" w:hAnsi="Times New Roman" w:cs="Times New Roman"/>
          <w:sz w:val="24"/>
        </w:rPr>
        <w:t>Morstatter</w:t>
      </w:r>
      <w:proofErr w:type="spellEnd"/>
      <w:r w:rsidRPr="001143FA">
        <w:rPr>
          <w:rFonts w:ascii="Times New Roman" w:hAnsi="Times New Roman" w:cs="Times New Roman"/>
          <w:sz w:val="24"/>
        </w:rPr>
        <w:t xml:space="preserve">, F., Saxena, N., Lerman, K., &amp; Galstyan, A. (2021). A survey on bias and fairness in machine learning. ACM Computing Surveys, 54(6), 1-35. </w:t>
      </w:r>
      <w:hyperlink r:id="rId5" w:history="1">
        <w:r w:rsidR="00333BE4" w:rsidRPr="001143FA">
          <w:rPr>
            <w:rStyle w:val="ae"/>
            <w:rFonts w:ascii="Times New Roman" w:hAnsi="Times New Roman" w:cs="Times New Roman"/>
            <w:sz w:val="24"/>
          </w:rPr>
          <w:t>https://doi.org/10.1145/3457607</w:t>
        </w:r>
      </w:hyperlink>
    </w:p>
    <w:p w14:paraId="78CF5DAB" w14:textId="21B5D257"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Byrne, S. (n.d.). What is “the Streisand effect”? Barbra Streisand addresses infamous invasion of privacy lawsuit in new memoir. Yahoo! Retrieved from </w:t>
      </w:r>
      <w:hyperlink r:id="rId6" w:history="1">
        <w:r w:rsidRPr="001143FA">
          <w:rPr>
            <w:rStyle w:val="ae"/>
            <w:rFonts w:ascii="Times New Roman" w:hAnsi="Times New Roman" w:cs="Times New Roman"/>
            <w:sz w:val="24"/>
          </w:rPr>
          <w:t>https://www.yahoo.com/entertainment/streisand-effect-barbra-streisand-invasion-of-privacy-lawsuit-new-memoir-130024264.html</w:t>
        </w:r>
      </w:hyperlink>
    </w:p>
    <w:p w14:paraId="26FBA589" w14:textId="1F0A4619" w:rsidR="00333BE4" w:rsidRPr="001143FA" w:rsidRDefault="00C43ACE"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Patel, K., Singh, M., &amp; Lee, C. (2018). Cultural competence and diversity in the tech workforce: Impacts on innovation and collaboration. Journal of Technology and Society, 10(2), 45-60.</w:t>
      </w:r>
    </w:p>
    <w:p w14:paraId="047AE91A" w14:textId="682FF1F0" w:rsidR="00333BE4" w:rsidRPr="001143FA" w:rsidRDefault="00C43ACE"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Raji, I. D., &amp; </w:t>
      </w:r>
      <w:proofErr w:type="spellStart"/>
      <w:r w:rsidRPr="001143FA">
        <w:rPr>
          <w:rFonts w:ascii="Times New Roman" w:hAnsi="Times New Roman" w:cs="Times New Roman"/>
          <w:sz w:val="24"/>
        </w:rPr>
        <w:t>Buolamwini</w:t>
      </w:r>
      <w:proofErr w:type="spellEnd"/>
      <w:r w:rsidRPr="001143FA">
        <w:rPr>
          <w:rFonts w:ascii="Times New Roman" w:hAnsi="Times New Roman" w:cs="Times New Roman"/>
          <w:sz w:val="24"/>
        </w:rPr>
        <w:t xml:space="preserve">, J. (2019). Actionable auditing: Investigating the impact of publicly naming biased performance results of commercial AI products. Proceedings of the AAAI/ACM Conference on AI, Ethics, and Society, 1(1), 429-435. </w:t>
      </w:r>
      <w:hyperlink r:id="rId7" w:history="1">
        <w:r w:rsidR="00333BE4" w:rsidRPr="001143FA">
          <w:rPr>
            <w:rStyle w:val="ae"/>
            <w:rFonts w:ascii="Times New Roman" w:hAnsi="Times New Roman" w:cs="Times New Roman"/>
            <w:sz w:val="24"/>
          </w:rPr>
          <w:t>https://doi.org/10.1145/3306618.3314244</w:t>
        </w:r>
      </w:hyperlink>
    </w:p>
    <w:p w14:paraId="119183F9" w14:textId="650B293E" w:rsidR="00C43ACE" w:rsidRPr="001143FA" w:rsidRDefault="00C43ACE"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Smith, J., Gomez, R., &amp; Williams, A. (2021). Diversity in tech: Evaluating industry efforts and future directions. Tech and Society Review, 15(3), 120-140.</w:t>
      </w:r>
    </w:p>
    <w:p w14:paraId="2440D30E" w14:textId="568DFBD0" w:rsidR="00333BE4" w:rsidRPr="001143FA" w:rsidRDefault="00C43ACE"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Washington, N. (2020). When twice as good isn’t enough: The case for cultural competence in computing. Computing Research News.</w:t>
      </w:r>
    </w:p>
    <w:p w14:paraId="3BC411B0" w14:textId="2B660768" w:rsidR="00333BE4" w:rsidRPr="001143FA" w:rsidRDefault="00C43ACE"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Williams, A., Johnson, T., &amp; Brown, K. (2022). Cultural awareness in STEM education: The missing link to equity and inclusion. Journal of Computer Science Education, 30(1), 78-95. </w:t>
      </w:r>
      <w:hyperlink r:id="rId8" w:history="1">
        <w:r w:rsidR="00333BE4" w:rsidRPr="001143FA">
          <w:rPr>
            <w:rStyle w:val="ae"/>
            <w:rFonts w:ascii="Times New Roman" w:hAnsi="Times New Roman" w:cs="Times New Roman"/>
            <w:sz w:val="24"/>
          </w:rPr>
          <w:t>https://doi.org/10.1080/08993408.2022.2034856</w:t>
        </w:r>
      </w:hyperlink>
    </w:p>
    <w:p w14:paraId="49DAF2B9" w14:textId="56BC7FFA"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lastRenderedPageBreak/>
        <w:t xml:space="preserve">GDPR.eu. (2023, September 14). Everything you need to know about the “right to be forgotten.” Retrieved from </w:t>
      </w:r>
      <w:hyperlink r:id="rId9" w:history="1">
        <w:r w:rsidRPr="001143FA">
          <w:rPr>
            <w:rStyle w:val="ae"/>
            <w:rFonts w:ascii="Times New Roman" w:hAnsi="Times New Roman" w:cs="Times New Roman"/>
            <w:sz w:val="24"/>
          </w:rPr>
          <w:t>https://gdpr.eu/right-to-be-forgotten/</w:t>
        </w:r>
      </w:hyperlink>
    </w:p>
    <w:p w14:paraId="66535478" w14:textId="057B85C3"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Pressly, L. (n.d.). The right to be forgotten and the value of an open future. Retrieved from </w:t>
      </w:r>
      <w:hyperlink r:id="rId10" w:history="1">
        <w:r w:rsidRPr="001143FA">
          <w:rPr>
            <w:rStyle w:val="ae"/>
            <w:rFonts w:ascii="Times New Roman" w:hAnsi="Times New Roman" w:cs="Times New Roman"/>
            <w:sz w:val="24"/>
          </w:rPr>
          <w:t>https://www.journals.uchicago.edu/doi/full/10.1086/731431</w:t>
        </w:r>
      </w:hyperlink>
    </w:p>
    <w:p w14:paraId="2FA345B1" w14:textId="31CD95A9"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Rosen, J. (2019, April 12). The right to be forgotten. Stanford Law Review. Retrieved from </w:t>
      </w:r>
      <w:hyperlink r:id="rId11" w:history="1">
        <w:r w:rsidRPr="001143FA">
          <w:rPr>
            <w:rStyle w:val="ae"/>
            <w:rFonts w:ascii="Times New Roman" w:hAnsi="Times New Roman" w:cs="Times New Roman"/>
            <w:sz w:val="24"/>
          </w:rPr>
          <w:t>https://www.stanfordlawreview.org/online/privacy-paradox-the-right-to-be-forgotten/</w:t>
        </w:r>
      </w:hyperlink>
    </w:p>
    <w:p w14:paraId="0774BBD5" w14:textId="704D90F8"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Schwartz, J. (2009, November 13). Two German killers demanding anonymity sue Wikipedia’s parent. The New York Times. Retrieved from </w:t>
      </w:r>
      <w:hyperlink r:id="rId12" w:history="1">
        <w:r w:rsidRPr="001143FA">
          <w:rPr>
            <w:rStyle w:val="ae"/>
            <w:rFonts w:ascii="Times New Roman" w:hAnsi="Times New Roman" w:cs="Times New Roman"/>
            <w:sz w:val="24"/>
          </w:rPr>
          <w:t>https://www.nytimes.com/2009/11/13/us/13wiki.html</w:t>
        </w:r>
      </w:hyperlink>
    </w:p>
    <w:p w14:paraId="642F4B89" w14:textId="76B571C2"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WQXR. (n.d.). Dejan Lazic, pianist who demanded removal of review, confronts critic: Conducting business. Retrieved from </w:t>
      </w:r>
      <w:hyperlink r:id="rId13" w:history="1">
        <w:r w:rsidRPr="001143FA">
          <w:rPr>
            <w:rStyle w:val="ae"/>
            <w:rFonts w:ascii="Times New Roman" w:hAnsi="Times New Roman" w:cs="Times New Roman"/>
            <w:sz w:val="24"/>
          </w:rPr>
          <w:t>https://www.wqxr.org/story/pianist-who-demanded-removal-review-confronts-critic/</w:t>
        </w:r>
      </w:hyperlink>
    </w:p>
    <w:p w14:paraId="760C602D" w14:textId="2B5285B8" w:rsidR="00333BE4" w:rsidRPr="001143FA" w:rsidRDefault="00333BE4" w:rsidP="001143FA">
      <w:pPr>
        <w:spacing w:line="480" w:lineRule="auto"/>
        <w:ind w:left="480" w:hangingChars="200" w:hanging="480"/>
        <w:rPr>
          <w:rFonts w:ascii="Times New Roman" w:hAnsi="Times New Roman" w:cs="Times New Roman"/>
          <w:sz w:val="24"/>
        </w:rPr>
      </w:pPr>
      <w:r w:rsidRPr="001143FA">
        <w:rPr>
          <w:rFonts w:ascii="Times New Roman" w:hAnsi="Times New Roman" w:cs="Times New Roman"/>
          <w:sz w:val="24"/>
        </w:rPr>
        <w:t xml:space="preserve">Zhang, D. (2024, June 15). Right to be forgotten in the era of large language models: Implications, challenges, and solutions. Montreal AI Ethics Institute. Retrieved from </w:t>
      </w:r>
      <w:hyperlink r:id="rId14" w:history="1">
        <w:r w:rsidRPr="001143FA">
          <w:rPr>
            <w:rStyle w:val="ae"/>
            <w:rFonts w:ascii="Times New Roman" w:hAnsi="Times New Roman" w:cs="Times New Roman"/>
            <w:sz w:val="24"/>
          </w:rPr>
          <w:t>https://montrealethics.ai/right-to-be-forgotten-in-the-era-of-large-language-models-implications-challenges-and-solutions/</w:t>
        </w:r>
      </w:hyperlink>
    </w:p>
    <w:p w14:paraId="7B129E1D" w14:textId="77777777" w:rsidR="004A0DD7" w:rsidRPr="001143FA" w:rsidRDefault="004A0DD7" w:rsidP="001143FA">
      <w:pPr>
        <w:spacing w:line="480" w:lineRule="auto"/>
        <w:ind w:left="480" w:hangingChars="200" w:hanging="480"/>
        <w:rPr>
          <w:rFonts w:ascii="Times New Roman" w:hAnsi="Times New Roman" w:cs="Times New Roman"/>
          <w:sz w:val="24"/>
        </w:rPr>
      </w:pPr>
    </w:p>
    <w:sectPr w:rsidR="004A0DD7" w:rsidRPr="001143FA" w:rsidSect="00333BE4">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1C4E"/>
    <w:multiLevelType w:val="hybridMultilevel"/>
    <w:tmpl w:val="492465E8"/>
    <w:lvl w:ilvl="0" w:tplc="085E7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9D356A"/>
    <w:multiLevelType w:val="hybridMultilevel"/>
    <w:tmpl w:val="BA9C90C6"/>
    <w:lvl w:ilvl="0" w:tplc="C3342E1C">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0C2ADE"/>
    <w:multiLevelType w:val="hybridMultilevel"/>
    <w:tmpl w:val="81BC67FC"/>
    <w:lvl w:ilvl="0" w:tplc="C3342E1C">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7427872"/>
    <w:multiLevelType w:val="hybridMultilevel"/>
    <w:tmpl w:val="3BD8410A"/>
    <w:lvl w:ilvl="0" w:tplc="C3342E1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307971948">
    <w:abstractNumId w:val="0"/>
  </w:num>
  <w:num w:numId="2" w16cid:durableId="1575310907">
    <w:abstractNumId w:val="3"/>
  </w:num>
  <w:num w:numId="3" w16cid:durableId="1728331484">
    <w:abstractNumId w:val="2"/>
  </w:num>
  <w:num w:numId="4" w16cid:durableId="36321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CC"/>
    <w:rsid w:val="00002079"/>
    <w:rsid w:val="00103F4E"/>
    <w:rsid w:val="001143FA"/>
    <w:rsid w:val="00333BE4"/>
    <w:rsid w:val="004A0DD7"/>
    <w:rsid w:val="006C296B"/>
    <w:rsid w:val="00781F1B"/>
    <w:rsid w:val="007978CC"/>
    <w:rsid w:val="0086503B"/>
    <w:rsid w:val="00B33E55"/>
    <w:rsid w:val="00BC41C2"/>
    <w:rsid w:val="00C43ACE"/>
    <w:rsid w:val="00D80975"/>
    <w:rsid w:val="00D85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13009E"/>
  <w15:chartTrackingRefBased/>
  <w15:docId w15:val="{DC0B1158-4571-3D4C-A08B-CC03F9CB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78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78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78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78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78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978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78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78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78C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78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78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78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78CC"/>
    <w:rPr>
      <w:rFonts w:cstheme="majorBidi"/>
      <w:color w:val="0F4761" w:themeColor="accent1" w:themeShade="BF"/>
      <w:sz w:val="28"/>
      <w:szCs w:val="28"/>
    </w:rPr>
  </w:style>
  <w:style w:type="character" w:customStyle="1" w:styleId="50">
    <w:name w:val="标题 5 字符"/>
    <w:basedOn w:val="a0"/>
    <w:link w:val="5"/>
    <w:uiPriority w:val="9"/>
    <w:semiHidden/>
    <w:rsid w:val="007978CC"/>
    <w:rPr>
      <w:rFonts w:cstheme="majorBidi"/>
      <w:color w:val="0F4761" w:themeColor="accent1" w:themeShade="BF"/>
      <w:sz w:val="24"/>
    </w:rPr>
  </w:style>
  <w:style w:type="character" w:customStyle="1" w:styleId="60">
    <w:name w:val="标题 6 字符"/>
    <w:basedOn w:val="a0"/>
    <w:link w:val="6"/>
    <w:uiPriority w:val="9"/>
    <w:semiHidden/>
    <w:rsid w:val="007978CC"/>
    <w:rPr>
      <w:rFonts w:cstheme="majorBidi"/>
      <w:b/>
      <w:bCs/>
      <w:color w:val="0F4761" w:themeColor="accent1" w:themeShade="BF"/>
    </w:rPr>
  </w:style>
  <w:style w:type="character" w:customStyle="1" w:styleId="70">
    <w:name w:val="标题 7 字符"/>
    <w:basedOn w:val="a0"/>
    <w:link w:val="7"/>
    <w:uiPriority w:val="9"/>
    <w:semiHidden/>
    <w:rsid w:val="007978CC"/>
    <w:rPr>
      <w:rFonts w:cstheme="majorBidi"/>
      <w:b/>
      <w:bCs/>
      <w:color w:val="595959" w:themeColor="text1" w:themeTint="A6"/>
    </w:rPr>
  </w:style>
  <w:style w:type="character" w:customStyle="1" w:styleId="80">
    <w:name w:val="标题 8 字符"/>
    <w:basedOn w:val="a0"/>
    <w:link w:val="8"/>
    <w:uiPriority w:val="9"/>
    <w:semiHidden/>
    <w:rsid w:val="007978CC"/>
    <w:rPr>
      <w:rFonts w:cstheme="majorBidi"/>
      <w:color w:val="595959" w:themeColor="text1" w:themeTint="A6"/>
    </w:rPr>
  </w:style>
  <w:style w:type="character" w:customStyle="1" w:styleId="90">
    <w:name w:val="标题 9 字符"/>
    <w:basedOn w:val="a0"/>
    <w:link w:val="9"/>
    <w:uiPriority w:val="9"/>
    <w:semiHidden/>
    <w:rsid w:val="007978CC"/>
    <w:rPr>
      <w:rFonts w:eastAsiaTheme="majorEastAsia" w:cstheme="majorBidi"/>
      <w:color w:val="595959" w:themeColor="text1" w:themeTint="A6"/>
    </w:rPr>
  </w:style>
  <w:style w:type="paragraph" w:styleId="a3">
    <w:name w:val="Title"/>
    <w:basedOn w:val="a"/>
    <w:next w:val="a"/>
    <w:link w:val="a4"/>
    <w:uiPriority w:val="10"/>
    <w:qFormat/>
    <w:rsid w:val="007978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78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78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78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78CC"/>
    <w:pPr>
      <w:spacing w:before="160" w:after="160"/>
      <w:jc w:val="center"/>
    </w:pPr>
    <w:rPr>
      <w:i/>
      <w:iCs/>
      <w:color w:val="404040" w:themeColor="text1" w:themeTint="BF"/>
    </w:rPr>
  </w:style>
  <w:style w:type="character" w:customStyle="1" w:styleId="a8">
    <w:name w:val="引用 字符"/>
    <w:basedOn w:val="a0"/>
    <w:link w:val="a7"/>
    <w:uiPriority w:val="29"/>
    <w:rsid w:val="007978CC"/>
    <w:rPr>
      <w:i/>
      <w:iCs/>
      <w:color w:val="404040" w:themeColor="text1" w:themeTint="BF"/>
    </w:rPr>
  </w:style>
  <w:style w:type="paragraph" w:styleId="a9">
    <w:name w:val="List Paragraph"/>
    <w:basedOn w:val="a"/>
    <w:uiPriority w:val="34"/>
    <w:qFormat/>
    <w:rsid w:val="007978CC"/>
    <w:pPr>
      <w:ind w:left="720"/>
      <w:contextualSpacing/>
    </w:pPr>
  </w:style>
  <w:style w:type="character" w:styleId="aa">
    <w:name w:val="Intense Emphasis"/>
    <w:basedOn w:val="a0"/>
    <w:uiPriority w:val="21"/>
    <w:qFormat/>
    <w:rsid w:val="007978CC"/>
    <w:rPr>
      <w:i/>
      <w:iCs/>
      <w:color w:val="0F4761" w:themeColor="accent1" w:themeShade="BF"/>
    </w:rPr>
  </w:style>
  <w:style w:type="paragraph" w:styleId="ab">
    <w:name w:val="Intense Quote"/>
    <w:basedOn w:val="a"/>
    <w:next w:val="a"/>
    <w:link w:val="ac"/>
    <w:uiPriority w:val="30"/>
    <w:qFormat/>
    <w:rsid w:val="00797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78CC"/>
    <w:rPr>
      <w:i/>
      <w:iCs/>
      <w:color w:val="0F4761" w:themeColor="accent1" w:themeShade="BF"/>
    </w:rPr>
  </w:style>
  <w:style w:type="character" w:styleId="ad">
    <w:name w:val="Intense Reference"/>
    <w:basedOn w:val="a0"/>
    <w:uiPriority w:val="32"/>
    <w:qFormat/>
    <w:rsid w:val="007978CC"/>
    <w:rPr>
      <w:b/>
      <w:bCs/>
      <w:smallCaps/>
      <w:color w:val="0F4761" w:themeColor="accent1" w:themeShade="BF"/>
      <w:spacing w:val="5"/>
    </w:rPr>
  </w:style>
  <w:style w:type="character" w:styleId="ae">
    <w:name w:val="Hyperlink"/>
    <w:basedOn w:val="a0"/>
    <w:uiPriority w:val="99"/>
    <w:unhideWhenUsed/>
    <w:rsid w:val="00333BE4"/>
    <w:rPr>
      <w:color w:val="467886" w:themeColor="hyperlink"/>
      <w:u w:val="single"/>
    </w:rPr>
  </w:style>
  <w:style w:type="character" w:styleId="af">
    <w:name w:val="Unresolved Mention"/>
    <w:basedOn w:val="a0"/>
    <w:uiPriority w:val="99"/>
    <w:semiHidden/>
    <w:unhideWhenUsed/>
    <w:rsid w:val="00333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00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8993408.2022.2034856" TargetMode="External"/><Relationship Id="rId13" Type="http://schemas.openxmlformats.org/officeDocument/2006/relationships/hyperlink" Target="https://www.wqxr.org/story/pianist-who-demanded-removal-review-confronts-critic/" TargetMode="External"/><Relationship Id="rId3" Type="http://schemas.openxmlformats.org/officeDocument/2006/relationships/settings" Target="settings.xml"/><Relationship Id="rId7" Type="http://schemas.openxmlformats.org/officeDocument/2006/relationships/hyperlink" Target="https://doi.org/10.1145/3306618.3314244" TargetMode="External"/><Relationship Id="rId12" Type="http://schemas.openxmlformats.org/officeDocument/2006/relationships/hyperlink" Target="https://www.nytimes.com/2009/11/13/us/13wiki.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ahoo.com/entertainment/streisand-effect-barbra-streisand-invasion-of-privacy-lawsuit-new-memoir-130024264.html" TargetMode="External"/><Relationship Id="rId11" Type="http://schemas.openxmlformats.org/officeDocument/2006/relationships/hyperlink" Target="https://www.stanfordlawreview.org/online/privacy-paradox-the-right-to-be-forgotten/" TargetMode="External"/><Relationship Id="rId5" Type="http://schemas.openxmlformats.org/officeDocument/2006/relationships/hyperlink" Target="https://doi.org/10.1145/3457607" TargetMode="External"/><Relationship Id="rId15" Type="http://schemas.openxmlformats.org/officeDocument/2006/relationships/fontTable" Target="fontTable.xml"/><Relationship Id="rId10" Type="http://schemas.openxmlformats.org/officeDocument/2006/relationships/hyperlink" Target="https://www.journals.uchicago.edu/doi/full/10.1086/731431" TargetMode="External"/><Relationship Id="rId4" Type="http://schemas.openxmlformats.org/officeDocument/2006/relationships/webSettings" Target="webSettings.xml"/><Relationship Id="rId9" Type="http://schemas.openxmlformats.org/officeDocument/2006/relationships/hyperlink" Target="https://gdpr.eu/right-to-be-forgotten/" TargetMode="External"/><Relationship Id="rId14" Type="http://schemas.openxmlformats.org/officeDocument/2006/relationships/hyperlink" Target="https://montrealethics.ai/right-to-be-forgotten-in-the-era-of-large-language-models-implications-challenges-and-solution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1703</Words>
  <Characters>9713</Characters>
  <Application>Microsoft Office Word</Application>
  <DocSecurity>0</DocSecurity>
  <Lines>80</Lines>
  <Paragraphs>22</Paragraphs>
  <ScaleCrop>false</ScaleCrop>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Changze Wu</dc:creator>
  <cp:keywords/>
  <dc:description/>
  <cp:lastModifiedBy>Changze Wu</cp:lastModifiedBy>
  <cp:revision>2</cp:revision>
  <dcterms:created xsi:type="dcterms:W3CDTF">2025-03-16T08:51:00Z</dcterms:created>
  <dcterms:modified xsi:type="dcterms:W3CDTF">2025-04-04T20:11:00Z</dcterms:modified>
</cp:coreProperties>
</file>