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DE783A" w:rsidRDefault="00122E96" w:rsidP="00D44BD5">
      <w:pPr>
        <w:jc w:val="both"/>
        <w:rPr>
          <w:rFonts w:ascii="Times New Roman" w:hAnsi="Times New Roman" w:cs="Times New Roman"/>
          <w:b/>
          <w:bCs/>
          <w:sz w:val="22"/>
          <w:szCs w:val="22"/>
        </w:rPr>
      </w:pPr>
      <w:r w:rsidRPr="00122E96">
        <w:rPr>
          <w:rFonts w:ascii="Times New Roman" w:hAnsi="Times New Roman" w:cs="Times New Roman"/>
          <w:b/>
          <w:bCs/>
          <w:sz w:val="22"/>
          <w:szCs w:val="22"/>
        </w:rPr>
        <w:t>grn_tf_activity_model.py</w:t>
      </w:r>
    </w:p>
    <w:p w:rsidR="00122E96" w:rsidRDefault="00122E96" w:rsidP="00D44BD5">
      <w:pPr>
        <w:jc w:val="both"/>
        <w:rPr>
          <w:rFonts w:ascii="Times New Roman" w:hAnsi="Times New Roman" w:cs="Times New Roman"/>
          <w:b/>
          <w:bCs/>
          <w:sz w:val="22"/>
          <w:szCs w:val="22"/>
        </w:rPr>
      </w:pPr>
    </w:p>
    <w:p w:rsidR="00122E96" w:rsidRPr="00122E96" w:rsidRDefault="00122E96" w:rsidP="00122E96">
      <w:pPr>
        <w:jc w:val="both"/>
        <w:rPr>
          <w:rFonts w:ascii="Times New Roman" w:hAnsi="Times New Roman" w:cs="Times New Roman"/>
          <w:sz w:val="22"/>
          <w:szCs w:val="22"/>
        </w:rPr>
      </w:pPr>
      <w:r w:rsidRPr="00122E96">
        <w:rPr>
          <w:rFonts w:ascii="Times New Roman" w:hAnsi="Times New Roman" w:cs="Times New Roman"/>
          <w:sz w:val="22"/>
          <w:szCs w:val="22"/>
        </w:rPr>
        <w:t xml:space="preserve">This builds the gene regulatory network. Rather than listing which genes changed, it asks which transcription factors, the master switches that control other genes, are behind those changes. The logic is that if a TF is switched off, the genes it normally drives will drop together, so you can infer the TF's activity from the behaviour of its targets. It uses the </w:t>
      </w:r>
      <w:proofErr w:type="spellStart"/>
      <w:r w:rsidRPr="00122E96">
        <w:rPr>
          <w:rFonts w:ascii="Times New Roman" w:hAnsi="Times New Roman" w:cs="Times New Roman"/>
          <w:sz w:val="22"/>
          <w:szCs w:val="22"/>
        </w:rPr>
        <w:t>CollecTRI</w:t>
      </w:r>
      <w:proofErr w:type="spellEnd"/>
      <w:r w:rsidRPr="00122E96">
        <w:rPr>
          <w:rFonts w:ascii="Times New Roman" w:hAnsi="Times New Roman" w:cs="Times New Roman"/>
          <w:sz w:val="22"/>
          <w:szCs w:val="22"/>
        </w:rPr>
        <w:t xml:space="preserve"> regulons and decoupler, and because those are human resources the zebrafish genes have to be mapped to human ones first.</w:t>
      </w:r>
    </w:p>
    <w:p w:rsidR="00122E96" w:rsidRPr="00122E96" w:rsidRDefault="00122E96" w:rsidP="00122E96">
      <w:pPr>
        <w:numPr>
          <w:ilvl w:val="0"/>
          <w:numId w:val="2"/>
        </w:numPr>
        <w:jc w:val="both"/>
        <w:rPr>
          <w:rFonts w:ascii="Times New Roman" w:hAnsi="Times New Roman" w:cs="Times New Roman"/>
          <w:sz w:val="22"/>
          <w:szCs w:val="22"/>
        </w:rPr>
      </w:pPr>
      <w:r w:rsidRPr="00122E96">
        <w:rPr>
          <w:rFonts w:ascii="Times New Roman" w:hAnsi="Times New Roman" w:cs="Times New Roman"/>
          <w:b/>
          <w:bCs/>
          <w:sz w:val="22"/>
          <w:szCs w:val="22"/>
        </w:rPr>
        <w:t xml:space="preserve">orthology_map_zfish_to_human.csv: </w:t>
      </w:r>
      <w:r w:rsidRPr="00122E96">
        <w:rPr>
          <w:rFonts w:ascii="Times New Roman" w:hAnsi="Times New Roman" w:cs="Times New Roman"/>
          <w:sz w:val="22"/>
          <w:szCs w:val="22"/>
        </w:rPr>
        <w:t xml:space="preserve">the zebrafish to human gene dictionary from </w:t>
      </w:r>
      <w:proofErr w:type="spellStart"/>
      <w:r w:rsidRPr="00122E96">
        <w:rPr>
          <w:rFonts w:ascii="Times New Roman" w:hAnsi="Times New Roman" w:cs="Times New Roman"/>
          <w:sz w:val="22"/>
          <w:szCs w:val="22"/>
        </w:rPr>
        <w:t>g:Profiler</w:t>
      </w:r>
      <w:proofErr w:type="spellEnd"/>
      <w:r w:rsidRPr="00122E96">
        <w:rPr>
          <w:rFonts w:ascii="Times New Roman" w:hAnsi="Times New Roman" w:cs="Times New Roman"/>
          <w:sz w:val="22"/>
          <w:szCs w:val="22"/>
        </w:rPr>
        <w:t>. It is saved to disk so later runs do not have to fetch it again, and several of the later scripts reuse this same file so that everything stays consistent. Note the mapping is lossy, since not every zebrafish gene has a clean human equivalent.</w:t>
      </w:r>
    </w:p>
    <w:p w:rsidR="00122E96" w:rsidRPr="00122E96" w:rsidRDefault="00122E96" w:rsidP="00122E96">
      <w:pPr>
        <w:numPr>
          <w:ilvl w:val="0"/>
          <w:numId w:val="2"/>
        </w:numPr>
        <w:jc w:val="both"/>
        <w:rPr>
          <w:rFonts w:ascii="Times New Roman" w:hAnsi="Times New Roman" w:cs="Times New Roman"/>
          <w:sz w:val="22"/>
          <w:szCs w:val="22"/>
        </w:rPr>
      </w:pPr>
      <w:r w:rsidRPr="00122E96">
        <w:rPr>
          <w:rFonts w:ascii="Times New Roman" w:hAnsi="Times New Roman" w:cs="Times New Roman"/>
          <w:b/>
          <w:bCs/>
          <w:sz w:val="22"/>
          <w:szCs w:val="22"/>
        </w:rPr>
        <w:t xml:space="preserve">tf_activity_Q1.csv: </w:t>
      </w:r>
      <w:r w:rsidRPr="00122E96">
        <w:rPr>
          <w:rFonts w:ascii="Times New Roman" w:hAnsi="Times New Roman" w:cs="Times New Roman"/>
          <w:sz w:val="22"/>
          <w:szCs w:val="22"/>
        </w:rPr>
        <w:t>every transcription factor that could be scored, with an activity score and a p-value, ranked. A positive score means the TF looks switched on in the mutant, a negative score means switched off. Out of 698 TFs scored, 71 are significant: 63 activated and 8 repressed. The 8 repressed ones matter far more than their number suggests, because they include the whole E2F family, which runs cell division.</w:t>
      </w:r>
    </w:p>
    <w:p w:rsidR="00122E96" w:rsidRPr="00122E96" w:rsidRDefault="00122E96" w:rsidP="00122E96">
      <w:pPr>
        <w:numPr>
          <w:ilvl w:val="0"/>
          <w:numId w:val="2"/>
        </w:numPr>
        <w:jc w:val="both"/>
        <w:rPr>
          <w:rFonts w:ascii="Times New Roman" w:hAnsi="Times New Roman" w:cs="Times New Roman"/>
          <w:sz w:val="22"/>
          <w:szCs w:val="22"/>
        </w:rPr>
      </w:pPr>
      <w:r w:rsidRPr="00122E96">
        <w:rPr>
          <w:rFonts w:ascii="Times New Roman" w:hAnsi="Times New Roman" w:cs="Times New Roman"/>
          <w:b/>
          <w:bCs/>
          <w:sz w:val="22"/>
          <w:szCs w:val="22"/>
        </w:rPr>
        <w:t xml:space="preserve">tf_activity_barplot_Q1.png: </w:t>
      </w:r>
      <w:r w:rsidRPr="00122E96">
        <w:rPr>
          <w:rFonts w:ascii="Times New Roman" w:hAnsi="Times New Roman" w:cs="Times New Roman"/>
          <w:sz w:val="22"/>
          <w:szCs w:val="22"/>
        </w:rPr>
        <w:t>the most activated and most repressed TFs drawn as a bar chart, sorted by score. This is the figure where the E2F family stands out clearly on the repressed side and the stress and p53 factors on the activated side.</w:t>
      </w:r>
    </w:p>
    <w:p w:rsidR="00122E96" w:rsidRPr="00122E96" w:rsidRDefault="00122E96" w:rsidP="00122E96">
      <w:pPr>
        <w:numPr>
          <w:ilvl w:val="0"/>
          <w:numId w:val="2"/>
        </w:numPr>
        <w:jc w:val="both"/>
        <w:rPr>
          <w:rFonts w:ascii="Times New Roman" w:hAnsi="Times New Roman" w:cs="Times New Roman"/>
          <w:sz w:val="22"/>
          <w:szCs w:val="22"/>
        </w:rPr>
      </w:pPr>
      <w:r w:rsidRPr="00122E96">
        <w:rPr>
          <w:rFonts w:ascii="Times New Roman" w:hAnsi="Times New Roman" w:cs="Times New Roman"/>
          <w:b/>
          <w:bCs/>
          <w:sz w:val="22"/>
          <w:szCs w:val="22"/>
        </w:rPr>
        <w:t xml:space="preserve">grn_model_edges.csv: </w:t>
      </w:r>
      <w:r w:rsidRPr="00122E96">
        <w:rPr>
          <w:rFonts w:ascii="Times New Roman" w:hAnsi="Times New Roman" w:cs="Times New Roman"/>
          <w:sz w:val="22"/>
          <w:szCs w:val="22"/>
        </w:rPr>
        <w:t>the network itself, written as an edge list. Each row is one regulatory relationship: which TF, which target gene, and whether the TF activates or represses that target. There are 3,352 such edges linking 71 TFs to 965 target genes. Being a plain table means it can be reused by later scripts, which is exactly what the mapping script does.</w:t>
      </w:r>
    </w:p>
    <w:p w:rsidR="00122E96" w:rsidRPr="00122E96" w:rsidRDefault="00122E96" w:rsidP="00122E96">
      <w:pPr>
        <w:numPr>
          <w:ilvl w:val="0"/>
          <w:numId w:val="2"/>
        </w:numPr>
        <w:jc w:val="both"/>
        <w:rPr>
          <w:rFonts w:ascii="Times New Roman" w:hAnsi="Times New Roman" w:cs="Times New Roman"/>
          <w:sz w:val="22"/>
          <w:szCs w:val="22"/>
        </w:rPr>
      </w:pPr>
      <w:proofErr w:type="spellStart"/>
      <w:r w:rsidRPr="00122E96">
        <w:rPr>
          <w:rFonts w:ascii="Times New Roman" w:hAnsi="Times New Roman" w:cs="Times New Roman"/>
          <w:b/>
          <w:bCs/>
          <w:sz w:val="22"/>
          <w:szCs w:val="22"/>
        </w:rPr>
        <w:t>grn_model.graphml</w:t>
      </w:r>
      <w:proofErr w:type="spellEnd"/>
      <w:r w:rsidRPr="00122E96">
        <w:rPr>
          <w:rFonts w:ascii="Times New Roman" w:hAnsi="Times New Roman" w:cs="Times New Roman"/>
          <w:b/>
          <w:bCs/>
          <w:sz w:val="22"/>
          <w:szCs w:val="22"/>
        </w:rPr>
        <w:t xml:space="preserve">: </w:t>
      </w:r>
      <w:r w:rsidRPr="00122E96">
        <w:rPr>
          <w:rFonts w:ascii="Times New Roman" w:hAnsi="Times New Roman" w:cs="Times New Roman"/>
          <w:sz w:val="22"/>
          <w:szCs w:val="22"/>
        </w:rPr>
        <w:t xml:space="preserve">the same network in </w:t>
      </w:r>
      <w:proofErr w:type="spellStart"/>
      <w:r w:rsidRPr="00122E96">
        <w:rPr>
          <w:rFonts w:ascii="Times New Roman" w:hAnsi="Times New Roman" w:cs="Times New Roman"/>
          <w:sz w:val="22"/>
          <w:szCs w:val="22"/>
        </w:rPr>
        <w:t>GraphML</w:t>
      </w:r>
      <w:proofErr w:type="spellEnd"/>
      <w:r w:rsidRPr="00122E96">
        <w:rPr>
          <w:rFonts w:ascii="Times New Roman" w:hAnsi="Times New Roman" w:cs="Times New Roman"/>
          <w:sz w:val="22"/>
          <w:szCs w:val="22"/>
        </w:rPr>
        <w:t xml:space="preserve"> format, which is the format </w:t>
      </w:r>
      <w:proofErr w:type="spellStart"/>
      <w:r w:rsidRPr="00122E96">
        <w:rPr>
          <w:rFonts w:ascii="Times New Roman" w:hAnsi="Times New Roman" w:cs="Times New Roman"/>
          <w:sz w:val="22"/>
          <w:szCs w:val="22"/>
        </w:rPr>
        <w:t>Cytoscape</w:t>
      </w:r>
      <w:proofErr w:type="spellEnd"/>
      <w:r w:rsidRPr="00122E96">
        <w:rPr>
          <w:rFonts w:ascii="Times New Roman" w:hAnsi="Times New Roman" w:cs="Times New Roman"/>
          <w:sz w:val="22"/>
          <w:szCs w:val="22"/>
        </w:rPr>
        <w:t xml:space="preserve"> reads, so the network can actually be drawn and explored visually rather than only read as a table.</w:t>
      </w:r>
    </w:p>
    <w:p w:rsidR="00122E96" w:rsidRPr="00122E96" w:rsidRDefault="00122E96" w:rsidP="00122E96">
      <w:pPr>
        <w:numPr>
          <w:ilvl w:val="0"/>
          <w:numId w:val="2"/>
        </w:numPr>
        <w:jc w:val="both"/>
        <w:rPr>
          <w:rFonts w:ascii="Times New Roman" w:hAnsi="Times New Roman" w:cs="Times New Roman"/>
          <w:sz w:val="22"/>
          <w:szCs w:val="22"/>
        </w:rPr>
      </w:pPr>
      <w:r w:rsidRPr="00122E96">
        <w:rPr>
          <w:rFonts w:ascii="Times New Roman" w:hAnsi="Times New Roman" w:cs="Times New Roman"/>
          <w:b/>
          <w:bCs/>
          <w:sz w:val="22"/>
          <w:szCs w:val="22"/>
        </w:rPr>
        <w:t xml:space="preserve">tf_activity_dataset2.csv, tf_activity_barplot_dataset2.png: </w:t>
      </w:r>
      <w:r w:rsidRPr="00122E96">
        <w:rPr>
          <w:rFonts w:ascii="Times New Roman" w:hAnsi="Times New Roman" w:cs="Times New Roman"/>
          <w:sz w:val="22"/>
          <w:szCs w:val="22"/>
        </w:rPr>
        <w:t>the same TF scoring applied to a second dataset, in the same format as the Q1 versions.</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abstractNum w:abstractNumId="1" w15:restartNumberingAfterBreak="0">
    <w:nsid w:val="6C776CF0"/>
    <w:multiLevelType w:val="hybridMultilevel"/>
    <w:tmpl w:val="E2FA1B84"/>
    <w:lvl w:ilvl="0" w:tplc="F96C3D20">
      <w:start w:val="1"/>
      <w:numFmt w:val="bullet"/>
      <w:lvlText w:val="●"/>
      <w:lvlJc w:val="left"/>
      <w:pPr>
        <w:ind w:left="720" w:hanging="360"/>
      </w:pPr>
    </w:lvl>
    <w:lvl w:ilvl="1" w:tplc="616E3F58">
      <w:start w:val="1"/>
      <w:numFmt w:val="bullet"/>
      <w:lvlText w:val="○"/>
      <w:lvlJc w:val="left"/>
      <w:pPr>
        <w:ind w:left="1440" w:hanging="360"/>
      </w:pPr>
    </w:lvl>
    <w:lvl w:ilvl="2" w:tplc="66CE8224">
      <w:start w:val="1"/>
      <w:numFmt w:val="bullet"/>
      <w:lvlText w:val="■"/>
      <w:lvlJc w:val="left"/>
      <w:pPr>
        <w:ind w:left="2160" w:hanging="360"/>
      </w:pPr>
    </w:lvl>
    <w:lvl w:ilvl="3" w:tplc="2842F986">
      <w:start w:val="1"/>
      <w:numFmt w:val="bullet"/>
      <w:lvlText w:val="●"/>
      <w:lvlJc w:val="left"/>
      <w:pPr>
        <w:ind w:left="2880" w:hanging="360"/>
      </w:pPr>
    </w:lvl>
    <w:lvl w:ilvl="4" w:tplc="526C4BFC">
      <w:start w:val="1"/>
      <w:numFmt w:val="bullet"/>
      <w:lvlText w:val="○"/>
      <w:lvlJc w:val="left"/>
      <w:pPr>
        <w:ind w:left="3600" w:hanging="360"/>
      </w:pPr>
    </w:lvl>
    <w:lvl w:ilvl="5" w:tplc="9B58FB78">
      <w:start w:val="1"/>
      <w:numFmt w:val="bullet"/>
      <w:lvlText w:val="■"/>
      <w:lvlJc w:val="left"/>
      <w:pPr>
        <w:ind w:left="4320" w:hanging="360"/>
      </w:pPr>
    </w:lvl>
    <w:lvl w:ilvl="6" w:tplc="F2DA5B9C">
      <w:start w:val="1"/>
      <w:numFmt w:val="bullet"/>
      <w:lvlText w:val="●"/>
      <w:lvlJc w:val="left"/>
      <w:pPr>
        <w:ind w:left="5040" w:hanging="360"/>
      </w:pPr>
    </w:lvl>
    <w:lvl w:ilvl="7" w:tplc="D194B3FE">
      <w:start w:val="1"/>
      <w:numFmt w:val="bullet"/>
      <w:lvlText w:val="●"/>
      <w:lvlJc w:val="left"/>
      <w:pPr>
        <w:ind w:left="5760" w:hanging="360"/>
      </w:pPr>
    </w:lvl>
    <w:lvl w:ilvl="8" w:tplc="BEB23640">
      <w:start w:val="1"/>
      <w:numFmt w:val="bullet"/>
      <w:lvlText w:val="●"/>
      <w:lvlJc w:val="left"/>
      <w:pPr>
        <w:ind w:left="6480" w:hanging="360"/>
      </w:pPr>
    </w:lvl>
  </w:abstractNum>
  <w:num w:numId="1" w16cid:durableId="1791244677">
    <w:abstractNumId w:val="0"/>
    <w:lvlOverride w:ilvl="0">
      <w:startOverride w:val="1"/>
    </w:lvlOverride>
  </w:num>
  <w:num w:numId="2" w16cid:durableId="1387559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122E96"/>
    <w:rsid w:val="00320DC8"/>
    <w:rsid w:val="003D262E"/>
    <w:rsid w:val="0057501A"/>
    <w:rsid w:val="00713367"/>
    <w:rsid w:val="007459B5"/>
    <w:rsid w:val="00AA40CC"/>
    <w:rsid w:val="00D44BD5"/>
    <w:rsid w:val="00DE783A"/>
    <w:rsid w:val="00DF53A7"/>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3BB5EB"/>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F53A7"/>
    <w:rPr>
      <w:rFonts w:ascii="Calibri" w:eastAsia="Calibri" w:hAnsi="Calibri" w:cs="Calibri"/>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6</cp:revision>
  <dcterms:created xsi:type="dcterms:W3CDTF">2026-07-12T16:16:00Z</dcterms:created>
  <dcterms:modified xsi:type="dcterms:W3CDTF">2026-07-12T16:37:00Z</dcterms:modified>
</cp:coreProperties>
</file>