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F15DD5" w:rsidP="00F15DD5">
      <w:pPr>
        <w:jc w:val="center"/>
        <w:rPr>
          <w:rFonts w:ascii="Times New Roman" w:hAnsi="Times New Roman" w:cs="Times New Roman"/>
          <w:b/>
          <w:bCs/>
          <w:sz w:val="28"/>
          <w:szCs w:val="28"/>
          <w:lang w:val="en-US"/>
        </w:rPr>
      </w:pPr>
      <w:r w:rsidRPr="00F15DD5">
        <w:rPr>
          <w:rFonts w:ascii="Times New Roman" w:hAnsi="Times New Roman" w:cs="Times New Roman"/>
          <w:b/>
          <w:bCs/>
          <w:sz w:val="28"/>
          <w:szCs w:val="28"/>
          <w:lang w:val="en-US"/>
        </w:rPr>
        <w:t xml:space="preserve">STRING Functional Enrichment Analysis of the </w:t>
      </w:r>
      <w:proofErr w:type="spellStart"/>
      <w:r w:rsidRPr="00F15DD5">
        <w:rPr>
          <w:rFonts w:ascii="Times New Roman" w:hAnsi="Times New Roman" w:cs="Times New Roman"/>
          <w:b/>
          <w:bCs/>
          <w:sz w:val="28"/>
          <w:szCs w:val="28"/>
          <w:lang w:val="en-US"/>
        </w:rPr>
        <w:t>tert</w:t>
      </w:r>
      <w:proofErr w:type="spellEnd"/>
      <w:r w:rsidRPr="00F15DD5">
        <w:rPr>
          <w:rFonts w:ascii="Times New Roman" w:hAnsi="Times New Roman" w:cs="Times New Roman"/>
          <w:b/>
          <w:bCs/>
          <w:sz w:val="28"/>
          <w:szCs w:val="28"/>
          <w:lang w:val="en-US"/>
        </w:rPr>
        <w:t xml:space="preserve"> Muscle Transcriptome</w:t>
      </w:r>
    </w:p>
    <w:p w:rsidR="00F15DD5" w:rsidRDefault="00F15DD5" w:rsidP="00F15DD5">
      <w:pPr>
        <w:jc w:val="center"/>
        <w:rPr>
          <w:rFonts w:ascii="Times New Roman" w:hAnsi="Times New Roman" w:cs="Times New Roman"/>
          <w:b/>
          <w:bCs/>
          <w:sz w:val="28"/>
          <w:szCs w:val="28"/>
          <w:lang w:val="en-US"/>
        </w:rPr>
      </w:pPr>
    </w:p>
    <w:p w:rsidR="00F15DD5" w:rsidRDefault="00F15DD5" w:rsidP="00F15DD5">
      <w:pPr>
        <w:pStyle w:val="ListParagraph"/>
        <w:numPr>
          <w:ilvl w:val="0"/>
          <w:numId w:val="1"/>
        </w:numPr>
        <w:ind w:left="284" w:hanging="284"/>
        <w:rPr>
          <w:rFonts w:ascii="Times New Roman" w:hAnsi="Times New Roman" w:cs="Times New Roman"/>
          <w:b/>
          <w:bCs/>
          <w:lang w:val="en-US"/>
        </w:rPr>
      </w:pPr>
      <w:r w:rsidRPr="00F15DD5">
        <w:rPr>
          <w:rFonts w:ascii="Times New Roman" w:hAnsi="Times New Roman" w:cs="Times New Roman"/>
          <w:b/>
          <w:bCs/>
          <w:lang w:val="en-US"/>
        </w:rPr>
        <w:t>Why this analysis?</w:t>
      </w:r>
      <w:r>
        <w:rPr>
          <w:rFonts w:ascii="Times New Roman" w:hAnsi="Times New Roman" w:cs="Times New Roman"/>
          <w:b/>
          <w:bCs/>
          <w:lang w:val="en-US"/>
        </w:rPr>
        <w:t xml:space="preserve"> Aim?</w:t>
      </w:r>
    </w:p>
    <w:p w:rsidR="00F15DD5" w:rsidRDefault="00F15DD5" w:rsidP="00F15DD5">
      <w:pPr>
        <w:rPr>
          <w:rFonts w:ascii="Times New Roman" w:hAnsi="Times New Roman" w:cs="Times New Roman"/>
          <w:sz w:val="22"/>
          <w:szCs w:val="22"/>
        </w:rPr>
      </w:pPr>
    </w:p>
    <w:p w:rsidR="00F15DD5" w:rsidRDefault="00F15DD5" w:rsidP="00F15DD5">
      <w:pPr>
        <w:jc w:val="both"/>
        <w:rPr>
          <w:rFonts w:ascii="Times New Roman" w:hAnsi="Times New Roman" w:cs="Times New Roman"/>
          <w:sz w:val="22"/>
          <w:szCs w:val="22"/>
        </w:rPr>
      </w:pPr>
      <w:r w:rsidRPr="00F15DD5">
        <w:rPr>
          <w:rFonts w:ascii="Times New Roman" w:hAnsi="Times New Roman" w:cs="Times New Roman"/>
          <w:sz w:val="22"/>
          <w:szCs w:val="22"/>
        </w:rPr>
        <w:t>The aim was to see what “common changes” show up when the differentially expressed genes (DEGs) are looked at as a group, and to cross-check the GRN results using a completely independent method.</w:t>
      </w:r>
      <w:r>
        <w:rPr>
          <w:rFonts w:ascii="Times New Roman" w:hAnsi="Times New Roman" w:cs="Times New Roman"/>
          <w:sz w:val="22"/>
          <w:szCs w:val="22"/>
        </w:rPr>
        <w:t xml:space="preserve"> </w:t>
      </w:r>
      <w:r w:rsidRPr="00F15DD5">
        <w:rPr>
          <w:rFonts w:ascii="Times New Roman" w:hAnsi="Times New Roman" w:cs="Times New Roman"/>
          <w:sz w:val="22"/>
          <w:szCs w:val="22"/>
        </w:rPr>
        <w:t xml:space="preserve">This is useful because the GRN model is built from </w:t>
      </w:r>
      <w:proofErr w:type="spellStart"/>
      <w:r w:rsidRPr="00F15DD5">
        <w:rPr>
          <w:rFonts w:ascii="Times New Roman" w:hAnsi="Times New Roman" w:cs="Times New Roman"/>
          <w:sz w:val="22"/>
          <w:szCs w:val="22"/>
        </w:rPr>
        <w:t>CollecTRI</w:t>
      </w:r>
      <w:proofErr w:type="spellEnd"/>
      <w:r w:rsidRPr="00F15DD5">
        <w:rPr>
          <w:rFonts w:ascii="Times New Roman" w:hAnsi="Times New Roman" w:cs="Times New Roman"/>
          <w:sz w:val="22"/>
          <w:szCs w:val="22"/>
        </w:rPr>
        <w:t xml:space="preserve">, which only contains </w:t>
      </w:r>
      <w:r w:rsidRPr="00F15DD5">
        <w:rPr>
          <w:rFonts w:ascii="Times New Roman" w:hAnsi="Times New Roman" w:cs="Times New Roman"/>
          <w:i/>
          <w:iCs/>
          <w:sz w:val="22"/>
          <w:szCs w:val="22"/>
        </w:rPr>
        <w:t>transcriptional</w:t>
      </w:r>
      <w:r w:rsidRPr="00F15DD5">
        <w:rPr>
          <w:rFonts w:ascii="Times New Roman" w:hAnsi="Times New Roman" w:cs="Times New Roman"/>
          <w:sz w:val="22"/>
          <w:szCs w:val="22"/>
        </w:rPr>
        <w:t xml:space="preserve"> relationships (transcription factor</w:t>
      </w:r>
      <w:r>
        <w:rPr>
          <w:rFonts w:ascii="Times New Roman" w:hAnsi="Times New Roman" w:cs="Times New Roman"/>
          <w:sz w:val="22"/>
          <w:szCs w:val="22"/>
        </w:rPr>
        <w:t xml:space="preserve"> -&gt; </w:t>
      </w:r>
      <w:r w:rsidRPr="00F15DD5">
        <w:rPr>
          <w:rFonts w:ascii="Times New Roman" w:hAnsi="Times New Roman" w:cs="Times New Roman"/>
          <w:sz w:val="22"/>
          <w:szCs w:val="22"/>
        </w:rPr>
        <w:t>target gene). It cannot see other kinds of biology, such as proteins that physically bind each other. STRING is broader: it looks at how the whole set of genes is functionally connected, using many types of evidence. So STRING is a good way to (a) confirm the GRN findings from a different angle, and (b) pick up biology the GRN was blind to</w:t>
      </w:r>
      <w:r>
        <w:rPr>
          <w:rFonts w:ascii="Times New Roman" w:hAnsi="Times New Roman" w:cs="Times New Roman"/>
          <w:sz w:val="22"/>
          <w:szCs w:val="22"/>
        </w:rPr>
        <w:t>.</w:t>
      </w:r>
    </w:p>
    <w:p w:rsidR="00F15DD5" w:rsidRPr="00F15DD5" w:rsidRDefault="00F15DD5" w:rsidP="00F15DD5">
      <w:pPr>
        <w:rPr>
          <w:rFonts w:ascii="Times New Roman" w:hAnsi="Times New Roman" w:cs="Times New Roman"/>
          <w:sz w:val="22"/>
          <w:szCs w:val="22"/>
          <w:lang w:val="en-US"/>
        </w:rPr>
      </w:pPr>
    </w:p>
    <w:p w:rsidR="00F15DD5" w:rsidRDefault="00F15DD5"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About STRING</w:t>
      </w:r>
    </w:p>
    <w:p w:rsidR="00F15DD5" w:rsidRDefault="00F15DD5" w:rsidP="00F15DD5">
      <w:pPr>
        <w:rPr>
          <w:rFonts w:ascii="Times New Roman" w:hAnsi="Times New Roman" w:cs="Times New Roman"/>
          <w:b/>
          <w:bCs/>
          <w:lang w:val="en-US"/>
        </w:rPr>
      </w:pPr>
    </w:p>
    <w:p w:rsidR="00F15DD5" w:rsidRPr="00F15DD5" w:rsidRDefault="00F15DD5" w:rsidP="00F15DD5">
      <w:pPr>
        <w:jc w:val="both"/>
        <w:rPr>
          <w:rFonts w:ascii="Times New Roman" w:hAnsi="Times New Roman" w:cs="Times New Roman"/>
          <w:sz w:val="22"/>
          <w:szCs w:val="22"/>
        </w:rPr>
      </w:pPr>
      <w:r w:rsidRPr="00F15DD5">
        <w:rPr>
          <w:rFonts w:ascii="Times New Roman" w:hAnsi="Times New Roman" w:cs="Times New Roman"/>
          <w:sz w:val="22"/>
          <w:szCs w:val="22"/>
        </w:rPr>
        <w:t>STRING (Search Tool for the Retrieval of Interacting Genes/Proteins) is an online database of known and predicted protein–protein associations. For each pair of proteins it combines several kinds of evidence</w:t>
      </w:r>
      <w:r>
        <w:rPr>
          <w:rFonts w:ascii="Times New Roman" w:hAnsi="Times New Roman" w:cs="Times New Roman"/>
          <w:sz w:val="22"/>
          <w:szCs w:val="22"/>
        </w:rPr>
        <w:t xml:space="preserve">: </w:t>
      </w:r>
      <w:r w:rsidRPr="00F15DD5">
        <w:rPr>
          <w:rFonts w:ascii="Times New Roman" w:hAnsi="Times New Roman" w:cs="Times New Roman"/>
          <w:sz w:val="22"/>
          <w:szCs w:val="22"/>
        </w:rPr>
        <w:t>laboratory experiments, co-expression, shared pathways in curated databases, and automatic text-mining of the literature into a single confidence score.</w:t>
      </w:r>
      <w:r>
        <w:rPr>
          <w:rFonts w:ascii="Times New Roman" w:hAnsi="Times New Roman" w:cs="Times New Roman"/>
          <w:sz w:val="22"/>
          <w:szCs w:val="22"/>
        </w:rPr>
        <w:t xml:space="preserve"> </w:t>
      </w:r>
      <w:r w:rsidRPr="00F15DD5">
        <w:rPr>
          <w:rFonts w:ascii="Times New Roman" w:hAnsi="Times New Roman" w:cs="Times New Roman"/>
          <w:sz w:val="22"/>
          <w:szCs w:val="22"/>
        </w:rPr>
        <w:t>For this project the important feature is STRING’s functional enrichment analysis. Given a list of genes, STRING asks: “are any biological pathways, GO terms or diseases over-represented in this list compared to what you’d expect by chance?” This tells you what the gene list is</w:t>
      </w:r>
      <w:r>
        <w:rPr>
          <w:rFonts w:ascii="Times New Roman" w:hAnsi="Times New Roman" w:cs="Times New Roman"/>
          <w:sz w:val="22"/>
          <w:szCs w:val="22"/>
        </w:rPr>
        <w:t xml:space="preserve"> about </w:t>
      </w:r>
      <w:r w:rsidRPr="00F15DD5">
        <w:rPr>
          <w:rFonts w:ascii="Times New Roman" w:hAnsi="Times New Roman" w:cs="Times New Roman"/>
          <w:sz w:val="22"/>
          <w:szCs w:val="22"/>
        </w:rPr>
        <w:t>as a group, instead of looking at genes one at a time</w:t>
      </w:r>
      <w:r>
        <w:rPr>
          <w:rFonts w:ascii="Times New Roman" w:hAnsi="Times New Roman" w:cs="Times New Roman"/>
          <w:sz w:val="22"/>
          <w:szCs w:val="22"/>
        </w:rPr>
        <w:t>.</w:t>
      </w:r>
    </w:p>
    <w:p w:rsidR="00F15DD5" w:rsidRPr="00F15DD5" w:rsidRDefault="00F15DD5" w:rsidP="00F15DD5">
      <w:pPr>
        <w:rPr>
          <w:rFonts w:ascii="Times New Roman" w:hAnsi="Times New Roman" w:cs="Times New Roman"/>
          <w:b/>
          <w:bCs/>
          <w:lang w:val="en-US"/>
        </w:rPr>
      </w:pPr>
    </w:p>
    <w:p w:rsidR="00F15DD5" w:rsidRDefault="00F15DD5"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Inputs to STRING</w:t>
      </w:r>
    </w:p>
    <w:p w:rsidR="00F15DD5" w:rsidRDefault="00F15DD5" w:rsidP="00F15DD5">
      <w:pPr>
        <w:rPr>
          <w:rFonts w:ascii="Times New Roman" w:hAnsi="Times New Roman" w:cs="Times New Roman"/>
          <w:b/>
          <w:bCs/>
          <w:lang w:val="en-US"/>
        </w:rPr>
      </w:pPr>
    </w:p>
    <w:p w:rsidR="003C1FEC" w:rsidRDefault="003C1FEC" w:rsidP="00F15DD5">
      <w:pPr>
        <w:jc w:val="both"/>
        <w:rPr>
          <w:rFonts w:ascii="Times New Roman" w:hAnsi="Times New Roman" w:cs="Times New Roman"/>
          <w:sz w:val="22"/>
          <w:szCs w:val="22"/>
        </w:rPr>
      </w:pPr>
      <w:r w:rsidRPr="003C1FEC">
        <w:rPr>
          <w:rFonts w:ascii="Times New Roman" w:hAnsi="Times New Roman" w:cs="Times New Roman"/>
          <w:sz w:val="22"/>
          <w:szCs w:val="22"/>
        </w:rPr>
        <w:t>Input gene lists: string_input_human_symbols.txt (pooled), string_input_DOWN_in_MUT_human.txt, string_input_UP_in_MUT_human.txt</w:t>
      </w:r>
    </w:p>
    <w:p w:rsidR="003C1FEC" w:rsidRDefault="003C1FEC" w:rsidP="00F15DD5">
      <w:pPr>
        <w:jc w:val="both"/>
        <w:rPr>
          <w:rFonts w:ascii="Times New Roman" w:hAnsi="Times New Roman" w:cs="Times New Roman"/>
          <w:sz w:val="22"/>
          <w:szCs w:val="22"/>
        </w:rPr>
      </w:pPr>
    </w:p>
    <w:p w:rsidR="00F15DD5" w:rsidRPr="00F15DD5" w:rsidRDefault="00F15DD5" w:rsidP="00F15DD5">
      <w:pPr>
        <w:jc w:val="both"/>
        <w:rPr>
          <w:rFonts w:ascii="Times New Roman" w:hAnsi="Times New Roman" w:cs="Times New Roman"/>
          <w:sz w:val="22"/>
          <w:szCs w:val="22"/>
        </w:rPr>
      </w:pPr>
      <w:r w:rsidRPr="00F15DD5">
        <w:rPr>
          <w:rFonts w:ascii="Times New Roman" w:hAnsi="Times New Roman" w:cs="Times New Roman"/>
          <w:sz w:val="22"/>
          <w:szCs w:val="22"/>
        </w:rPr>
        <w:t>The starting point was the Q1 (genotype) DEG list</w:t>
      </w:r>
      <w:r>
        <w:rPr>
          <w:rFonts w:ascii="Times New Roman" w:hAnsi="Times New Roman" w:cs="Times New Roman"/>
          <w:sz w:val="22"/>
          <w:szCs w:val="22"/>
        </w:rPr>
        <w:t xml:space="preserve"> – the </w:t>
      </w:r>
      <w:r w:rsidRPr="00F15DD5">
        <w:rPr>
          <w:rFonts w:ascii="Times New Roman" w:hAnsi="Times New Roman" w:cs="Times New Roman"/>
          <w:sz w:val="22"/>
          <w:szCs w:val="22"/>
        </w:rPr>
        <w:t>genes significantly different between mutants and wild-type at 18 months (q &lt; 0.05 and |log2 fold change| &gt; 1). This gave 5,541 DEGs (4,252 down and 1,289 up in mutants).</w:t>
      </w:r>
    </w:p>
    <w:p w:rsidR="00F15DD5" w:rsidRPr="00F15DD5" w:rsidRDefault="00F15DD5" w:rsidP="00F15DD5">
      <w:pPr>
        <w:jc w:val="both"/>
        <w:rPr>
          <w:rFonts w:ascii="Times New Roman" w:hAnsi="Times New Roman" w:cs="Times New Roman"/>
          <w:sz w:val="22"/>
          <w:szCs w:val="22"/>
        </w:rPr>
      </w:pPr>
      <w:r w:rsidRPr="00F15DD5">
        <w:rPr>
          <w:rFonts w:ascii="Times New Roman" w:hAnsi="Times New Roman" w:cs="Times New Roman"/>
          <w:sz w:val="22"/>
          <w:szCs w:val="22"/>
        </w:rPr>
        <w:t>Because human STRING is much better annotated than zebrafish and because the GRN was also built on human orthologues</w:t>
      </w:r>
      <w:r>
        <w:rPr>
          <w:rFonts w:ascii="Times New Roman" w:hAnsi="Times New Roman" w:cs="Times New Roman"/>
          <w:sz w:val="22"/>
          <w:szCs w:val="22"/>
        </w:rPr>
        <w:t>, the</w:t>
      </w:r>
      <w:r w:rsidRPr="00F15DD5">
        <w:rPr>
          <w:rFonts w:ascii="Times New Roman" w:hAnsi="Times New Roman" w:cs="Times New Roman"/>
          <w:sz w:val="22"/>
          <w:szCs w:val="22"/>
        </w:rPr>
        <w:t xml:space="preserve"> zebrafish DEGs </w:t>
      </w:r>
      <w:r>
        <w:rPr>
          <w:rFonts w:ascii="Times New Roman" w:hAnsi="Times New Roman" w:cs="Times New Roman"/>
          <w:sz w:val="22"/>
          <w:szCs w:val="22"/>
        </w:rPr>
        <w:t xml:space="preserve">were mapped </w:t>
      </w:r>
      <w:r w:rsidRPr="00F15DD5">
        <w:rPr>
          <w:rFonts w:ascii="Times New Roman" w:hAnsi="Times New Roman" w:cs="Times New Roman"/>
          <w:sz w:val="22"/>
          <w:szCs w:val="22"/>
        </w:rPr>
        <w:t xml:space="preserve">to their human equivalents using </w:t>
      </w:r>
      <w:proofErr w:type="spellStart"/>
      <w:r w:rsidRPr="00F15DD5">
        <w:rPr>
          <w:rFonts w:ascii="Times New Roman" w:hAnsi="Times New Roman" w:cs="Times New Roman"/>
          <w:sz w:val="22"/>
          <w:szCs w:val="22"/>
        </w:rPr>
        <w:t>g:Profiler</w:t>
      </w:r>
      <w:proofErr w:type="spellEnd"/>
      <w:r w:rsidRPr="00F15DD5">
        <w:rPr>
          <w:rFonts w:ascii="Times New Roman" w:hAnsi="Times New Roman" w:cs="Times New Roman"/>
          <w:sz w:val="22"/>
          <w:szCs w:val="22"/>
        </w:rPr>
        <w:t xml:space="preserve"> (</w:t>
      </w:r>
      <w:proofErr w:type="spellStart"/>
      <w:r w:rsidRPr="00F15DD5">
        <w:rPr>
          <w:rFonts w:ascii="Times New Roman" w:hAnsi="Times New Roman" w:cs="Times New Roman"/>
          <w:sz w:val="22"/>
          <w:szCs w:val="22"/>
        </w:rPr>
        <w:t>g:Orth</w:t>
      </w:r>
      <w:proofErr w:type="spellEnd"/>
      <w:r w:rsidRPr="00F15DD5">
        <w:rPr>
          <w:rFonts w:ascii="Times New Roman" w:hAnsi="Times New Roman" w:cs="Times New Roman"/>
          <w:sz w:val="22"/>
          <w:szCs w:val="22"/>
        </w:rPr>
        <w:t>) before running STRING. Mapping is lossy (zebrafish underwent a whole-genome duplication, so not every gene has a clean one-to-one human match), so the final input lists are a little smaller than the DEG counts.</w:t>
      </w:r>
    </w:p>
    <w:p w:rsidR="00F15DD5" w:rsidRDefault="00F15DD5" w:rsidP="00F15DD5">
      <w:pPr>
        <w:jc w:val="both"/>
        <w:rPr>
          <w:rFonts w:ascii="Times New Roman" w:hAnsi="Times New Roman" w:cs="Times New Roman"/>
          <w:sz w:val="22"/>
          <w:szCs w:val="22"/>
        </w:rPr>
      </w:pPr>
    </w:p>
    <w:p w:rsidR="00F15DD5" w:rsidRDefault="00F15DD5" w:rsidP="00F15DD5">
      <w:pPr>
        <w:jc w:val="both"/>
        <w:rPr>
          <w:rFonts w:ascii="Times New Roman" w:hAnsi="Times New Roman" w:cs="Times New Roman"/>
          <w:sz w:val="22"/>
          <w:szCs w:val="22"/>
        </w:rPr>
      </w:pPr>
      <w:r w:rsidRPr="00F15DD5">
        <w:rPr>
          <w:rFonts w:ascii="Times New Roman" w:hAnsi="Times New Roman" w:cs="Times New Roman"/>
          <w:sz w:val="22"/>
          <w:szCs w:val="22"/>
        </w:rPr>
        <w:t xml:space="preserve">STRING </w:t>
      </w:r>
      <w:r>
        <w:rPr>
          <w:rFonts w:ascii="Times New Roman" w:hAnsi="Times New Roman" w:cs="Times New Roman"/>
          <w:sz w:val="22"/>
          <w:szCs w:val="22"/>
        </w:rPr>
        <w:t xml:space="preserve">was run </w:t>
      </w:r>
      <w:r w:rsidRPr="00F15DD5">
        <w:rPr>
          <w:rFonts w:ascii="Times New Roman" w:hAnsi="Times New Roman" w:cs="Times New Roman"/>
          <w:sz w:val="22"/>
          <w:szCs w:val="22"/>
        </w:rPr>
        <w:t>three times:</w:t>
      </w:r>
    </w:p>
    <w:p w:rsidR="00F15DD5" w:rsidRPr="00F15DD5" w:rsidRDefault="00F15DD5" w:rsidP="00F15DD5">
      <w:pPr>
        <w:jc w:val="both"/>
        <w:rPr>
          <w:rFonts w:ascii="Times New Roman" w:hAnsi="Times New Roman" w:cs="Times New Roman"/>
          <w:sz w:val="22"/>
          <w:szCs w:val="22"/>
        </w:rPr>
      </w:pPr>
    </w:p>
    <w:tbl>
      <w:tblPr>
        <w:tblStyle w:val="TableGrid"/>
        <w:tblW w:w="9360" w:type="dxa"/>
        <w:tblLook w:val="0000" w:firstRow="0" w:lastRow="0" w:firstColumn="0" w:lastColumn="0" w:noHBand="0" w:noVBand="0"/>
      </w:tblPr>
      <w:tblGrid>
        <w:gridCol w:w="2600"/>
        <w:gridCol w:w="2400"/>
        <w:gridCol w:w="4360"/>
      </w:tblGrid>
      <w:tr w:rsidR="00F15DD5" w:rsidRPr="00F15DD5" w:rsidTr="00F15DD5">
        <w:tc>
          <w:tcPr>
            <w:tcW w:w="2600" w:type="dxa"/>
          </w:tcPr>
          <w:p w:rsidR="00F15DD5" w:rsidRPr="00F15DD5" w:rsidRDefault="00F15DD5" w:rsidP="00F15DD5">
            <w:pPr>
              <w:jc w:val="center"/>
              <w:rPr>
                <w:rFonts w:ascii="Times New Roman" w:hAnsi="Times New Roman" w:cs="Times New Roman"/>
                <w:sz w:val="22"/>
                <w:szCs w:val="22"/>
              </w:rPr>
            </w:pPr>
            <w:r w:rsidRPr="00F15DD5">
              <w:rPr>
                <w:rFonts w:ascii="Times New Roman" w:hAnsi="Times New Roman" w:cs="Times New Roman"/>
                <w:b/>
                <w:bCs/>
                <w:sz w:val="22"/>
                <w:szCs w:val="22"/>
              </w:rPr>
              <w:t>Run</w:t>
            </w:r>
          </w:p>
        </w:tc>
        <w:tc>
          <w:tcPr>
            <w:tcW w:w="2400" w:type="dxa"/>
          </w:tcPr>
          <w:p w:rsidR="00F15DD5" w:rsidRPr="00F15DD5" w:rsidRDefault="00F15DD5" w:rsidP="00F15DD5">
            <w:pPr>
              <w:jc w:val="center"/>
              <w:rPr>
                <w:rFonts w:ascii="Times New Roman" w:hAnsi="Times New Roman" w:cs="Times New Roman"/>
                <w:sz w:val="22"/>
                <w:szCs w:val="22"/>
              </w:rPr>
            </w:pPr>
            <w:r w:rsidRPr="00F15DD5">
              <w:rPr>
                <w:rFonts w:ascii="Times New Roman" w:hAnsi="Times New Roman" w:cs="Times New Roman"/>
                <w:b/>
                <w:bCs/>
                <w:sz w:val="22"/>
                <w:szCs w:val="22"/>
              </w:rPr>
              <w:t>Genes going in (human symbols)</w:t>
            </w:r>
          </w:p>
        </w:tc>
        <w:tc>
          <w:tcPr>
            <w:tcW w:w="4360" w:type="dxa"/>
          </w:tcPr>
          <w:p w:rsidR="00F15DD5" w:rsidRPr="00F15DD5" w:rsidRDefault="00F15DD5" w:rsidP="00F15DD5">
            <w:pPr>
              <w:jc w:val="center"/>
              <w:rPr>
                <w:rFonts w:ascii="Times New Roman" w:hAnsi="Times New Roman" w:cs="Times New Roman"/>
                <w:sz w:val="22"/>
                <w:szCs w:val="22"/>
              </w:rPr>
            </w:pPr>
            <w:r w:rsidRPr="00F15DD5">
              <w:rPr>
                <w:rFonts w:ascii="Times New Roman" w:hAnsi="Times New Roman" w:cs="Times New Roman"/>
                <w:b/>
                <w:bCs/>
                <w:sz w:val="22"/>
                <w:szCs w:val="22"/>
              </w:rPr>
              <w:t>Question it answers</w:t>
            </w:r>
          </w:p>
        </w:tc>
      </w:tr>
      <w:tr w:rsidR="00F15DD5" w:rsidRPr="00F15DD5" w:rsidTr="00F15DD5">
        <w:tc>
          <w:tcPr>
            <w:tcW w:w="260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All DEGs (pooled)</w:t>
            </w:r>
          </w:p>
        </w:tc>
        <w:tc>
          <w:tcPr>
            <w:tcW w:w="240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3,698</w:t>
            </w:r>
          </w:p>
        </w:tc>
        <w:tc>
          <w:tcPr>
            <w:tcW w:w="436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the overall picture</w:t>
            </w:r>
          </w:p>
        </w:tc>
      </w:tr>
      <w:tr w:rsidR="00F15DD5" w:rsidRPr="00F15DD5" w:rsidTr="00F15DD5">
        <w:tc>
          <w:tcPr>
            <w:tcW w:w="260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Down in mutants</w:t>
            </w:r>
          </w:p>
        </w:tc>
        <w:tc>
          <w:tcPr>
            <w:tcW w:w="240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2,879</w:t>
            </w:r>
          </w:p>
        </w:tc>
        <w:tc>
          <w:tcPr>
            <w:tcW w:w="436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what is switched OFF</w:t>
            </w:r>
          </w:p>
        </w:tc>
      </w:tr>
      <w:tr w:rsidR="00F15DD5" w:rsidRPr="00F15DD5" w:rsidTr="00F15DD5">
        <w:tc>
          <w:tcPr>
            <w:tcW w:w="260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Up in mutants</w:t>
            </w:r>
          </w:p>
        </w:tc>
        <w:tc>
          <w:tcPr>
            <w:tcW w:w="240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917</w:t>
            </w:r>
          </w:p>
        </w:tc>
        <w:tc>
          <w:tcPr>
            <w:tcW w:w="4360" w:type="dxa"/>
          </w:tcPr>
          <w:p w:rsidR="00F15DD5" w:rsidRPr="00F15DD5" w:rsidRDefault="00F15DD5" w:rsidP="00F15DD5">
            <w:pPr>
              <w:rPr>
                <w:rFonts w:ascii="Times New Roman" w:hAnsi="Times New Roman" w:cs="Times New Roman"/>
                <w:sz w:val="22"/>
                <w:szCs w:val="22"/>
              </w:rPr>
            </w:pPr>
            <w:r w:rsidRPr="00F15DD5">
              <w:rPr>
                <w:rFonts w:ascii="Times New Roman" w:hAnsi="Times New Roman" w:cs="Times New Roman"/>
                <w:sz w:val="22"/>
                <w:szCs w:val="22"/>
              </w:rPr>
              <w:t>what is switched ON</w:t>
            </w:r>
          </w:p>
        </w:tc>
      </w:tr>
    </w:tbl>
    <w:p w:rsidR="00F15DD5" w:rsidRPr="00F15DD5" w:rsidRDefault="00F15DD5" w:rsidP="00F15DD5">
      <w:pPr>
        <w:rPr>
          <w:rFonts w:ascii="Times New Roman" w:hAnsi="Times New Roman" w:cs="Times New Roman"/>
          <w:sz w:val="22"/>
          <w:szCs w:val="22"/>
        </w:rPr>
      </w:pPr>
    </w:p>
    <w:p w:rsidR="00F15DD5" w:rsidRPr="00F15DD5" w:rsidRDefault="00F15DD5" w:rsidP="00F15DD5">
      <w:pPr>
        <w:jc w:val="both"/>
        <w:rPr>
          <w:rFonts w:ascii="Times New Roman" w:hAnsi="Times New Roman" w:cs="Times New Roman"/>
          <w:sz w:val="22"/>
          <w:szCs w:val="22"/>
        </w:rPr>
      </w:pPr>
      <w:r w:rsidRPr="00F15DD5">
        <w:rPr>
          <w:rFonts w:ascii="Times New Roman" w:hAnsi="Times New Roman" w:cs="Times New Roman"/>
          <w:b/>
          <w:bCs/>
          <w:sz w:val="22"/>
          <w:szCs w:val="22"/>
        </w:rPr>
        <w:t xml:space="preserve">STRING settings: </w:t>
      </w:r>
      <w:r w:rsidRPr="00F15DD5">
        <w:rPr>
          <w:rFonts w:ascii="Times New Roman" w:hAnsi="Times New Roman" w:cs="Times New Roman"/>
          <w:sz w:val="22"/>
          <w:szCs w:val="22"/>
        </w:rPr>
        <w:t>organism</w:t>
      </w:r>
      <w:r>
        <w:rPr>
          <w:rFonts w:ascii="Times New Roman" w:hAnsi="Times New Roman" w:cs="Times New Roman"/>
          <w:sz w:val="22"/>
          <w:szCs w:val="22"/>
        </w:rPr>
        <w:t xml:space="preserve"> = </w:t>
      </w:r>
      <w:r w:rsidRPr="00F15DD5">
        <w:rPr>
          <w:rFonts w:ascii="Times New Roman" w:hAnsi="Times New Roman" w:cs="Times New Roman"/>
          <w:sz w:val="22"/>
          <w:szCs w:val="22"/>
        </w:rPr>
        <w:t>Homo sapiens; statistical background</w:t>
      </w:r>
      <w:r>
        <w:rPr>
          <w:rFonts w:ascii="Times New Roman" w:hAnsi="Times New Roman" w:cs="Times New Roman"/>
          <w:sz w:val="22"/>
          <w:szCs w:val="22"/>
        </w:rPr>
        <w:t xml:space="preserve"> = </w:t>
      </w:r>
      <w:r w:rsidRPr="00F15DD5">
        <w:rPr>
          <w:rFonts w:ascii="Times New Roman" w:hAnsi="Times New Roman" w:cs="Times New Roman"/>
          <w:sz w:val="22"/>
          <w:szCs w:val="22"/>
        </w:rPr>
        <w:t>whole genome; standard confidence. (The interactive network picture is switched off automatically for large lists</w:t>
      </w:r>
      <w:r>
        <w:rPr>
          <w:rFonts w:ascii="Times New Roman" w:hAnsi="Times New Roman" w:cs="Times New Roman"/>
          <w:sz w:val="22"/>
          <w:szCs w:val="22"/>
        </w:rPr>
        <w:t>. T</w:t>
      </w:r>
      <w:r w:rsidRPr="00F15DD5">
        <w:rPr>
          <w:rFonts w:ascii="Times New Roman" w:hAnsi="Times New Roman" w:cs="Times New Roman"/>
          <w:sz w:val="22"/>
          <w:szCs w:val="22"/>
        </w:rPr>
        <w:t>hat is normal and does not affect the enrichment results.)</w:t>
      </w:r>
    </w:p>
    <w:p w:rsidR="00F15DD5" w:rsidRPr="00F15DD5" w:rsidRDefault="00F15DD5" w:rsidP="00F15DD5">
      <w:pPr>
        <w:rPr>
          <w:rFonts w:ascii="Times New Roman" w:hAnsi="Times New Roman" w:cs="Times New Roman"/>
          <w:b/>
          <w:bCs/>
          <w:lang w:val="en-US"/>
        </w:rPr>
      </w:pPr>
    </w:p>
    <w:p w:rsidR="00F15DD5" w:rsidRDefault="00F15DD5"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Methodology</w:t>
      </w:r>
    </w:p>
    <w:p w:rsidR="00F15DD5" w:rsidRDefault="00F15DD5" w:rsidP="00F15DD5">
      <w:pPr>
        <w:rPr>
          <w:rFonts w:ascii="Times New Roman" w:hAnsi="Times New Roman" w:cs="Times New Roman"/>
          <w:b/>
          <w:bCs/>
          <w:lang w:val="en-US"/>
        </w:rPr>
      </w:pP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t>Took the Q1 DEG results table and kept the significant genes (q &lt; 0.05, |log2FC| &gt; 1).</w:t>
      </w: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t>Split them into “up in mutant” and “down in mutant” sets.</w:t>
      </w: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t xml:space="preserve">Mapped each set from zebrafish to human symbols with </w:t>
      </w:r>
      <w:proofErr w:type="spellStart"/>
      <w:r w:rsidRPr="00F15DD5">
        <w:rPr>
          <w:rFonts w:ascii="Times New Roman" w:hAnsi="Times New Roman" w:cs="Times New Roman"/>
          <w:sz w:val="22"/>
          <w:szCs w:val="22"/>
        </w:rPr>
        <w:t>g:Profiler</w:t>
      </w:r>
      <w:proofErr w:type="spellEnd"/>
      <w:r w:rsidRPr="00F15DD5">
        <w:rPr>
          <w:rFonts w:ascii="Times New Roman" w:hAnsi="Times New Roman" w:cs="Times New Roman"/>
          <w:sz w:val="22"/>
          <w:szCs w:val="22"/>
        </w:rPr>
        <w:t>.</w:t>
      </w: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lastRenderedPageBreak/>
        <w:t>Pasted each list into STRING’s “Multiple proteins” search, organism = Homo sapiens.</w:t>
      </w: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t>Let STRING build the network and compute functional enrichment.</w:t>
      </w: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t>Exported the results: the full enrichment table (“all enriched terms”, tab-separated) and the Biological Process enrichment plot for each run.</w:t>
      </w:r>
    </w:p>
    <w:p w:rsidR="00F15DD5" w:rsidRPr="00F15DD5" w:rsidRDefault="00F15DD5" w:rsidP="003C1FEC">
      <w:pPr>
        <w:numPr>
          <w:ilvl w:val="0"/>
          <w:numId w:val="2"/>
        </w:numPr>
        <w:jc w:val="both"/>
        <w:rPr>
          <w:rFonts w:ascii="Times New Roman" w:hAnsi="Times New Roman" w:cs="Times New Roman"/>
          <w:sz w:val="22"/>
          <w:szCs w:val="22"/>
        </w:rPr>
      </w:pPr>
      <w:r w:rsidRPr="00F15DD5">
        <w:rPr>
          <w:rFonts w:ascii="Times New Roman" w:hAnsi="Times New Roman" w:cs="Times New Roman"/>
          <w:sz w:val="22"/>
          <w:szCs w:val="22"/>
        </w:rPr>
        <w:t>Cross-referenced the enriched terms and their member genes against the GRN’s TF-target lists (done in Python).</w:t>
      </w:r>
    </w:p>
    <w:p w:rsidR="00F15DD5" w:rsidRPr="00F15DD5" w:rsidRDefault="00F15DD5" w:rsidP="00F15DD5">
      <w:pPr>
        <w:rPr>
          <w:rFonts w:ascii="Times New Roman" w:hAnsi="Times New Roman" w:cs="Times New Roman"/>
          <w:b/>
          <w:bCs/>
          <w:lang w:val="en-US"/>
        </w:rPr>
      </w:pPr>
    </w:p>
    <w:p w:rsidR="00F15DD5" w:rsidRDefault="003C1FEC"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Outputs</w:t>
      </w:r>
    </w:p>
    <w:p w:rsidR="003C1FEC" w:rsidRDefault="003C1FEC" w:rsidP="003C1FEC">
      <w:pPr>
        <w:rPr>
          <w:rFonts w:ascii="Times New Roman" w:hAnsi="Times New Roman" w:cs="Times New Roman"/>
          <w:b/>
          <w:bCs/>
          <w:lang w:val="en-US"/>
        </w:rPr>
      </w:pPr>
    </w:p>
    <w:p w:rsidR="003C1FEC" w:rsidRDefault="003C1FEC" w:rsidP="003C1FEC">
      <w:pPr>
        <w:jc w:val="both"/>
        <w:rPr>
          <w:rFonts w:ascii="Times New Roman" w:hAnsi="Times New Roman" w:cs="Times New Roman"/>
          <w:b/>
          <w:bCs/>
          <w:sz w:val="22"/>
          <w:szCs w:val="22"/>
          <w:lang w:val="en-US"/>
        </w:rPr>
      </w:pPr>
      <w:r w:rsidRPr="003C1FEC">
        <w:rPr>
          <w:rFonts w:ascii="Times New Roman" w:hAnsi="Times New Roman" w:cs="Times New Roman"/>
          <w:b/>
          <w:bCs/>
          <w:sz w:val="22"/>
          <w:szCs w:val="22"/>
          <w:lang w:val="en-US"/>
        </w:rPr>
        <w:t>The enrichment tables</w:t>
      </w:r>
      <w:r>
        <w:rPr>
          <w:rFonts w:ascii="Times New Roman" w:hAnsi="Times New Roman" w:cs="Times New Roman"/>
          <w:b/>
          <w:bCs/>
          <w:sz w:val="22"/>
          <w:szCs w:val="22"/>
          <w:lang w:val="en-US"/>
        </w:rPr>
        <w:t>:</w:t>
      </w:r>
    </w:p>
    <w:p w:rsidR="003C1FEC" w:rsidRPr="003C1FEC" w:rsidRDefault="003C1FEC" w:rsidP="003C1FEC">
      <w:pPr>
        <w:jc w:val="both"/>
        <w:rPr>
          <w:rFonts w:ascii="Times New Roman" w:hAnsi="Times New Roman" w:cs="Times New Roman"/>
          <w:sz w:val="22"/>
          <w:szCs w:val="22"/>
        </w:rPr>
      </w:pPr>
      <w:proofErr w:type="spellStart"/>
      <w:r w:rsidRPr="003C1FEC">
        <w:rPr>
          <w:rFonts w:ascii="Times New Roman" w:hAnsi="Times New Roman" w:cs="Times New Roman"/>
          <w:sz w:val="22"/>
          <w:szCs w:val="22"/>
        </w:rPr>
        <w:t>enrichment_all.tsv</w:t>
      </w:r>
      <w:proofErr w:type="spellEnd"/>
      <w:r w:rsidRPr="003C1FEC">
        <w:rPr>
          <w:rFonts w:ascii="Times New Roman" w:hAnsi="Times New Roman" w:cs="Times New Roman"/>
          <w:sz w:val="22"/>
          <w:szCs w:val="22"/>
        </w:rPr>
        <w:t xml:space="preserve">, </w:t>
      </w:r>
      <w:proofErr w:type="spellStart"/>
      <w:r w:rsidRPr="003C1FEC">
        <w:rPr>
          <w:rFonts w:ascii="Times New Roman" w:hAnsi="Times New Roman" w:cs="Times New Roman"/>
          <w:sz w:val="22"/>
          <w:szCs w:val="22"/>
        </w:rPr>
        <w:t>enrichment_all_down.tsv</w:t>
      </w:r>
      <w:proofErr w:type="spellEnd"/>
      <w:r w:rsidRPr="003C1FEC">
        <w:rPr>
          <w:rFonts w:ascii="Times New Roman" w:hAnsi="Times New Roman" w:cs="Times New Roman"/>
          <w:sz w:val="22"/>
          <w:szCs w:val="22"/>
        </w:rPr>
        <w:t xml:space="preserve">, </w:t>
      </w:r>
      <w:proofErr w:type="spellStart"/>
      <w:r w:rsidRPr="003C1FEC">
        <w:rPr>
          <w:rFonts w:ascii="Times New Roman" w:hAnsi="Times New Roman" w:cs="Times New Roman"/>
          <w:sz w:val="22"/>
          <w:szCs w:val="22"/>
        </w:rPr>
        <w:t>enrichment_all_up.tsv</w:t>
      </w:r>
      <w:proofErr w:type="spellEnd"/>
      <w:r w:rsidRPr="003C1FEC">
        <w:rPr>
          <w:rFonts w:ascii="Times New Roman" w:hAnsi="Times New Roman" w:cs="Times New Roman"/>
          <w:sz w:val="22"/>
          <w:szCs w:val="22"/>
        </w:rPr>
        <w:t>.</w:t>
      </w:r>
    </w:p>
    <w:p w:rsidR="003C1FEC" w:rsidRDefault="003C1FEC" w:rsidP="003C1FEC">
      <w:pPr>
        <w:jc w:val="both"/>
        <w:rPr>
          <w:rFonts w:ascii="Times New Roman" w:hAnsi="Times New Roman" w:cs="Times New Roman"/>
          <w:sz w:val="22"/>
          <w:szCs w:val="22"/>
        </w:rPr>
      </w:pPr>
    </w:p>
    <w:p w:rsidR="003C1FEC" w:rsidRPr="003C1FEC" w:rsidRDefault="003C1FEC" w:rsidP="003C1FEC">
      <w:pPr>
        <w:jc w:val="both"/>
        <w:rPr>
          <w:rFonts w:ascii="Times New Roman" w:hAnsi="Times New Roman" w:cs="Times New Roman"/>
          <w:sz w:val="22"/>
          <w:szCs w:val="22"/>
        </w:rPr>
      </w:pPr>
      <w:r w:rsidRPr="003C1FEC">
        <w:rPr>
          <w:rFonts w:ascii="Times New Roman" w:hAnsi="Times New Roman" w:cs="Times New Roman"/>
          <w:sz w:val="22"/>
          <w:szCs w:val="22"/>
        </w:rPr>
        <w:t>Each run produced a table where every row is one enriched term (a GO term, a KEGG</w:t>
      </w:r>
      <w:r w:rsidR="001F1513">
        <w:rPr>
          <w:rFonts w:ascii="Times New Roman" w:hAnsi="Times New Roman" w:cs="Times New Roman"/>
          <w:sz w:val="22"/>
          <w:szCs w:val="22"/>
        </w:rPr>
        <w:t xml:space="preserve"> [4]</w:t>
      </w:r>
      <w:r w:rsidRPr="003C1FEC">
        <w:rPr>
          <w:rFonts w:ascii="Times New Roman" w:hAnsi="Times New Roman" w:cs="Times New Roman"/>
          <w:sz w:val="22"/>
          <w:szCs w:val="22"/>
        </w:rPr>
        <w:t>/</w:t>
      </w:r>
      <w:proofErr w:type="spellStart"/>
      <w:r w:rsidRPr="003C1FEC">
        <w:rPr>
          <w:rFonts w:ascii="Times New Roman" w:hAnsi="Times New Roman" w:cs="Times New Roman"/>
          <w:sz w:val="22"/>
          <w:szCs w:val="22"/>
        </w:rPr>
        <w:t>Reactome</w:t>
      </w:r>
      <w:proofErr w:type="spellEnd"/>
      <w:r w:rsidR="001F1513">
        <w:rPr>
          <w:rFonts w:ascii="Times New Roman" w:hAnsi="Times New Roman" w:cs="Times New Roman"/>
          <w:sz w:val="22"/>
          <w:szCs w:val="22"/>
        </w:rPr>
        <w:t xml:space="preserve"> [5]</w:t>
      </w:r>
      <w:r w:rsidRPr="003C1FEC">
        <w:rPr>
          <w:rFonts w:ascii="Times New Roman" w:hAnsi="Times New Roman" w:cs="Times New Roman"/>
          <w:sz w:val="22"/>
          <w:szCs w:val="22"/>
        </w:rPr>
        <w:t>/</w:t>
      </w:r>
      <w:proofErr w:type="spellStart"/>
      <w:r w:rsidRPr="003C1FEC">
        <w:rPr>
          <w:rFonts w:ascii="Times New Roman" w:hAnsi="Times New Roman" w:cs="Times New Roman"/>
          <w:sz w:val="22"/>
          <w:szCs w:val="22"/>
        </w:rPr>
        <w:t>WikiPathways</w:t>
      </w:r>
      <w:proofErr w:type="spellEnd"/>
      <w:r w:rsidRPr="003C1FEC">
        <w:rPr>
          <w:rFonts w:ascii="Times New Roman" w:hAnsi="Times New Roman" w:cs="Times New Roman"/>
          <w:sz w:val="22"/>
          <w:szCs w:val="22"/>
        </w:rPr>
        <w:t xml:space="preserve"> pathway</w:t>
      </w:r>
      <w:r w:rsidR="001F1513">
        <w:rPr>
          <w:rFonts w:ascii="Times New Roman" w:hAnsi="Times New Roman" w:cs="Times New Roman"/>
          <w:sz w:val="22"/>
          <w:szCs w:val="22"/>
        </w:rPr>
        <w:t xml:space="preserve"> [6]</w:t>
      </w:r>
      <w:r w:rsidRPr="003C1FEC">
        <w:rPr>
          <w:rFonts w:ascii="Times New Roman" w:hAnsi="Times New Roman" w:cs="Times New Roman"/>
          <w:sz w:val="22"/>
          <w:szCs w:val="22"/>
        </w:rPr>
        <w:t>, a disease, etc.</w:t>
      </w:r>
      <w:r w:rsidR="001F1513">
        <w:rPr>
          <w:rFonts w:ascii="Times New Roman" w:hAnsi="Times New Roman" w:cs="Times New Roman"/>
          <w:sz w:val="22"/>
          <w:szCs w:val="22"/>
        </w:rPr>
        <w:t>)</w:t>
      </w:r>
      <w:r w:rsidRPr="003C1FEC">
        <w:rPr>
          <w:rFonts w:ascii="Times New Roman" w:hAnsi="Times New Roman" w:cs="Times New Roman"/>
          <w:sz w:val="22"/>
          <w:szCs w:val="22"/>
        </w:rPr>
        <w:t>. The key columns are:</w:t>
      </w:r>
    </w:p>
    <w:p w:rsidR="003C1FEC" w:rsidRPr="003C1FEC" w:rsidRDefault="003C1FEC" w:rsidP="003C1FEC">
      <w:pPr>
        <w:numPr>
          <w:ilvl w:val="0"/>
          <w:numId w:val="2"/>
        </w:numPr>
        <w:jc w:val="both"/>
        <w:rPr>
          <w:rFonts w:ascii="Times New Roman" w:hAnsi="Times New Roman" w:cs="Times New Roman"/>
          <w:sz w:val="22"/>
          <w:szCs w:val="22"/>
        </w:rPr>
      </w:pPr>
      <w:r w:rsidRPr="003C1FEC">
        <w:rPr>
          <w:rFonts w:ascii="Times New Roman" w:hAnsi="Times New Roman" w:cs="Times New Roman"/>
          <w:b/>
          <w:bCs/>
          <w:sz w:val="22"/>
          <w:szCs w:val="22"/>
        </w:rPr>
        <w:t>count in network</w:t>
      </w:r>
      <w:r>
        <w:rPr>
          <w:rFonts w:ascii="Times New Roman" w:hAnsi="Times New Roman" w:cs="Times New Roman"/>
          <w:sz w:val="22"/>
          <w:szCs w:val="22"/>
        </w:rPr>
        <w:t xml:space="preserve">: </w:t>
      </w:r>
      <w:r w:rsidRPr="003C1FEC">
        <w:rPr>
          <w:rFonts w:ascii="Times New Roman" w:hAnsi="Times New Roman" w:cs="Times New Roman"/>
          <w:sz w:val="22"/>
          <w:szCs w:val="22"/>
        </w:rPr>
        <w:t xml:space="preserve">how many of </w:t>
      </w:r>
      <w:r>
        <w:rPr>
          <w:rFonts w:ascii="Times New Roman" w:hAnsi="Times New Roman" w:cs="Times New Roman"/>
          <w:sz w:val="22"/>
          <w:szCs w:val="22"/>
        </w:rPr>
        <w:t>the</w:t>
      </w:r>
      <w:r w:rsidRPr="003C1FEC">
        <w:rPr>
          <w:rFonts w:ascii="Times New Roman" w:hAnsi="Times New Roman" w:cs="Times New Roman"/>
          <w:sz w:val="22"/>
          <w:szCs w:val="22"/>
        </w:rPr>
        <w:t xml:space="preserve"> genes fall in that term.</w:t>
      </w:r>
    </w:p>
    <w:p w:rsidR="003C1FEC" w:rsidRPr="003C1FEC" w:rsidRDefault="003C1FEC" w:rsidP="003C1FEC">
      <w:pPr>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t>s</w:t>
      </w:r>
      <w:r w:rsidRPr="003C1FEC">
        <w:rPr>
          <w:rFonts w:ascii="Times New Roman" w:hAnsi="Times New Roman" w:cs="Times New Roman"/>
          <w:b/>
          <w:bCs/>
          <w:sz w:val="22"/>
          <w:szCs w:val="22"/>
        </w:rPr>
        <w:t>trength</w:t>
      </w:r>
      <w:r>
        <w:rPr>
          <w:rFonts w:ascii="Times New Roman" w:hAnsi="Times New Roman" w:cs="Times New Roman"/>
          <w:sz w:val="22"/>
          <w:szCs w:val="22"/>
        </w:rPr>
        <w:t xml:space="preserve">: </w:t>
      </w:r>
      <w:r w:rsidRPr="003C1FEC">
        <w:rPr>
          <w:rFonts w:ascii="Times New Roman" w:hAnsi="Times New Roman" w:cs="Times New Roman"/>
          <w:sz w:val="22"/>
          <w:szCs w:val="22"/>
        </w:rPr>
        <w:t>how strongly the term is over-represented (higher = more concentrated in list).</w:t>
      </w:r>
    </w:p>
    <w:p w:rsidR="003C1FEC" w:rsidRPr="003C1FEC" w:rsidRDefault="003C1FEC" w:rsidP="003C1FEC">
      <w:pPr>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t>s</w:t>
      </w:r>
      <w:r w:rsidRPr="003C1FEC">
        <w:rPr>
          <w:rFonts w:ascii="Times New Roman" w:hAnsi="Times New Roman" w:cs="Times New Roman"/>
          <w:b/>
          <w:bCs/>
          <w:sz w:val="22"/>
          <w:szCs w:val="22"/>
        </w:rPr>
        <w:t>ignal</w:t>
      </w:r>
      <w:r>
        <w:rPr>
          <w:rFonts w:ascii="Times New Roman" w:hAnsi="Times New Roman" w:cs="Times New Roman"/>
          <w:sz w:val="22"/>
          <w:szCs w:val="22"/>
        </w:rPr>
        <w:t xml:space="preserve">:  </w:t>
      </w:r>
      <w:r w:rsidRPr="003C1FEC">
        <w:rPr>
          <w:rFonts w:ascii="Times New Roman" w:hAnsi="Times New Roman" w:cs="Times New Roman"/>
          <w:sz w:val="22"/>
          <w:szCs w:val="22"/>
        </w:rPr>
        <w:t>STRING’s combined score of strength and significance, used for ranking.</w:t>
      </w:r>
    </w:p>
    <w:p w:rsidR="003C1FEC" w:rsidRPr="003C1FEC" w:rsidRDefault="003C1FEC" w:rsidP="003C1FEC">
      <w:pPr>
        <w:numPr>
          <w:ilvl w:val="0"/>
          <w:numId w:val="2"/>
        </w:numPr>
        <w:jc w:val="both"/>
        <w:rPr>
          <w:rFonts w:ascii="Times New Roman" w:hAnsi="Times New Roman" w:cs="Times New Roman"/>
          <w:sz w:val="22"/>
          <w:szCs w:val="22"/>
        </w:rPr>
      </w:pPr>
      <w:r w:rsidRPr="003C1FEC">
        <w:rPr>
          <w:rFonts w:ascii="Times New Roman" w:hAnsi="Times New Roman" w:cs="Times New Roman"/>
          <w:b/>
          <w:bCs/>
          <w:sz w:val="22"/>
          <w:szCs w:val="22"/>
        </w:rPr>
        <w:t>false discovery rate (FDR)</w:t>
      </w:r>
      <w:r>
        <w:rPr>
          <w:rFonts w:ascii="Times New Roman" w:hAnsi="Times New Roman" w:cs="Times New Roman"/>
          <w:sz w:val="22"/>
          <w:szCs w:val="22"/>
        </w:rPr>
        <w:t xml:space="preserve">: </w:t>
      </w:r>
      <w:r w:rsidRPr="003C1FEC">
        <w:rPr>
          <w:rFonts w:ascii="Times New Roman" w:hAnsi="Times New Roman" w:cs="Times New Roman"/>
          <w:sz w:val="22"/>
          <w:szCs w:val="22"/>
        </w:rPr>
        <w:t>the significance after multiple-testing correction. Smaller = more reliable; below 0.05 is significant, and the top terms here are far smaller (e.g. 1e−31).</w:t>
      </w:r>
    </w:p>
    <w:p w:rsidR="003C1FEC" w:rsidRPr="003C1FEC" w:rsidRDefault="003C1FEC" w:rsidP="003C1FEC">
      <w:pPr>
        <w:numPr>
          <w:ilvl w:val="0"/>
          <w:numId w:val="2"/>
        </w:numPr>
        <w:jc w:val="both"/>
        <w:rPr>
          <w:rFonts w:ascii="Times New Roman" w:hAnsi="Times New Roman" w:cs="Times New Roman"/>
          <w:sz w:val="22"/>
          <w:szCs w:val="22"/>
        </w:rPr>
      </w:pPr>
      <w:r w:rsidRPr="003C1FEC">
        <w:rPr>
          <w:rFonts w:ascii="Times New Roman" w:hAnsi="Times New Roman" w:cs="Times New Roman"/>
          <w:b/>
          <w:bCs/>
          <w:sz w:val="22"/>
          <w:szCs w:val="22"/>
        </w:rPr>
        <w:t>matching genes</w:t>
      </w:r>
      <w:r>
        <w:rPr>
          <w:rFonts w:ascii="Times New Roman" w:hAnsi="Times New Roman" w:cs="Times New Roman"/>
          <w:sz w:val="22"/>
          <w:szCs w:val="22"/>
        </w:rPr>
        <w:t xml:space="preserve">: </w:t>
      </w:r>
      <w:r w:rsidRPr="003C1FEC">
        <w:rPr>
          <w:rFonts w:ascii="Times New Roman" w:hAnsi="Times New Roman" w:cs="Times New Roman"/>
          <w:sz w:val="22"/>
          <w:szCs w:val="22"/>
        </w:rPr>
        <w:t>the list of genes in that term (used for the cross-check with the GRN).</w:t>
      </w:r>
    </w:p>
    <w:p w:rsidR="003C1FEC" w:rsidRPr="003C1FEC" w:rsidRDefault="003C1FEC" w:rsidP="003C1FEC">
      <w:pPr>
        <w:rPr>
          <w:rFonts w:ascii="Times New Roman" w:hAnsi="Times New Roman" w:cs="Times New Roman"/>
          <w:sz w:val="22"/>
          <w:szCs w:val="22"/>
          <w:lang w:val="en-US"/>
        </w:rPr>
      </w:pPr>
    </w:p>
    <w:p w:rsidR="003C1FEC" w:rsidRDefault="003C1FEC" w:rsidP="003C1FEC">
      <w:pPr>
        <w:rPr>
          <w:rFonts w:ascii="Times New Roman" w:hAnsi="Times New Roman" w:cs="Times New Roman"/>
          <w:b/>
          <w:bCs/>
          <w:sz w:val="22"/>
          <w:szCs w:val="22"/>
          <w:lang w:val="en-US"/>
        </w:rPr>
      </w:pPr>
      <w:r>
        <w:rPr>
          <w:rFonts w:ascii="Times New Roman" w:hAnsi="Times New Roman" w:cs="Times New Roman"/>
          <w:b/>
          <w:bCs/>
          <w:sz w:val="22"/>
          <w:szCs w:val="22"/>
          <w:lang w:val="en-US"/>
        </w:rPr>
        <w:t>The enrichment plots:</w:t>
      </w:r>
    </w:p>
    <w:p w:rsidR="003C1FEC" w:rsidRDefault="003C1FEC" w:rsidP="003C1FEC">
      <w:pPr>
        <w:jc w:val="both"/>
        <w:rPr>
          <w:rFonts w:ascii="Times New Roman" w:hAnsi="Times New Roman" w:cs="Times New Roman"/>
          <w:sz w:val="22"/>
          <w:szCs w:val="22"/>
        </w:rPr>
      </w:pPr>
      <w:r w:rsidRPr="003C1FEC">
        <w:rPr>
          <w:rFonts w:ascii="Times New Roman" w:hAnsi="Times New Roman" w:cs="Times New Roman"/>
          <w:sz w:val="22"/>
          <w:szCs w:val="22"/>
        </w:rPr>
        <w:t>STRING also draws a Biological Process plot for each run (Figures 1–3). In these plots each row is an enriched process; the dot position (Signal) shows how strong it is, the dot size shows how many genes are involved, and the colour shows the FDR (greener = more significant). They are a quick visual summary of the same information in the tables.</w:t>
      </w:r>
    </w:p>
    <w:p w:rsidR="003C1FEC" w:rsidRDefault="003C1FEC" w:rsidP="003C1FEC">
      <w:pPr>
        <w:jc w:val="both"/>
        <w:rPr>
          <w:rFonts w:ascii="Times New Roman" w:hAnsi="Times New Roman" w:cs="Times New Roman"/>
          <w:sz w:val="22"/>
          <w:szCs w:val="22"/>
        </w:rPr>
      </w:pPr>
    </w:p>
    <w:p w:rsidR="00C709B6" w:rsidRDefault="00C709B6" w:rsidP="003C1FEC">
      <w:pPr>
        <w:jc w:val="both"/>
        <w:rPr>
          <w:rFonts w:ascii="Times New Roman" w:hAnsi="Times New Roman" w:cs="Times New Roman"/>
          <w:sz w:val="22"/>
          <w:szCs w:val="22"/>
        </w:rPr>
      </w:pPr>
      <w:r>
        <w:rPr>
          <w:rFonts w:ascii="Times New Roman" w:hAnsi="Times New Roman" w:cs="Times New Roman"/>
          <w:b/>
          <w:bCs/>
          <w:sz w:val="22"/>
          <w:szCs w:val="22"/>
        </w:rPr>
        <w:t xml:space="preserve">Figure 1: </w:t>
      </w:r>
      <w:r w:rsidRPr="00C709B6">
        <w:rPr>
          <w:rFonts w:ascii="Times New Roman" w:hAnsi="Times New Roman" w:cs="Times New Roman"/>
          <w:sz w:val="22"/>
          <w:szCs w:val="22"/>
        </w:rPr>
        <w:t>This plot shows the top enriched Biological Process (GO) terms</w:t>
      </w:r>
      <w:r w:rsidR="00DD2370">
        <w:rPr>
          <w:rFonts w:ascii="Times New Roman" w:hAnsi="Times New Roman" w:cs="Times New Roman"/>
          <w:sz w:val="22"/>
          <w:szCs w:val="22"/>
        </w:rPr>
        <w:t xml:space="preserve"> [3]</w:t>
      </w:r>
      <w:r w:rsidRPr="00C709B6">
        <w:rPr>
          <w:rFonts w:ascii="Times New Roman" w:hAnsi="Times New Roman" w:cs="Times New Roman"/>
          <w:sz w:val="22"/>
          <w:szCs w:val="22"/>
        </w:rPr>
        <w:t xml:space="preserve"> when all 5,541 differentially expressed genes are analysed together, without splitting by direction. The processes that come out on top are cell-cycle terms (meiotic cell cycle, nuclear division, cell cycle process, DNA replication) mixed with cilium terms (cilium organization and assembly). What we interpret from this is that the dominant change in the mutant muscle is something to do with cell division and DNA replication but because up- and down-regulated genes are pooled together, and roughly 77% of the DEGs are down-regulated, this pooled view is dominated by the down genes and effectively hides whatever the up-regulated genes are doing.</w:t>
      </w:r>
    </w:p>
    <w:p w:rsidR="00DD2370" w:rsidRDefault="00DD2370" w:rsidP="003C1FEC">
      <w:pPr>
        <w:jc w:val="both"/>
        <w:rPr>
          <w:rFonts w:ascii="Times New Roman" w:hAnsi="Times New Roman" w:cs="Times New Roman"/>
          <w:sz w:val="22"/>
          <w:szCs w:val="22"/>
        </w:rPr>
      </w:pPr>
    </w:p>
    <w:p w:rsidR="003C1FEC" w:rsidRDefault="003C1FEC" w:rsidP="003C1FEC">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extent cx="4798961" cy="2680396"/>
            <wp:effectExtent l="12700" t="12700" r="14605" b="12065"/>
            <wp:docPr id="72253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2455" name="Picture 7225324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31264" cy="2698438"/>
                    </a:xfrm>
                    <a:prstGeom prst="rect">
                      <a:avLst/>
                    </a:prstGeom>
                    <a:ln>
                      <a:solidFill>
                        <a:schemeClr val="tx1"/>
                      </a:solidFill>
                    </a:ln>
                  </pic:spPr>
                </pic:pic>
              </a:graphicData>
            </a:graphic>
          </wp:inline>
        </w:drawing>
      </w:r>
    </w:p>
    <w:p w:rsidR="003C1FEC" w:rsidRDefault="003C1FEC" w:rsidP="003C1FEC">
      <w:pPr>
        <w:jc w:val="center"/>
        <w:rPr>
          <w:rFonts w:ascii="Times New Roman" w:hAnsi="Times New Roman" w:cs="Times New Roman"/>
          <w:i/>
          <w:iCs/>
          <w:sz w:val="22"/>
          <w:szCs w:val="22"/>
        </w:rPr>
      </w:pPr>
      <w:r w:rsidRPr="003C1FEC">
        <w:rPr>
          <w:rFonts w:ascii="Times New Roman" w:hAnsi="Times New Roman" w:cs="Times New Roman"/>
          <w:i/>
          <w:iCs/>
          <w:sz w:val="22"/>
          <w:szCs w:val="22"/>
        </w:rPr>
        <w:t>Figure 1. All DEGs pooled together. Cell-cycle and cilium terms dominate, but because the up and down genes are mixed, the picture is blurred</w:t>
      </w:r>
      <w:r>
        <w:rPr>
          <w:rFonts w:ascii="Times New Roman" w:hAnsi="Times New Roman" w:cs="Times New Roman"/>
          <w:i/>
          <w:iCs/>
          <w:sz w:val="22"/>
          <w:szCs w:val="22"/>
        </w:rPr>
        <w:t>.</w:t>
      </w:r>
    </w:p>
    <w:p w:rsidR="003C1FEC" w:rsidRPr="00DD2370" w:rsidRDefault="00DD2370" w:rsidP="00DD2370">
      <w:pPr>
        <w:jc w:val="both"/>
        <w:rPr>
          <w:rFonts w:ascii="Times New Roman" w:hAnsi="Times New Roman" w:cs="Times New Roman"/>
          <w:sz w:val="22"/>
          <w:szCs w:val="22"/>
        </w:rPr>
      </w:pPr>
      <w:r>
        <w:rPr>
          <w:rFonts w:ascii="Times New Roman" w:hAnsi="Times New Roman" w:cs="Times New Roman"/>
          <w:b/>
          <w:bCs/>
          <w:sz w:val="22"/>
          <w:szCs w:val="22"/>
        </w:rPr>
        <w:lastRenderedPageBreak/>
        <w:t xml:space="preserve">Figure 2: </w:t>
      </w:r>
      <w:r w:rsidRPr="00DD2370">
        <w:rPr>
          <w:rFonts w:ascii="Times New Roman" w:hAnsi="Times New Roman" w:cs="Times New Roman"/>
          <w:sz w:val="22"/>
          <w:szCs w:val="22"/>
        </w:rPr>
        <w:t>This is the same type of plot, but run only on the genes that are down in mutants (2,879 human-mapped genes). The result is the same cell-cycle/DNA-replication theme as Figure 1 but much sharper</w:t>
      </w:r>
      <w:r>
        <w:rPr>
          <w:rFonts w:ascii="Times New Roman" w:hAnsi="Times New Roman" w:cs="Times New Roman"/>
          <w:sz w:val="22"/>
          <w:szCs w:val="22"/>
        </w:rPr>
        <w:t xml:space="preserve">, </w:t>
      </w:r>
      <w:r w:rsidRPr="00DD2370">
        <w:rPr>
          <w:rFonts w:ascii="Times New Roman" w:hAnsi="Times New Roman" w:cs="Times New Roman"/>
          <w:sz w:val="22"/>
          <w:szCs w:val="22"/>
        </w:rPr>
        <w:t>i.e.</w:t>
      </w:r>
      <w:r>
        <w:rPr>
          <w:rFonts w:ascii="Times New Roman" w:hAnsi="Times New Roman" w:cs="Times New Roman"/>
          <w:sz w:val="22"/>
          <w:szCs w:val="22"/>
        </w:rPr>
        <w:t>,</w:t>
      </w:r>
      <w:r w:rsidRPr="00DD2370">
        <w:rPr>
          <w:rFonts w:ascii="Times New Roman" w:hAnsi="Times New Roman" w:cs="Times New Roman"/>
          <w:sz w:val="22"/>
          <w:szCs w:val="22"/>
        </w:rPr>
        <w:t xml:space="preserve"> the significance is far stronger once the up genes are no longer diluting the signal. The top processes are meiotic and mitotic cell cycle, nuclear/chromosome division, and DNA replication, alongside cilium assembly (which shares the same microtubule machinery as the mitotic spindle, so it rides along with this group). </w:t>
      </w:r>
      <w:r>
        <w:rPr>
          <w:rFonts w:ascii="Times New Roman" w:hAnsi="Times New Roman" w:cs="Times New Roman"/>
          <w:sz w:val="22"/>
          <w:szCs w:val="22"/>
        </w:rPr>
        <w:t>This is</w:t>
      </w:r>
      <w:r w:rsidRPr="00DD2370">
        <w:rPr>
          <w:rFonts w:ascii="Times New Roman" w:hAnsi="Times New Roman" w:cs="Times New Roman"/>
          <w:sz w:val="22"/>
          <w:szCs w:val="22"/>
        </w:rPr>
        <w:t xml:space="preserve"> a clear proliferation shutdown: the cell-division and DNA-copying machinery is being switched off in mutant muscle. This is the direct, independent confirmation of the GRN result, where the E2F transcription factors (whose entire job is driving these exact genes) were the most strongly repressed</w:t>
      </w:r>
      <w:r>
        <w:rPr>
          <w:rFonts w:ascii="Times New Roman" w:hAnsi="Times New Roman" w:cs="Times New Roman"/>
          <w:sz w:val="22"/>
          <w:szCs w:val="22"/>
        </w:rPr>
        <w:t>.</w:t>
      </w:r>
    </w:p>
    <w:p w:rsidR="00DD2370" w:rsidRPr="00DD2370" w:rsidRDefault="00DD2370" w:rsidP="00DD2370">
      <w:pPr>
        <w:rPr>
          <w:rFonts w:ascii="Times New Roman" w:hAnsi="Times New Roman" w:cs="Times New Roman"/>
          <w:sz w:val="22"/>
          <w:szCs w:val="22"/>
        </w:rPr>
      </w:pPr>
    </w:p>
    <w:p w:rsidR="003C1FEC" w:rsidRDefault="003C1FEC" w:rsidP="003C1FEC">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extent cx="4822346" cy="2693458"/>
            <wp:effectExtent l="12700" t="12700" r="16510" b="12065"/>
            <wp:docPr id="2127362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2669" name="Picture 21273626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1322" cy="2726398"/>
                    </a:xfrm>
                    <a:prstGeom prst="rect">
                      <a:avLst/>
                    </a:prstGeom>
                    <a:ln>
                      <a:solidFill>
                        <a:schemeClr val="tx1"/>
                      </a:solidFill>
                    </a:ln>
                  </pic:spPr>
                </pic:pic>
              </a:graphicData>
            </a:graphic>
          </wp:inline>
        </w:drawing>
      </w:r>
    </w:p>
    <w:p w:rsidR="003C1FEC" w:rsidRDefault="003C1FEC" w:rsidP="003C1FEC">
      <w:pPr>
        <w:jc w:val="center"/>
        <w:rPr>
          <w:rFonts w:ascii="Times New Roman" w:hAnsi="Times New Roman" w:cs="Times New Roman"/>
          <w:i/>
          <w:iCs/>
          <w:sz w:val="22"/>
          <w:szCs w:val="22"/>
        </w:rPr>
      </w:pPr>
      <w:r w:rsidRPr="003C1FEC">
        <w:rPr>
          <w:rFonts w:ascii="Times New Roman" w:hAnsi="Times New Roman" w:cs="Times New Roman"/>
          <w:i/>
          <w:iCs/>
          <w:sz w:val="22"/>
          <w:szCs w:val="22"/>
        </w:rPr>
        <w:t>Figure 2. Down-in-mutant genes. The signal is much stronger and cleaner</w:t>
      </w:r>
      <w:r>
        <w:rPr>
          <w:rFonts w:ascii="Times New Roman" w:hAnsi="Times New Roman" w:cs="Times New Roman"/>
          <w:i/>
          <w:iCs/>
          <w:sz w:val="22"/>
          <w:szCs w:val="22"/>
        </w:rPr>
        <w:t xml:space="preserve">: </w:t>
      </w:r>
      <w:r w:rsidRPr="003C1FEC">
        <w:rPr>
          <w:rFonts w:ascii="Times New Roman" w:hAnsi="Times New Roman" w:cs="Times New Roman"/>
          <w:i/>
          <w:iCs/>
          <w:sz w:val="22"/>
          <w:szCs w:val="22"/>
        </w:rPr>
        <w:t>cell cycle, nuclear division and DNA replication: the proliferation machinery being switched off</w:t>
      </w:r>
      <w:r>
        <w:rPr>
          <w:rFonts w:ascii="Times New Roman" w:hAnsi="Times New Roman" w:cs="Times New Roman"/>
          <w:i/>
          <w:iCs/>
          <w:sz w:val="22"/>
          <w:szCs w:val="22"/>
        </w:rPr>
        <w:t>.</w:t>
      </w:r>
    </w:p>
    <w:p w:rsidR="00DD2370" w:rsidRDefault="00DD2370" w:rsidP="003C1FEC">
      <w:pPr>
        <w:jc w:val="center"/>
        <w:rPr>
          <w:rFonts w:ascii="Times New Roman" w:hAnsi="Times New Roman" w:cs="Times New Roman"/>
          <w:i/>
          <w:iCs/>
          <w:sz w:val="22"/>
          <w:szCs w:val="22"/>
        </w:rPr>
      </w:pPr>
    </w:p>
    <w:p w:rsidR="00DD2370" w:rsidRPr="00DD2370" w:rsidRDefault="00DD2370" w:rsidP="00DD2370">
      <w:pPr>
        <w:jc w:val="both"/>
        <w:rPr>
          <w:rFonts w:ascii="Times New Roman" w:hAnsi="Times New Roman" w:cs="Times New Roman"/>
          <w:sz w:val="22"/>
          <w:szCs w:val="22"/>
        </w:rPr>
      </w:pPr>
      <w:r>
        <w:rPr>
          <w:rFonts w:ascii="Times New Roman" w:hAnsi="Times New Roman" w:cs="Times New Roman"/>
          <w:b/>
          <w:bCs/>
          <w:sz w:val="22"/>
          <w:szCs w:val="22"/>
        </w:rPr>
        <w:t xml:space="preserve">Figure 3: </w:t>
      </w:r>
      <w:r w:rsidRPr="00DD2370">
        <w:rPr>
          <w:rFonts w:ascii="Times New Roman" w:hAnsi="Times New Roman" w:cs="Times New Roman"/>
          <w:sz w:val="22"/>
          <w:szCs w:val="22"/>
        </w:rPr>
        <w:t xml:space="preserve">This plot runs only on the genes that are up in mutants (917 human-mapped genes), and it reveals a completely different biological story that was invisible in the pooled Figure 1. Instead of cell cycle, the enriched processes are all about tissue structure and remodelling: extracellular matrix organization, muscle structure development, striated-muscle and muscle-cell differentiation, myofibril and sarcomere organization, and muscle contraction. </w:t>
      </w:r>
      <w:r>
        <w:rPr>
          <w:rFonts w:ascii="Times New Roman" w:hAnsi="Times New Roman" w:cs="Times New Roman"/>
          <w:sz w:val="22"/>
          <w:szCs w:val="22"/>
        </w:rPr>
        <w:t>This is</w:t>
      </w:r>
      <w:r w:rsidRPr="00DD2370">
        <w:rPr>
          <w:rFonts w:ascii="Times New Roman" w:hAnsi="Times New Roman" w:cs="Times New Roman"/>
          <w:sz w:val="22"/>
          <w:szCs w:val="22"/>
        </w:rPr>
        <w:t xml:space="preserve"> an active tissue-remodelling and stress response</w:t>
      </w:r>
      <w:r>
        <w:rPr>
          <w:rFonts w:ascii="Times New Roman" w:hAnsi="Times New Roman" w:cs="Times New Roman"/>
          <w:sz w:val="22"/>
          <w:szCs w:val="22"/>
        </w:rPr>
        <w:t xml:space="preserve">: </w:t>
      </w:r>
      <w:r w:rsidRPr="00DD2370">
        <w:rPr>
          <w:rFonts w:ascii="Times New Roman" w:hAnsi="Times New Roman" w:cs="Times New Roman"/>
          <w:sz w:val="22"/>
          <w:szCs w:val="22"/>
        </w:rPr>
        <w:t>the mutant muscle is rebuilding its extracellular scaffolding and altering its contractile/structural components. Combined with the stress, immune and inflammation terms that also appear in the up</w:t>
      </w:r>
      <w:r>
        <w:rPr>
          <w:rFonts w:ascii="Times New Roman" w:hAnsi="Times New Roman" w:cs="Times New Roman"/>
          <w:sz w:val="22"/>
          <w:szCs w:val="22"/>
        </w:rPr>
        <w:t>-</w:t>
      </w:r>
      <w:r w:rsidRPr="00DD2370">
        <w:rPr>
          <w:rFonts w:ascii="Times New Roman" w:hAnsi="Times New Roman" w:cs="Times New Roman"/>
          <w:sz w:val="22"/>
          <w:szCs w:val="22"/>
        </w:rPr>
        <w:t>set (in the full tables), this is exactly the secretory/remodelling side of a senescence phenotype.</w:t>
      </w:r>
    </w:p>
    <w:p w:rsidR="003C1FEC" w:rsidRDefault="003C1FEC" w:rsidP="003C1FEC">
      <w:pPr>
        <w:jc w:val="center"/>
        <w:rPr>
          <w:rFonts w:ascii="Times New Roman" w:hAnsi="Times New Roman" w:cs="Times New Roman"/>
          <w:i/>
          <w:iCs/>
          <w:sz w:val="22"/>
          <w:szCs w:val="22"/>
        </w:rPr>
      </w:pPr>
    </w:p>
    <w:p w:rsidR="003C1FEC" w:rsidRDefault="003C1FEC" w:rsidP="003C1FEC">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extent cx="4853662" cy="2710948"/>
            <wp:effectExtent l="12700" t="12700" r="10795" b="6985"/>
            <wp:docPr id="718014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4619" name="Picture 7180146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4596" cy="2739396"/>
                    </a:xfrm>
                    <a:prstGeom prst="rect">
                      <a:avLst/>
                    </a:prstGeom>
                    <a:ln>
                      <a:solidFill>
                        <a:schemeClr val="tx1"/>
                      </a:solidFill>
                    </a:ln>
                  </pic:spPr>
                </pic:pic>
              </a:graphicData>
            </a:graphic>
          </wp:inline>
        </w:drawing>
      </w:r>
    </w:p>
    <w:p w:rsidR="003C1FEC" w:rsidRPr="003C1FEC" w:rsidRDefault="003C1FEC" w:rsidP="003C1FEC">
      <w:pPr>
        <w:jc w:val="center"/>
        <w:rPr>
          <w:rFonts w:ascii="Times New Roman" w:hAnsi="Times New Roman" w:cs="Times New Roman"/>
          <w:i/>
          <w:iCs/>
          <w:sz w:val="22"/>
          <w:szCs w:val="22"/>
        </w:rPr>
      </w:pPr>
      <w:r w:rsidRPr="003C1FEC">
        <w:rPr>
          <w:rFonts w:ascii="Times New Roman" w:hAnsi="Times New Roman" w:cs="Times New Roman"/>
          <w:i/>
          <w:iCs/>
          <w:sz w:val="22"/>
          <w:szCs w:val="22"/>
        </w:rPr>
        <w:t>Figure 3. Up-in-mutant genes. A completely different set of processes</w:t>
      </w:r>
      <w:r>
        <w:rPr>
          <w:rFonts w:ascii="Times New Roman" w:hAnsi="Times New Roman" w:cs="Times New Roman"/>
          <w:i/>
          <w:iCs/>
          <w:sz w:val="22"/>
          <w:szCs w:val="22"/>
        </w:rPr>
        <w:t xml:space="preserve">: </w:t>
      </w:r>
      <w:r w:rsidRPr="003C1FEC">
        <w:rPr>
          <w:rFonts w:ascii="Times New Roman" w:hAnsi="Times New Roman" w:cs="Times New Roman"/>
          <w:i/>
          <w:iCs/>
          <w:sz w:val="22"/>
          <w:szCs w:val="22"/>
        </w:rPr>
        <w:t>muscle structure, extracellular matrix and sarcomere organisation: tissue remodelling</w:t>
      </w:r>
      <w:r>
        <w:rPr>
          <w:rFonts w:ascii="Times New Roman" w:hAnsi="Times New Roman" w:cs="Times New Roman"/>
          <w:i/>
          <w:iCs/>
          <w:sz w:val="22"/>
          <w:szCs w:val="22"/>
        </w:rPr>
        <w:t>.</w:t>
      </w:r>
    </w:p>
    <w:p w:rsidR="003C1FEC" w:rsidRPr="003C1FEC" w:rsidRDefault="003C1FEC" w:rsidP="003C1FEC">
      <w:pPr>
        <w:rPr>
          <w:rFonts w:ascii="Times New Roman" w:hAnsi="Times New Roman" w:cs="Times New Roman"/>
          <w:b/>
          <w:bCs/>
          <w:lang w:val="en-US"/>
        </w:rPr>
      </w:pPr>
    </w:p>
    <w:p w:rsidR="003C1FEC" w:rsidRDefault="003C1FEC"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Results Explanation</w:t>
      </w:r>
    </w:p>
    <w:p w:rsidR="003C1FEC" w:rsidRDefault="003C1FEC" w:rsidP="003C1FEC">
      <w:pPr>
        <w:rPr>
          <w:rFonts w:ascii="Times New Roman" w:hAnsi="Times New Roman" w:cs="Times New Roman"/>
          <w:b/>
          <w:bCs/>
          <w:lang w:val="en-US"/>
        </w:rPr>
      </w:pPr>
    </w:p>
    <w:p w:rsidR="003C1FEC" w:rsidRDefault="003C1FEC" w:rsidP="003C1FEC">
      <w:pPr>
        <w:rPr>
          <w:rFonts w:ascii="Times New Roman" w:hAnsi="Times New Roman" w:cs="Times New Roman"/>
          <w:b/>
          <w:bCs/>
          <w:sz w:val="22"/>
          <w:szCs w:val="22"/>
          <w:lang w:val="en-US"/>
        </w:rPr>
      </w:pPr>
      <w:r>
        <w:rPr>
          <w:rFonts w:ascii="Times New Roman" w:hAnsi="Times New Roman" w:cs="Times New Roman"/>
          <w:b/>
          <w:bCs/>
          <w:sz w:val="22"/>
          <w:szCs w:val="22"/>
          <w:lang w:val="en-US"/>
        </w:rPr>
        <w:t>The pooled run:</w:t>
      </w:r>
    </w:p>
    <w:p w:rsidR="003C1FEC" w:rsidRPr="003C1FEC" w:rsidRDefault="003C1FEC" w:rsidP="003C1FEC">
      <w:pPr>
        <w:jc w:val="both"/>
        <w:rPr>
          <w:rFonts w:ascii="Times New Roman" w:hAnsi="Times New Roman" w:cs="Times New Roman"/>
          <w:sz w:val="22"/>
          <w:szCs w:val="22"/>
          <w:lang w:val="en-US"/>
        </w:rPr>
      </w:pPr>
      <w:r w:rsidRPr="003C1FEC">
        <w:rPr>
          <w:rFonts w:ascii="Times New Roman" w:hAnsi="Times New Roman" w:cs="Times New Roman"/>
          <w:sz w:val="22"/>
          <w:szCs w:val="22"/>
        </w:rPr>
        <w:t xml:space="preserve">When all 5,541 DEGs went in together, the strongest enriched terms were cell cycle / DNA replication and cilium/microtubule organisation (Figure 1; </w:t>
      </w:r>
      <w:proofErr w:type="spellStart"/>
      <w:r w:rsidRPr="003C1FEC">
        <w:rPr>
          <w:rFonts w:ascii="Times New Roman" w:hAnsi="Times New Roman" w:cs="Times New Roman"/>
          <w:sz w:val="22"/>
          <w:szCs w:val="22"/>
        </w:rPr>
        <w:t>Reactome</w:t>
      </w:r>
      <w:proofErr w:type="spellEnd"/>
      <w:r w:rsidRPr="003C1FEC">
        <w:rPr>
          <w:rFonts w:ascii="Times New Roman" w:hAnsi="Times New Roman" w:cs="Times New Roman"/>
          <w:sz w:val="22"/>
          <w:szCs w:val="22"/>
        </w:rPr>
        <w:t xml:space="preserve"> “Cell Cycle” FDR 2e−19). This looked interesting, but pooling has a problem: most DEGs (4,252 of 5,541) are down in mutants, so the pooled result mostly reflects the down genes and the up-gene signal is drowned out</w:t>
      </w:r>
      <w:r w:rsidRPr="003C1FEC">
        <w:rPr>
          <w:rFonts w:ascii="Times New Roman" w:hAnsi="Times New Roman" w:cs="Times New Roman"/>
          <w:sz w:val="22"/>
          <w:szCs w:val="22"/>
        </w:rPr>
        <w:t>.</w:t>
      </w:r>
    </w:p>
    <w:p w:rsidR="003C1FEC" w:rsidRDefault="00C709B6" w:rsidP="003C1FEC">
      <w:pPr>
        <w:rPr>
          <w:rFonts w:ascii="Times New Roman" w:hAnsi="Times New Roman" w:cs="Times New Roman"/>
          <w:b/>
          <w:bCs/>
          <w:sz w:val="22"/>
          <w:szCs w:val="22"/>
          <w:lang w:val="en-US"/>
        </w:rPr>
      </w:pPr>
      <w:r>
        <w:rPr>
          <w:rFonts w:ascii="Times New Roman" w:hAnsi="Times New Roman" w:cs="Times New Roman"/>
          <w:b/>
          <w:bCs/>
          <w:sz w:val="22"/>
          <w:szCs w:val="22"/>
          <w:lang w:val="en-US"/>
        </w:rPr>
        <w:t>Splitting up and down:</w:t>
      </w:r>
    </w:p>
    <w:p w:rsidR="00C709B6" w:rsidRPr="00C709B6" w:rsidRDefault="00C709B6" w:rsidP="00C709B6">
      <w:pPr>
        <w:jc w:val="both"/>
        <w:rPr>
          <w:rFonts w:ascii="Times New Roman" w:hAnsi="Times New Roman" w:cs="Times New Roman"/>
          <w:sz w:val="22"/>
          <w:szCs w:val="22"/>
        </w:rPr>
      </w:pPr>
      <w:r w:rsidRPr="00C709B6">
        <w:rPr>
          <w:rFonts w:ascii="Times New Roman" w:hAnsi="Times New Roman" w:cs="Times New Roman"/>
          <w:sz w:val="22"/>
          <w:szCs w:val="22"/>
        </w:rPr>
        <w:t>To fix this I ran the up and down sets separately. This sharpened everything, and the FDRs actually got strong</w:t>
      </w:r>
      <w:r>
        <w:rPr>
          <w:rFonts w:ascii="Times New Roman" w:hAnsi="Times New Roman" w:cs="Times New Roman"/>
          <w:sz w:val="22"/>
          <w:szCs w:val="22"/>
        </w:rPr>
        <w:t>er</w:t>
      </w:r>
      <w:r w:rsidRPr="00C709B6">
        <w:rPr>
          <w:rFonts w:ascii="Times New Roman" w:hAnsi="Times New Roman" w:cs="Times New Roman"/>
          <w:sz w:val="22"/>
          <w:szCs w:val="22"/>
        </w:rPr>
        <w:t xml:space="preserve"> because each signal was no longer diluted by the other.</w:t>
      </w:r>
    </w:p>
    <w:p w:rsidR="00C709B6" w:rsidRDefault="00C709B6" w:rsidP="00C709B6">
      <w:pPr>
        <w:jc w:val="both"/>
        <w:rPr>
          <w:rFonts w:ascii="Times New Roman" w:hAnsi="Times New Roman" w:cs="Times New Roman"/>
          <w:b/>
          <w:bCs/>
          <w:sz w:val="22"/>
          <w:szCs w:val="22"/>
        </w:rPr>
      </w:pPr>
    </w:p>
    <w:p w:rsidR="00C709B6" w:rsidRPr="00C709B6" w:rsidRDefault="00C709B6" w:rsidP="00C709B6">
      <w:pPr>
        <w:jc w:val="both"/>
        <w:rPr>
          <w:rFonts w:ascii="Times New Roman" w:hAnsi="Times New Roman" w:cs="Times New Roman"/>
          <w:sz w:val="22"/>
          <w:szCs w:val="22"/>
        </w:rPr>
      </w:pPr>
      <w:r w:rsidRPr="00C709B6">
        <w:rPr>
          <w:rFonts w:ascii="Times New Roman" w:hAnsi="Times New Roman" w:cs="Times New Roman"/>
          <w:b/>
          <w:bCs/>
          <w:sz w:val="22"/>
          <w:szCs w:val="22"/>
        </w:rPr>
        <w:t>Down in mutants (2,879 genes)</w:t>
      </w:r>
      <w:r>
        <w:rPr>
          <w:rFonts w:ascii="Times New Roman" w:hAnsi="Times New Roman" w:cs="Times New Roman"/>
          <w:b/>
          <w:bCs/>
          <w:sz w:val="22"/>
          <w:szCs w:val="22"/>
        </w:rPr>
        <w:t xml:space="preserve">: </w:t>
      </w:r>
      <w:r w:rsidRPr="00C709B6">
        <w:rPr>
          <w:rFonts w:ascii="Times New Roman" w:hAnsi="Times New Roman" w:cs="Times New Roman"/>
          <w:b/>
          <w:bCs/>
          <w:sz w:val="22"/>
          <w:szCs w:val="22"/>
        </w:rPr>
        <w:t xml:space="preserve">the proliferation shutdown. </w:t>
      </w:r>
      <w:r w:rsidRPr="00C709B6">
        <w:rPr>
          <w:rFonts w:ascii="Times New Roman" w:hAnsi="Times New Roman" w:cs="Times New Roman"/>
          <w:sz w:val="22"/>
          <w:szCs w:val="22"/>
        </w:rPr>
        <w:t>Overwhelmingly cell cycle, mitosis and DNA replication (</w:t>
      </w:r>
      <w:proofErr w:type="spellStart"/>
      <w:r w:rsidRPr="00C709B6">
        <w:rPr>
          <w:rFonts w:ascii="Times New Roman" w:hAnsi="Times New Roman" w:cs="Times New Roman"/>
          <w:sz w:val="22"/>
          <w:szCs w:val="22"/>
        </w:rPr>
        <w:t>Reactome</w:t>
      </w:r>
      <w:proofErr w:type="spellEnd"/>
      <w:r w:rsidRPr="00C709B6">
        <w:rPr>
          <w:rFonts w:ascii="Times New Roman" w:hAnsi="Times New Roman" w:cs="Times New Roman"/>
          <w:sz w:val="22"/>
          <w:szCs w:val="22"/>
        </w:rPr>
        <w:t xml:space="preserve"> “Cell Cycle” FDR 4.9e−31; GO “Cell cycle” FDR 4e−34; KEGG cell cycle, DNA replication, Fanconi anaemia; </w:t>
      </w:r>
      <w:proofErr w:type="spellStart"/>
      <w:r w:rsidRPr="00C709B6">
        <w:rPr>
          <w:rFonts w:ascii="Times New Roman" w:hAnsi="Times New Roman" w:cs="Times New Roman"/>
          <w:sz w:val="22"/>
          <w:szCs w:val="22"/>
        </w:rPr>
        <w:t>WikiPathways</w:t>
      </w:r>
      <w:proofErr w:type="spellEnd"/>
      <w:r w:rsidRPr="00C709B6">
        <w:rPr>
          <w:rFonts w:ascii="Times New Roman" w:hAnsi="Times New Roman" w:cs="Times New Roman"/>
          <w:sz w:val="22"/>
          <w:szCs w:val="22"/>
        </w:rPr>
        <w:t xml:space="preserve"> “Retinoblastoma gene in cancer”). The cilium/microtubule terms sit here too, which makes sense because they share the same microtubule machinery as the mitotic spindle.</w:t>
      </w:r>
    </w:p>
    <w:p w:rsidR="00C709B6" w:rsidRDefault="00C709B6" w:rsidP="00C709B6">
      <w:pPr>
        <w:jc w:val="both"/>
        <w:rPr>
          <w:rFonts w:ascii="Times New Roman" w:hAnsi="Times New Roman" w:cs="Times New Roman"/>
          <w:b/>
          <w:bCs/>
          <w:sz w:val="22"/>
          <w:szCs w:val="22"/>
        </w:rPr>
      </w:pPr>
    </w:p>
    <w:p w:rsidR="00C709B6" w:rsidRDefault="00C709B6" w:rsidP="00C709B6">
      <w:pPr>
        <w:jc w:val="both"/>
        <w:rPr>
          <w:rFonts w:ascii="Times New Roman" w:hAnsi="Times New Roman" w:cs="Times New Roman"/>
          <w:sz w:val="22"/>
          <w:szCs w:val="22"/>
        </w:rPr>
      </w:pPr>
      <w:r w:rsidRPr="00C709B6">
        <w:rPr>
          <w:rFonts w:ascii="Times New Roman" w:hAnsi="Times New Roman" w:cs="Times New Roman"/>
          <w:b/>
          <w:bCs/>
          <w:sz w:val="22"/>
          <w:szCs w:val="22"/>
        </w:rPr>
        <w:t>Up in mutants (917 genes)</w:t>
      </w:r>
      <w:r>
        <w:rPr>
          <w:rFonts w:ascii="Times New Roman" w:hAnsi="Times New Roman" w:cs="Times New Roman"/>
          <w:b/>
          <w:bCs/>
          <w:sz w:val="22"/>
          <w:szCs w:val="22"/>
        </w:rPr>
        <w:t xml:space="preserve">: </w:t>
      </w:r>
      <w:r w:rsidRPr="00C709B6">
        <w:rPr>
          <w:rFonts w:ascii="Times New Roman" w:hAnsi="Times New Roman" w:cs="Times New Roman"/>
          <w:b/>
          <w:bCs/>
          <w:sz w:val="22"/>
          <w:szCs w:val="22"/>
        </w:rPr>
        <w:t xml:space="preserve">tissue remodelling and stress. </w:t>
      </w:r>
      <w:r w:rsidRPr="00C709B6">
        <w:rPr>
          <w:rFonts w:ascii="Times New Roman" w:hAnsi="Times New Roman" w:cs="Times New Roman"/>
          <w:sz w:val="22"/>
          <w:szCs w:val="22"/>
        </w:rPr>
        <w:t>A completely different programme: extracellular matrix and collagen remodelling (</w:t>
      </w:r>
      <w:proofErr w:type="spellStart"/>
      <w:r w:rsidRPr="00C709B6">
        <w:rPr>
          <w:rFonts w:ascii="Times New Roman" w:hAnsi="Times New Roman" w:cs="Times New Roman"/>
          <w:sz w:val="22"/>
          <w:szCs w:val="22"/>
        </w:rPr>
        <w:t>Reactome</w:t>
      </w:r>
      <w:proofErr w:type="spellEnd"/>
      <w:r w:rsidRPr="00C709B6">
        <w:rPr>
          <w:rFonts w:ascii="Times New Roman" w:hAnsi="Times New Roman" w:cs="Times New Roman"/>
          <w:sz w:val="22"/>
          <w:szCs w:val="22"/>
        </w:rPr>
        <w:t xml:space="preserve"> “ECM organization” FDR 2e−13), muscle-structure and sarcomere terms, and stress/immune/inflammation terms (cytokines, immune system process, inflammatory response), plus muscle-disease/myopathy terms that fit the flank-muscle tissue</w:t>
      </w:r>
      <w:r>
        <w:rPr>
          <w:rFonts w:ascii="Times New Roman" w:hAnsi="Times New Roman" w:cs="Times New Roman"/>
          <w:sz w:val="22"/>
          <w:szCs w:val="22"/>
        </w:rPr>
        <w:t>.</w:t>
      </w:r>
    </w:p>
    <w:p w:rsidR="00C709B6" w:rsidRDefault="00C709B6" w:rsidP="00C709B6">
      <w:pPr>
        <w:jc w:val="both"/>
        <w:rPr>
          <w:rFonts w:ascii="Times New Roman" w:hAnsi="Times New Roman" w:cs="Times New Roman"/>
          <w:sz w:val="22"/>
          <w:szCs w:val="22"/>
        </w:rPr>
      </w:pPr>
    </w:p>
    <w:p w:rsidR="00C709B6" w:rsidRDefault="00C709B6" w:rsidP="00C709B6">
      <w:pPr>
        <w:jc w:val="both"/>
        <w:rPr>
          <w:rFonts w:ascii="Times New Roman" w:hAnsi="Times New Roman" w:cs="Times New Roman"/>
          <w:b/>
          <w:bCs/>
          <w:sz w:val="22"/>
          <w:szCs w:val="22"/>
        </w:rPr>
      </w:pPr>
      <w:r>
        <w:rPr>
          <w:rFonts w:ascii="Times New Roman" w:hAnsi="Times New Roman" w:cs="Times New Roman"/>
          <w:b/>
          <w:bCs/>
          <w:sz w:val="22"/>
          <w:szCs w:val="22"/>
        </w:rPr>
        <w:t>Cross-check with GRN:</w:t>
      </w:r>
    </w:p>
    <w:p w:rsidR="00C709B6" w:rsidRPr="00C709B6" w:rsidRDefault="00C709B6" w:rsidP="00C709B6">
      <w:pPr>
        <w:jc w:val="both"/>
        <w:rPr>
          <w:rFonts w:ascii="Times New Roman" w:hAnsi="Times New Roman" w:cs="Times New Roman"/>
          <w:sz w:val="22"/>
          <w:szCs w:val="22"/>
        </w:rPr>
      </w:pPr>
      <w:r w:rsidRPr="00C709B6">
        <w:rPr>
          <w:rFonts w:ascii="Times New Roman" w:hAnsi="Times New Roman" w:cs="Times New Roman"/>
          <w:sz w:val="22"/>
          <w:szCs w:val="22"/>
        </w:rPr>
        <w:t>The two methods agree, right down to the individual genes:</w:t>
      </w:r>
    </w:p>
    <w:p w:rsidR="00C709B6" w:rsidRPr="00C709B6" w:rsidRDefault="00C709B6" w:rsidP="00C709B6">
      <w:pPr>
        <w:numPr>
          <w:ilvl w:val="0"/>
          <w:numId w:val="2"/>
        </w:numPr>
        <w:jc w:val="both"/>
        <w:rPr>
          <w:rFonts w:ascii="Times New Roman" w:hAnsi="Times New Roman" w:cs="Times New Roman"/>
          <w:sz w:val="22"/>
          <w:szCs w:val="22"/>
        </w:rPr>
      </w:pPr>
      <w:r w:rsidRPr="00C709B6">
        <w:rPr>
          <w:rFonts w:ascii="Times New Roman" w:hAnsi="Times New Roman" w:cs="Times New Roman"/>
          <w:sz w:val="22"/>
          <w:szCs w:val="22"/>
        </w:rPr>
        <w:t>Of the 248 genes in STRING’s down “Cell Cycle” term, 65 are targets of the GRN’s repressed TFs</w:t>
      </w:r>
      <w:r>
        <w:rPr>
          <w:rFonts w:ascii="Times New Roman" w:hAnsi="Times New Roman" w:cs="Times New Roman"/>
          <w:sz w:val="22"/>
          <w:szCs w:val="22"/>
        </w:rPr>
        <w:t xml:space="preserve"> </w:t>
      </w:r>
      <w:r w:rsidRPr="00C709B6">
        <w:rPr>
          <w:rFonts w:ascii="Times New Roman" w:hAnsi="Times New Roman" w:cs="Times New Roman"/>
          <w:sz w:val="22"/>
          <w:szCs w:val="22"/>
        </w:rPr>
        <w:t>and all 65 are E2F targets</w:t>
      </w:r>
      <w:r>
        <w:rPr>
          <w:rFonts w:ascii="Times New Roman" w:hAnsi="Times New Roman" w:cs="Times New Roman"/>
          <w:sz w:val="22"/>
          <w:szCs w:val="22"/>
        </w:rPr>
        <w:t>.</w:t>
      </w:r>
      <w:r w:rsidRPr="00C709B6">
        <w:rPr>
          <w:rFonts w:ascii="Times New Roman" w:hAnsi="Times New Roman" w:cs="Times New Roman"/>
          <w:sz w:val="22"/>
          <w:szCs w:val="22"/>
        </w:rPr>
        <w:t xml:space="preserve"> So the genes STRING flags as “cell cycle, switched off” are the same genes the GRN said “E2F stopped driving.”</w:t>
      </w:r>
    </w:p>
    <w:p w:rsidR="00C709B6" w:rsidRPr="00C709B6" w:rsidRDefault="00C709B6" w:rsidP="00C709B6">
      <w:pPr>
        <w:numPr>
          <w:ilvl w:val="0"/>
          <w:numId w:val="2"/>
        </w:numPr>
        <w:jc w:val="both"/>
        <w:rPr>
          <w:rFonts w:ascii="Times New Roman" w:hAnsi="Times New Roman" w:cs="Times New Roman"/>
          <w:sz w:val="22"/>
          <w:szCs w:val="22"/>
        </w:rPr>
      </w:pPr>
      <w:r w:rsidRPr="00C709B6">
        <w:rPr>
          <w:rFonts w:ascii="Times New Roman" w:hAnsi="Times New Roman" w:cs="Times New Roman"/>
          <w:sz w:val="22"/>
          <w:szCs w:val="22"/>
        </w:rPr>
        <w:t>On the up side, of the 497 genes in “Response to stimulus,” 252 are targets of the GRN’s activated TFs and 62 are TP53 targets. So</w:t>
      </w:r>
      <w:r>
        <w:rPr>
          <w:rFonts w:ascii="Times New Roman" w:hAnsi="Times New Roman" w:cs="Times New Roman"/>
          <w:sz w:val="22"/>
          <w:szCs w:val="22"/>
        </w:rPr>
        <w:t xml:space="preserve"> </w:t>
      </w:r>
      <w:r w:rsidRPr="00C709B6">
        <w:rPr>
          <w:rFonts w:ascii="Times New Roman" w:hAnsi="Times New Roman" w:cs="Times New Roman"/>
          <w:sz w:val="22"/>
          <w:szCs w:val="22"/>
        </w:rPr>
        <w:t>the up programme lines up with the AP1/TP53/NFKB activated pole of the GRN.</w:t>
      </w:r>
    </w:p>
    <w:p w:rsidR="00C709B6" w:rsidRDefault="00C709B6" w:rsidP="00C709B6">
      <w:pPr>
        <w:jc w:val="both"/>
        <w:rPr>
          <w:rFonts w:ascii="Times New Roman" w:hAnsi="Times New Roman" w:cs="Times New Roman"/>
          <w:sz w:val="22"/>
          <w:szCs w:val="22"/>
          <w:lang w:val="en-US"/>
        </w:rPr>
      </w:pPr>
    </w:p>
    <w:p w:rsidR="00C709B6" w:rsidRPr="00C709B6" w:rsidRDefault="00C709B6" w:rsidP="00C709B6">
      <w:pPr>
        <w:jc w:val="both"/>
        <w:rPr>
          <w:rFonts w:ascii="Times New Roman" w:hAnsi="Times New Roman" w:cs="Times New Roman"/>
          <w:sz w:val="22"/>
          <w:szCs w:val="22"/>
        </w:rPr>
      </w:pPr>
      <w:r w:rsidRPr="00C709B6">
        <w:rPr>
          <w:rFonts w:ascii="Times New Roman" w:hAnsi="Times New Roman" w:cs="Times New Roman"/>
          <w:sz w:val="22"/>
          <w:szCs w:val="22"/>
        </w:rPr>
        <w:t>This is strong because the two methods use completely different inputs (STRING = protein associations and literature; GRN = curated TF</w:t>
      </w:r>
      <w:r>
        <w:rPr>
          <w:rFonts w:ascii="Times New Roman" w:hAnsi="Times New Roman" w:cs="Times New Roman"/>
          <w:sz w:val="22"/>
          <w:szCs w:val="22"/>
        </w:rPr>
        <w:t xml:space="preserve"> -&gt; </w:t>
      </w:r>
      <w:r w:rsidRPr="00C709B6">
        <w:rPr>
          <w:rFonts w:ascii="Times New Roman" w:hAnsi="Times New Roman" w:cs="Times New Roman"/>
          <w:sz w:val="22"/>
          <w:szCs w:val="22"/>
        </w:rPr>
        <w:t>target rules). When they land on the same genes and the same directions, the result is much more convincing than either alone.</w:t>
      </w:r>
    </w:p>
    <w:p w:rsidR="00C709B6" w:rsidRPr="003C1FEC" w:rsidRDefault="00C709B6" w:rsidP="003C1FEC">
      <w:pPr>
        <w:rPr>
          <w:rFonts w:ascii="Times New Roman" w:hAnsi="Times New Roman" w:cs="Times New Roman"/>
          <w:b/>
          <w:bCs/>
          <w:lang w:val="en-US"/>
        </w:rPr>
      </w:pPr>
    </w:p>
    <w:p w:rsidR="003C1FEC" w:rsidRDefault="00C709B6"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Summary</w:t>
      </w:r>
    </w:p>
    <w:p w:rsidR="00C709B6" w:rsidRDefault="00C709B6" w:rsidP="00C709B6">
      <w:pPr>
        <w:rPr>
          <w:rFonts w:ascii="Times New Roman" w:hAnsi="Times New Roman" w:cs="Times New Roman"/>
          <w:b/>
          <w:bCs/>
          <w:lang w:val="en-US"/>
        </w:rPr>
      </w:pPr>
    </w:p>
    <w:p w:rsidR="00C709B6" w:rsidRPr="00C709B6" w:rsidRDefault="00C709B6" w:rsidP="00C709B6">
      <w:pPr>
        <w:jc w:val="both"/>
        <w:rPr>
          <w:rFonts w:ascii="Times New Roman" w:hAnsi="Times New Roman" w:cs="Times New Roman"/>
          <w:sz w:val="22"/>
          <w:szCs w:val="22"/>
        </w:rPr>
      </w:pPr>
      <w:r w:rsidRPr="00C709B6">
        <w:rPr>
          <w:rFonts w:ascii="Times New Roman" w:hAnsi="Times New Roman" w:cs="Times New Roman"/>
          <w:sz w:val="22"/>
          <w:szCs w:val="22"/>
        </w:rPr>
        <w:t xml:space="preserve">Put simply, both methods tell the same story: in tert−/− mutant muscle the cell-division machinery is switched off (E2F / cell cycle down) while a stress, remodelling and inflammation programme is switched on (TP53 / AP1 up). This “stop dividing + stress response” pattern is what </w:t>
      </w:r>
      <w:r>
        <w:rPr>
          <w:rFonts w:ascii="Times New Roman" w:hAnsi="Times New Roman" w:cs="Times New Roman"/>
          <w:sz w:val="22"/>
          <w:szCs w:val="22"/>
        </w:rPr>
        <w:t>we’d</w:t>
      </w:r>
      <w:r w:rsidRPr="00C709B6">
        <w:rPr>
          <w:rFonts w:ascii="Times New Roman" w:hAnsi="Times New Roman" w:cs="Times New Roman"/>
          <w:sz w:val="22"/>
          <w:szCs w:val="22"/>
        </w:rPr>
        <w:t xml:space="preserve"> expect from cells entering senescence, and fits the apoptosis-to-senescence switch described for this model. The STRING analysis independently backs up the GRN and adds the tissue-level remodelling picture that the GRN could not show.</w:t>
      </w:r>
    </w:p>
    <w:p w:rsidR="00C709B6" w:rsidRPr="00C709B6" w:rsidRDefault="00C709B6" w:rsidP="00C709B6">
      <w:pPr>
        <w:rPr>
          <w:rFonts w:ascii="Times New Roman" w:hAnsi="Times New Roman" w:cs="Times New Roman"/>
          <w:b/>
          <w:bCs/>
          <w:lang w:val="en-US"/>
        </w:rPr>
      </w:pPr>
    </w:p>
    <w:p w:rsidR="00C709B6" w:rsidRDefault="00C709B6"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Limitations</w:t>
      </w:r>
    </w:p>
    <w:p w:rsidR="00C709B6" w:rsidRDefault="00C709B6" w:rsidP="00C709B6">
      <w:pPr>
        <w:rPr>
          <w:rFonts w:ascii="Times New Roman" w:hAnsi="Times New Roman" w:cs="Times New Roman"/>
          <w:b/>
          <w:bCs/>
          <w:lang w:val="en-US"/>
        </w:rPr>
      </w:pPr>
    </w:p>
    <w:p w:rsidR="00C709B6" w:rsidRPr="00C709B6" w:rsidRDefault="00C709B6" w:rsidP="00C709B6">
      <w:pPr>
        <w:numPr>
          <w:ilvl w:val="0"/>
          <w:numId w:val="2"/>
        </w:numPr>
        <w:jc w:val="both"/>
        <w:rPr>
          <w:rFonts w:ascii="Times New Roman" w:hAnsi="Times New Roman" w:cs="Times New Roman"/>
          <w:sz w:val="22"/>
          <w:szCs w:val="22"/>
        </w:rPr>
      </w:pPr>
      <w:r w:rsidRPr="00C709B6">
        <w:rPr>
          <w:rFonts w:ascii="Times New Roman" w:hAnsi="Times New Roman" w:cs="Times New Roman"/>
          <w:sz w:val="22"/>
          <w:szCs w:val="22"/>
        </w:rPr>
        <w:t>The zebrafis</w:t>
      </w:r>
      <w:r>
        <w:rPr>
          <w:rFonts w:ascii="Times New Roman" w:hAnsi="Times New Roman" w:cs="Times New Roman"/>
          <w:sz w:val="22"/>
          <w:szCs w:val="22"/>
        </w:rPr>
        <w:t xml:space="preserve">h to </w:t>
      </w:r>
      <w:r w:rsidRPr="00C709B6">
        <w:rPr>
          <w:rFonts w:ascii="Times New Roman" w:hAnsi="Times New Roman" w:cs="Times New Roman"/>
          <w:sz w:val="22"/>
          <w:szCs w:val="22"/>
        </w:rPr>
        <w:t>human mapping is lossy: about a third of the DEGs did not map to a human orthologue, so those genes are not represented.</w:t>
      </w:r>
    </w:p>
    <w:p w:rsidR="00C709B6" w:rsidRPr="00C709B6" w:rsidRDefault="00C709B6" w:rsidP="00C709B6">
      <w:pPr>
        <w:numPr>
          <w:ilvl w:val="0"/>
          <w:numId w:val="2"/>
        </w:numPr>
        <w:jc w:val="both"/>
        <w:rPr>
          <w:rFonts w:ascii="Times New Roman" w:hAnsi="Times New Roman" w:cs="Times New Roman"/>
          <w:sz w:val="22"/>
          <w:szCs w:val="22"/>
        </w:rPr>
      </w:pPr>
      <w:r w:rsidRPr="00C709B6">
        <w:rPr>
          <w:rFonts w:ascii="Times New Roman" w:hAnsi="Times New Roman" w:cs="Times New Roman"/>
          <w:sz w:val="22"/>
          <w:szCs w:val="22"/>
        </w:rPr>
        <w:t>STRING enrichment does not know direction by itself</w:t>
      </w:r>
      <w:r>
        <w:rPr>
          <w:rFonts w:ascii="Times New Roman" w:hAnsi="Times New Roman" w:cs="Times New Roman"/>
          <w:sz w:val="22"/>
          <w:szCs w:val="22"/>
        </w:rPr>
        <w:t xml:space="preserve">. </w:t>
      </w:r>
      <w:r w:rsidRPr="00C709B6">
        <w:rPr>
          <w:rFonts w:ascii="Times New Roman" w:hAnsi="Times New Roman" w:cs="Times New Roman"/>
          <w:sz w:val="22"/>
          <w:szCs w:val="22"/>
        </w:rPr>
        <w:t>I imposed the up/down split manually, which is why the separate runs are more meaningful than the pooled one.</w:t>
      </w:r>
    </w:p>
    <w:p w:rsidR="00C709B6" w:rsidRPr="00C709B6" w:rsidRDefault="00C709B6" w:rsidP="00C709B6">
      <w:pPr>
        <w:numPr>
          <w:ilvl w:val="0"/>
          <w:numId w:val="2"/>
        </w:numPr>
        <w:jc w:val="both"/>
        <w:rPr>
          <w:rFonts w:ascii="Times New Roman" w:hAnsi="Times New Roman" w:cs="Times New Roman"/>
          <w:sz w:val="22"/>
          <w:szCs w:val="22"/>
        </w:rPr>
      </w:pPr>
      <w:r w:rsidRPr="00C709B6">
        <w:rPr>
          <w:rFonts w:ascii="Times New Roman" w:hAnsi="Times New Roman" w:cs="Times New Roman"/>
          <w:sz w:val="22"/>
          <w:szCs w:val="22"/>
        </w:rPr>
        <w:t>The analysis used a whole-genome background. A stricter option is to use only the genes actually expressed/testable in my experiment as the background; this can be added if needed.</w:t>
      </w:r>
    </w:p>
    <w:p w:rsidR="00C709B6" w:rsidRPr="00C709B6" w:rsidRDefault="00C709B6" w:rsidP="00C709B6">
      <w:pPr>
        <w:numPr>
          <w:ilvl w:val="0"/>
          <w:numId w:val="2"/>
        </w:numPr>
        <w:jc w:val="both"/>
        <w:rPr>
          <w:rFonts w:ascii="Times New Roman" w:hAnsi="Times New Roman" w:cs="Times New Roman"/>
          <w:sz w:val="22"/>
          <w:szCs w:val="22"/>
        </w:rPr>
      </w:pPr>
      <w:r w:rsidRPr="00C709B6">
        <w:rPr>
          <w:rFonts w:ascii="Times New Roman" w:hAnsi="Times New Roman" w:cs="Times New Roman"/>
          <w:sz w:val="22"/>
          <w:szCs w:val="22"/>
        </w:rPr>
        <w:t>Enrichment shows association, not causation</w:t>
      </w:r>
      <w:r>
        <w:rPr>
          <w:rFonts w:ascii="Times New Roman" w:hAnsi="Times New Roman" w:cs="Times New Roman"/>
          <w:sz w:val="22"/>
          <w:szCs w:val="22"/>
        </w:rPr>
        <w:t>. I</w:t>
      </w:r>
      <w:r w:rsidRPr="00C709B6">
        <w:rPr>
          <w:rFonts w:ascii="Times New Roman" w:hAnsi="Times New Roman" w:cs="Times New Roman"/>
          <w:sz w:val="22"/>
          <w:szCs w:val="22"/>
        </w:rPr>
        <w:t>t says which processes are over-represented, not that telomerase loss directly causes each one.</w:t>
      </w:r>
    </w:p>
    <w:p w:rsidR="00C709B6" w:rsidRPr="00C709B6" w:rsidRDefault="00C709B6" w:rsidP="00C709B6">
      <w:pPr>
        <w:rPr>
          <w:rFonts w:ascii="Times New Roman" w:hAnsi="Times New Roman" w:cs="Times New Roman"/>
          <w:b/>
          <w:bCs/>
          <w:lang w:val="en-US"/>
        </w:rPr>
      </w:pPr>
    </w:p>
    <w:p w:rsidR="00C709B6" w:rsidRDefault="00DD2370" w:rsidP="00F15DD5">
      <w:pPr>
        <w:pStyle w:val="ListParagraph"/>
        <w:numPr>
          <w:ilvl w:val="0"/>
          <w:numId w:val="1"/>
        </w:numPr>
        <w:ind w:left="284" w:hanging="284"/>
        <w:rPr>
          <w:rFonts w:ascii="Times New Roman" w:hAnsi="Times New Roman" w:cs="Times New Roman"/>
          <w:b/>
          <w:bCs/>
          <w:lang w:val="en-US"/>
        </w:rPr>
      </w:pPr>
      <w:r>
        <w:rPr>
          <w:rFonts w:ascii="Times New Roman" w:hAnsi="Times New Roman" w:cs="Times New Roman"/>
          <w:b/>
          <w:bCs/>
          <w:lang w:val="en-US"/>
        </w:rPr>
        <w:t>References</w:t>
      </w:r>
    </w:p>
    <w:p w:rsidR="00DD2370" w:rsidRDefault="00DD2370" w:rsidP="00DD2370">
      <w:pPr>
        <w:rPr>
          <w:rFonts w:ascii="Times New Roman" w:hAnsi="Times New Roman" w:cs="Times New Roman"/>
          <w:b/>
          <w:bCs/>
          <w:lang w:val="en-US"/>
        </w:rPr>
      </w:pPr>
    </w:p>
    <w:p w:rsidR="00DD2370" w:rsidRPr="00DD2370" w:rsidRDefault="00DD2370" w:rsidP="00DD2370">
      <w:pPr>
        <w:jc w:val="both"/>
        <w:rPr>
          <w:rFonts w:ascii="Times New Roman" w:hAnsi="Times New Roman" w:cs="Times New Roman"/>
          <w:sz w:val="22"/>
          <w:szCs w:val="22"/>
        </w:rPr>
      </w:pPr>
      <w:r>
        <w:rPr>
          <w:rFonts w:ascii="Times New Roman" w:hAnsi="Times New Roman" w:cs="Times New Roman"/>
          <w:sz w:val="22"/>
          <w:szCs w:val="22"/>
        </w:rPr>
        <w:t xml:space="preserve">[1] </w:t>
      </w:r>
      <w:r w:rsidRPr="00DD2370">
        <w:rPr>
          <w:rFonts w:ascii="Times New Roman" w:hAnsi="Times New Roman" w:cs="Times New Roman"/>
          <w:sz w:val="22"/>
          <w:szCs w:val="22"/>
        </w:rPr>
        <w:t>D. Sz</w:t>
      </w:r>
      <w:proofErr w:type="spellStart"/>
      <w:r w:rsidRPr="00DD2370">
        <w:rPr>
          <w:rFonts w:ascii="Times New Roman" w:hAnsi="Times New Roman" w:cs="Times New Roman"/>
          <w:sz w:val="22"/>
          <w:szCs w:val="22"/>
        </w:rPr>
        <w:t>klarczyk</w:t>
      </w:r>
      <w:proofErr w:type="spellEnd"/>
      <w:r w:rsidRPr="00DD2370">
        <w:rPr>
          <w:rFonts w:ascii="Times New Roman" w:hAnsi="Times New Roman" w:cs="Times New Roman"/>
          <w:sz w:val="22"/>
          <w:szCs w:val="22"/>
        </w:rPr>
        <w:t xml:space="preserve">, R. Kirsch, M. </w:t>
      </w:r>
      <w:proofErr w:type="spellStart"/>
      <w:r w:rsidRPr="00DD2370">
        <w:rPr>
          <w:rFonts w:ascii="Times New Roman" w:hAnsi="Times New Roman" w:cs="Times New Roman"/>
          <w:sz w:val="22"/>
          <w:szCs w:val="22"/>
        </w:rPr>
        <w:t>Koutrouli</w:t>
      </w:r>
      <w:proofErr w:type="spellEnd"/>
      <w:r w:rsidRPr="00DD2370">
        <w:rPr>
          <w:rFonts w:ascii="Times New Roman" w:hAnsi="Times New Roman" w:cs="Times New Roman"/>
          <w:sz w:val="22"/>
          <w:szCs w:val="22"/>
        </w:rPr>
        <w:t>, et al., "The STRING database in 2023: protein–protein association networks and functional enrichment analyses for any sequenced genome of interest"</w:t>
      </w:r>
      <w:r>
        <w:rPr>
          <w:rFonts w:ascii="Times New Roman" w:hAnsi="Times New Roman" w:cs="Times New Roman"/>
          <w:sz w:val="22"/>
          <w:szCs w:val="22"/>
        </w:rPr>
        <w:t>,</w:t>
      </w:r>
      <w:r w:rsidRPr="00DD2370">
        <w:rPr>
          <w:rFonts w:ascii="Times New Roman" w:hAnsi="Times New Roman" w:cs="Times New Roman"/>
          <w:sz w:val="22"/>
          <w:szCs w:val="22"/>
        </w:rPr>
        <w:t> </w:t>
      </w:r>
      <w:r w:rsidRPr="00DD2370">
        <w:rPr>
          <w:rFonts w:ascii="Times New Roman" w:hAnsi="Times New Roman" w:cs="Times New Roman"/>
          <w:i/>
          <w:iCs/>
          <w:sz w:val="22"/>
          <w:szCs w:val="22"/>
        </w:rPr>
        <w:t>Nucleic Acids Research</w:t>
      </w:r>
      <w:r w:rsidRPr="00DD2370">
        <w:rPr>
          <w:rFonts w:ascii="Times New Roman" w:hAnsi="Times New Roman" w:cs="Times New Roman"/>
          <w:sz w:val="22"/>
          <w:szCs w:val="22"/>
        </w:rPr>
        <w:t>, vol. 51, no. D1, pp. D638–D646, 2023.</w:t>
      </w:r>
    </w:p>
    <w:p w:rsidR="00DD2370" w:rsidRPr="00DD2370" w:rsidRDefault="00DD2370" w:rsidP="00DD2370">
      <w:pPr>
        <w:jc w:val="both"/>
        <w:rPr>
          <w:rFonts w:ascii="Times New Roman" w:hAnsi="Times New Roman" w:cs="Times New Roman"/>
          <w:sz w:val="22"/>
          <w:szCs w:val="22"/>
        </w:rPr>
      </w:pPr>
      <w:r>
        <w:rPr>
          <w:rFonts w:ascii="Times New Roman" w:hAnsi="Times New Roman" w:cs="Times New Roman"/>
          <w:sz w:val="22"/>
          <w:szCs w:val="22"/>
        </w:rPr>
        <w:t xml:space="preserve">[2] </w:t>
      </w:r>
      <w:r w:rsidRPr="00DD2370">
        <w:rPr>
          <w:rFonts w:ascii="Times New Roman" w:hAnsi="Times New Roman" w:cs="Times New Roman"/>
          <w:sz w:val="22"/>
          <w:szCs w:val="22"/>
        </w:rPr>
        <w:t>U. Ra</w:t>
      </w:r>
      <w:proofErr w:type="spellStart"/>
      <w:r w:rsidRPr="00DD2370">
        <w:rPr>
          <w:rFonts w:ascii="Times New Roman" w:hAnsi="Times New Roman" w:cs="Times New Roman"/>
          <w:sz w:val="22"/>
          <w:szCs w:val="22"/>
        </w:rPr>
        <w:t>udvere</w:t>
      </w:r>
      <w:proofErr w:type="spellEnd"/>
      <w:r w:rsidRPr="00DD2370">
        <w:rPr>
          <w:rFonts w:ascii="Times New Roman" w:hAnsi="Times New Roman" w:cs="Times New Roman"/>
          <w:sz w:val="22"/>
          <w:szCs w:val="22"/>
        </w:rPr>
        <w:t xml:space="preserve">, L. </w:t>
      </w:r>
      <w:proofErr w:type="spellStart"/>
      <w:r w:rsidRPr="00DD2370">
        <w:rPr>
          <w:rFonts w:ascii="Times New Roman" w:hAnsi="Times New Roman" w:cs="Times New Roman"/>
          <w:sz w:val="22"/>
          <w:szCs w:val="22"/>
        </w:rPr>
        <w:t>Kolberg</w:t>
      </w:r>
      <w:proofErr w:type="spellEnd"/>
      <w:r w:rsidRPr="00DD2370">
        <w:rPr>
          <w:rFonts w:ascii="Times New Roman" w:hAnsi="Times New Roman" w:cs="Times New Roman"/>
          <w:sz w:val="22"/>
          <w:szCs w:val="22"/>
        </w:rPr>
        <w:t xml:space="preserve">, I. </w:t>
      </w:r>
      <w:proofErr w:type="spellStart"/>
      <w:r w:rsidRPr="00DD2370">
        <w:rPr>
          <w:rFonts w:ascii="Times New Roman" w:hAnsi="Times New Roman" w:cs="Times New Roman"/>
          <w:sz w:val="22"/>
          <w:szCs w:val="22"/>
        </w:rPr>
        <w:t>Kuzmin</w:t>
      </w:r>
      <w:proofErr w:type="spellEnd"/>
      <w:r w:rsidRPr="00DD2370">
        <w:rPr>
          <w:rFonts w:ascii="Times New Roman" w:hAnsi="Times New Roman" w:cs="Times New Roman"/>
          <w:sz w:val="22"/>
          <w:szCs w:val="22"/>
        </w:rPr>
        <w:t>, et al., "</w:t>
      </w:r>
      <w:proofErr w:type="spellStart"/>
      <w:r w:rsidRPr="00DD2370">
        <w:rPr>
          <w:rFonts w:ascii="Times New Roman" w:hAnsi="Times New Roman" w:cs="Times New Roman"/>
          <w:sz w:val="22"/>
          <w:szCs w:val="22"/>
        </w:rPr>
        <w:t>g:Profiler</w:t>
      </w:r>
      <w:proofErr w:type="spellEnd"/>
      <w:r w:rsidRPr="00DD2370">
        <w:rPr>
          <w:rFonts w:ascii="Times New Roman" w:hAnsi="Times New Roman" w:cs="Times New Roman"/>
          <w:sz w:val="22"/>
          <w:szCs w:val="22"/>
        </w:rPr>
        <w:t>: a web server for functional enrichment analysis and conversions of gene lists (2019 update)"</w:t>
      </w:r>
      <w:r>
        <w:rPr>
          <w:rFonts w:ascii="Times New Roman" w:hAnsi="Times New Roman" w:cs="Times New Roman"/>
          <w:sz w:val="22"/>
          <w:szCs w:val="22"/>
        </w:rPr>
        <w:t>,</w:t>
      </w:r>
      <w:r w:rsidRPr="00DD2370">
        <w:rPr>
          <w:rFonts w:ascii="Times New Roman" w:hAnsi="Times New Roman" w:cs="Times New Roman"/>
          <w:sz w:val="22"/>
          <w:szCs w:val="22"/>
        </w:rPr>
        <w:t> </w:t>
      </w:r>
      <w:r w:rsidRPr="00DD2370">
        <w:rPr>
          <w:rFonts w:ascii="Times New Roman" w:hAnsi="Times New Roman" w:cs="Times New Roman"/>
          <w:i/>
          <w:iCs/>
          <w:sz w:val="22"/>
          <w:szCs w:val="22"/>
        </w:rPr>
        <w:t>Nucleic Acids Research</w:t>
      </w:r>
      <w:r w:rsidRPr="00DD2370">
        <w:rPr>
          <w:rFonts w:ascii="Times New Roman" w:hAnsi="Times New Roman" w:cs="Times New Roman"/>
          <w:sz w:val="22"/>
          <w:szCs w:val="22"/>
        </w:rPr>
        <w:t>, vol. 47, no. W1, pp. W191–W198, 2019.</w:t>
      </w:r>
    </w:p>
    <w:p w:rsidR="00DD2370" w:rsidRDefault="00DD2370" w:rsidP="00DD2370">
      <w:pPr>
        <w:jc w:val="both"/>
        <w:rPr>
          <w:rFonts w:ascii="Times New Roman" w:hAnsi="Times New Roman" w:cs="Times New Roman"/>
          <w:sz w:val="22"/>
          <w:szCs w:val="22"/>
        </w:rPr>
      </w:pPr>
      <w:r>
        <w:rPr>
          <w:rFonts w:ascii="Times New Roman" w:hAnsi="Times New Roman" w:cs="Times New Roman"/>
          <w:sz w:val="22"/>
          <w:szCs w:val="22"/>
        </w:rPr>
        <w:t xml:space="preserve">[3] </w:t>
      </w:r>
      <w:r w:rsidRPr="00DD2370">
        <w:rPr>
          <w:rFonts w:ascii="Times New Roman" w:hAnsi="Times New Roman" w:cs="Times New Roman"/>
          <w:sz w:val="22"/>
          <w:szCs w:val="22"/>
        </w:rPr>
        <w:t>The Gene Ontology Consortium, "The Gene Ontology knowledgebase in 2023"</w:t>
      </w:r>
      <w:r>
        <w:rPr>
          <w:rFonts w:ascii="Times New Roman" w:hAnsi="Times New Roman" w:cs="Times New Roman"/>
          <w:sz w:val="22"/>
          <w:szCs w:val="22"/>
        </w:rPr>
        <w:t>,</w:t>
      </w:r>
      <w:r w:rsidRPr="00DD2370">
        <w:rPr>
          <w:rFonts w:ascii="Times New Roman" w:hAnsi="Times New Roman" w:cs="Times New Roman"/>
          <w:sz w:val="22"/>
          <w:szCs w:val="22"/>
        </w:rPr>
        <w:t> </w:t>
      </w:r>
      <w:r w:rsidRPr="00DD2370">
        <w:rPr>
          <w:rFonts w:ascii="Times New Roman" w:hAnsi="Times New Roman" w:cs="Times New Roman"/>
          <w:i/>
          <w:iCs/>
          <w:sz w:val="22"/>
          <w:szCs w:val="22"/>
        </w:rPr>
        <w:t>Genetics</w:t>
      </w:r>
      <w:r w:rsidRPr="00DD2370">
        <w:rPr>
          <w:rFonts w:ascii="Times New Roman" w:hAnsi="Times New Roman" w:cs="Times New Roman"/>
          <w:sz w:val="22"/>
          <w:szCs w:val="22"/>
        </w:rPr>
        <w:t>, vol. 224, no. 1, iyad031, 2023</w:t>
      </w:r>
      <w:r>
        <w:rPr>
          <w:rFonts w:ascii="Times New Roman" w:hAnsi="Times New Roman" w:cs="Times New Roman"/>
          <w:sz w:val="22"/>
          <w:szCs w:val="22"/>
        </w:rPr>
        <w:t>.</w:t>
      </w:r>
    </w:p>
    <w:p w:rsidR="00DD2370" w:rsidRDefault="00DD2370" w:rsidP="00DD2370">
      <w:pPr>
        <w:jc w:val="both"/>
        <w:rPr>
          <w:rFonts w:ascii="Times New Roman" w:hAnsi="Times New Roman" w:cs="Times New Roman"/>
          <w:sz w:val="22"/>
          <w:szCs w:val="22"/>
        </w:rPr>
      </w:pPr>
      <w:r>
        <w:rPr>
          <w:rFonts w:ascii="Times New Roman" w:hAnsi="Times New Roman" w:cs="Times New Roman"/>
          <w:sz w:val="22"/>
          <w:szCs w:val="22"/>
        </w:rPr>
        <w:t xml:space="preserve">[4] </w:t>
      </w:r>
      <w:r w:rsidRPr="00DD2370">
        <w:rPr>
          <w:rFonts w:ascii="Times New Roman" w:hAnsi="Times New Roman" w:cs="Times New Roman"/>
          <w:sz w:val="22"/>
          <w:szCs w:val="22"/>
        </w:rPr>
        <w:t>M. Ka</w:t>
      </w:r>
      <w:proofErr w:type="spellStart"/>
      <w:r w:rsidRPr="00DD2370">
        <w:rPr>
          <w:rFonts w:ascii="Times New Roman" w:hAnsi="Times New Roman" w:cs="Times New Roman"/>
          <w:sz w:val="22"/>
          <w:szCs w:val="22"/>
        </w:rPr>
        <w:t>nehisa</w:t>
      </w:r>
      <w:proofErr w:type="spellEnd"/>
      <w:r w:rsidRPr="00DD2370">
        <w:rPr>
          <w:rFonts w:ascii="Times New Roman" w:hAnsi="Times New Roman" w:cs="Times New Roman"/>
          <w:sz w:val="22"/>
          <w:szCs w:val="22"/>
        </w:rPr>
        <w:t xml:space="preserve"> and S. </w:t>
      </w:r>
      <w:proofErr w:type="spellStart"/>
      <w:r w:rsidRPr="00DD2370">
        <w:rPr>
          <w:rFonts w:ascii="Times New Roman" w:hAnsi="Times New Roman" w:cs="Times New Roman"/>
          <w:sz w:val="22"/>
          <w:szCs w:val="22"/>
        </w:rPr>
        <w:t>Goto</w:t>
      </w:r>
      <w:proofErr w:type="spellEnd"/>
      <w:r w:rsidRPr="00DD2370">
        <w:rPr>
          <w:rFonts w:ascii="Times New Roman" w:hAnsi="Times New Roman" w:cs="Times New Roman"/>
          <w:sz w:val="22"/>
          <w:szCs w:val="22"/>
        </w:rPr>
        <w:t xml:space="preserve">, "KEGG: Kyoto </w:t>
      </w:r>
      <w:proofErr w:type="spellStart"/>
      <w:r w:rsidRPr="00DD2370">
        <w:rPr>
          <w:rFonts w:ascii="Times New Roman" w:hAnsi="Times New Roman" w:cs="Times New Roman"/>
          <w:sz w:val="22"/>
          <w:szCs w:val="22"/>
        </w:rPr>
        <w:t>Encyclopedia</w:t>
      </w:r>
      <w:proofErr w:type="spellEnd"/>
      <w:r w:rsidRPr="00DD2370">
        <w:rPr>
          <w:rFonts w:ascii="Times New Roman" w:hAnsi="Times New Roman" w:cs="Times New Roman"/>
          <w:sz w:val="22"/>
          <w:szCs w:val="22"/>
        </w:rPr>
        <w:t xml:space="preserve"> of Genes and Genomes"</w:t>
      </w:r>
      <w:r>
        <w:rPr>
          <w:rFonts w:ascii="Times New Roman" w:hAnsi="Times New Roman" w:cs="Times New Roman"/>
          <w:sz w:val="22"/>
          <w:szCs w:val="22"/>
        </w:rPr>
        <w:t>,</w:t>
      </w:r>
      <w:r w:rsidRPr="00DD2370">
        <w:rPr>
          <w:rFonts w:ascii="Times New Roman" w:hAnsi="Times New Roman" w:cs="Times New Roman"/>
          <w:sz w:val="22"/>
          <w:szCs w:val="22"/>
        </w:rPr>
        <w:t> </w:t>
      </w:r>
      <w:r w:rsidRPr="00DD2370">
        <w:rPr>
          <w:rFonts w:ascii="Times New Roman" w:hAnsi="Times New Roman" w:cs="Times New Roman"/>
          <w:i/>
          <w:iCs/>
          <w:sz w:val="22"/>
          <w:szCs w:val="22"/>
        </w:rPr>
        <w:t>Nucleic Acids Research</w:t>
      </w:r>
      <w:r w:rsidRPr="00DD2370">
        <w:rPr>
          <w:rFonts w:ascii="Times New Roman" w:hAnsi="Times New Roman" w:cs="Times New Roman"/>
          <w:sz w:val="22"/>
          <w:szCs w:val="22"/>
        </w:rPr>
        <w:t>, vol. 28, no. 1, pp. 27–30, 2000.</w:t>
      </w:r>
    </w:p>
    <w:p w:rsidR="001F1513" w:rsidRDefault="00DD2370" w:rsidP="00DD2370">
      <w:pPr>
        <w:jc w:val="both"/>
        <w:rPr>
          <w:rFonts w:ascii="Times New Roman" w:hAnsi="Times New Roman" w:cs="Times New Roman"/>
          <w:sz w:val="22"/>
          <w:szCs w:val="22"/>
        </w:rPr>
      </w:pPr>
      <w:r>
        <w:rPr>
          <w:rFonts w:ascii="Times New Roman" w:hAnsi="Times New Roman" w:cs="Times New Roman"/>
          <w:sz w:val="22"/>
          <w:szCs w:val="22"/>
        </w:rPr>
        <w:t xml:space="preserve">[5] </w:t>
      </w:r>
      <w:r w:rsidRPr="00DD2370">
        <w:rPr>
          <w:rFonts w:ascii="Times New Roman" w:hAnsi="Times New Roman" w:cs="Times New Roman"/>
          <w:sz w:val="22"/>
          <w:szCs w:val="22"/>
        </w:rPr>
        <w:t xml:space="preserve">M. Gillespie, B. </w:t>
      </w:r>
      <w:proofErr w:type="spellStart"/>
      <w:r w:rsidRPr="00DD2370">
        <w:rPr>
          <w:rFonts w:ascii="Times New Roman" w:hAnsi="Times New Roman" w:cs="Times New Roman"/>
          <w:sz w:val="22"/>
          <w:szCs w:val="22"/>
        </w:rPr>
        <w:t>Jassal</w:t>
      </w:r>
      <w:proofErr w:type="spellEnd"/>
      <w:r w:rsidRPr="00DD2370">
        <w:rPr>
          <w:rFonts w:ascii="Times New Roman" w:hAnsi="Times New Roman" w:cs="Times New Roman"/>
          <w:sz w:val="22"/>
          <w:szCs w:val="22"/>
        </w:rPr>
        <w:t xml:space="preserve">, R. Stephan, et al., "The </w:t>
      </w:r>
      <w:proofErr w:type="spellStart"/>
      <w:r w:rsidRPr="00DD2370">
        <w:rPr>
          <w:rFonts w:ascii="Times New Roman" w:hAnsi="Times New Roman" w:cs="Times New Roman"/>
          <w:sz w:val="22"/>
          <w:szCs w:val="22"/>
        </w:rPr>
        <w:t>Reactome</w:t>
      </w:r>
      <w:proofErr w:type="spellEnd"/>
      <w:r w:rsidRPr="00DD2370">
        <w:rPr>
          <w:rFonts w:ascii="Times New Roman" w:hAnsi="Times New Roman" w:cs="Times New Roman"/>
          <w:sz w:val="22"/>
          <w:szCs w:val="22"/>
        </w:rPr>
        <w:t xml:space="preserve"> pathway knowledgebase 2022"</w:t>
      </w:r>
      <w:r>
        <w:rPr>
          <w:rFonts w:ascii="Times New Roman" w:hAnsi="Times New Roman" w:cs="Times New Roman"/>
          <w:sz w:val="22"/>
          <w:szCs w:val="22"/>
        </w:rPr>
        <w:t>,</w:t>
      </w:r>
      <w:r w:rsidRPr="00DD2370">
        <w:rPr>
          <w:rFonts w:ascii="Times New Roman" w:hAnsi="Times New Roman" w:cs="Times New Roman"/>
          <w:sz w:val="22"/>
          <w:szCs w:val="22"/>
        </w:rPr>
        <w:t> </w:t>
      </w:r>
      <w:r w:rsidRPr="00DD2370">
        <w:rPr>
          <w:rFonts w:ascii="Times New Roman" w:hAnsi="Times New Roman" w:cs="Times New Roman"/>
          <w:i/>
          <w:iCs/>
          <w:sz w:val="22"/>
          <w:szCs w:val="22"/>
        </w:rPr>
        <w:t>Nucleic Acids Research</w:t>
      </w:r>
      <w:r w:rsidRPr="00DD2370">
        <w:rPr>
          <w:rFonts w:ascii="Times New Roman" w:hAnsi="Times New Roman" w:cs="Times New Roman"/>
          <w:sz w:val="22"/>
          <w:szCs w:val="22"/>
        </w:rPr>
        <w:t>, vol. 50, no. D1, pp. D687–D692, 2022.</w:t>
      </w:r>
    </w:p>
    <w:p w:rsidR="00DD2370" w:rsidRPr="001F1513" w:rsidRDefault="00DD2370" w:rsidP="00DD2370">
      <w:pPr>
        <w:jc w:val="both"/>
        <w:rPr>
          <w:rFonts w:ascii="Times New Roman" w:hAnsi="Times New Roman" w:cs="Times New Roman"/>
          <w:sz w:val="22"/>
          <w:szCs w:val="22"/>
        </w:rPr>
      </w:pPr>
      <w:r>
        <w:rPr>
          <w:rFonts w:ascii="Times New Roman" w:hAnsi="Times New Roman" w:cs="Times New Roman"/>
          <w:sz w:val="22"/>
          <w:szCs w:val="22"/>
        </w:rPr>
        <w:t xml:space="preserve">[6] </w:t>
      </w:r>
      <w:r w:rsidRPr="00DD2370">
        <w:rPr>
          <w:rFonts w:ascii="Times New Roman" w:hAnsi="Times New Roman" w:cs="Times New Roman"/>
          <w:sz w:val="22"/>
          <w:szCs w:val="22"/>
        </w:rPr>
        <w:t xml:space="preserve">M. Martens, A. Ammar, A. </w:t>
      </w:r>
      <w:proofErr w:type="spellStart"/>
      <w:r w:rsidRPr="00DD2370">
        <w:rPr>
          <w:rFonts w:ascii="Times New Roman" w:hAnsi="Times New Roman" w:cs="Times New Roman"/>
          <w:sz w:val="22"/>
          <w:szCs w:val="22"/>
        </w:rPr>
        <w:t>Riutta</w:t>
      </w:r>
      <w:proofErr w:type="spellEnd"/>
      <w:r w:rsidRPr="00DD2370">
        <w:rPr>
          <w:rFonts w:ascii="Times New Roman" w:hAnsi="Times New Roman" w:cs="Times New Roman"/>
          <w:sz w:val="22"/>
          <w:szCs w:val="22"/>
        </w:rPr>
        <w:t>, et al., "</w:t>
      </w:r>
      <w:proofErr w:type="spellStart"/>
      <w:r w:rsidRPr="00DD2370">
        <w:rPr>
          <w:rFonts w:ascii="Times New Roman" w:hAnsi="Times New Roman" w:cs="Times New Roman"/>
          <w:sz w:val="22"/>
          <w:szCs w:val="22"/>
        </w:rPr>
        <w:t>WikiPathways</w:t>
      </w:r>
      <w:proofErr w:type="spellEnd"/>
      <w:r w:rsidRPr="00DD2370">
        <w:rPr>
          <w:rFonts w:ascii="Times New Roman" w:hAnsi="Times New Roman" w:cs="Times New Roman"/>
          <w:sz w:val="22"/>
          <w:szCs w:val="22"/>
        </w:rPr>
        <w:t>: connecting communities"</w:t>
      </w:r>
      <w:r>
        <w:rPr>
          <w:rFonts w:ascii="Times New Roman" w:hAnsi="Times New Roman" w:cs="Times New Roman"/>
          <w:sz w:val="22"/>
          <w:szCs w:val="22"/>
        </w:rPr>
        <w:t>,</w:t>
      </w:r>
      <w:r w:rsidRPr="00DD2370">
        <w:rPr>
          <w:rFonts w:ascii="Times New Roman" w:hAnsi="Times New Roman" w:cs="Times New Roman"/>
          <w:sz w:val="22"/>
          <w:szCs w:val="22"/>
        </w:rPr>
        <w:t> </w:t>
      </w:r>
      <w:r w:rsidRPr="00DD2370">
        <w:rPr>
          <w:rFonts w:ascii="Times New Roman" w:hAnsi="Times New Roman" w:cs="Times New Roman"/>
          <w:i/>
          <w:iCs/>
          <w:sz w:val="22"/>
          <w:szCs w:val="22"/>
        </w:rPr>
        <w:t>Nucleic Acids Research</w:t>
      </w:r>
      <w:r w:rsidRPr="00DD2370">
        <w:rPr>
          <w:rFonts w:ascii="Times New Roman" w:hAnsi="Times New Roman" w:cs="Times New Roman"/>
          <w:sz w:val="22"/>
          <w:szCs w:val="22"/>
        </w:rPr>
        <w:t>, vol. 49, no. D1, pp. D613–D621, 2021</w:t>
      </w:r>
      <w:r w:rsidR="001F1513">
        <w:rPr>
          <w:rFonts w:ascii="Times New Roman" w:hAnsi="Times New Roman" w:cs="Times New Roman"/>
          <w:sz w:val="22"/>
          <w:szCs w:val="22"/>
        </w:rPr>
        <w:t>.</w:t>
      </w:r>
    </w:p>
    <w:p w:rsidR="00F15DD5" w:rsidRPr="00F15DD5" w:rsidRDefault="00F15DD5" w:rsidP="00F15DD5">
      <w:pPr>
        <w:rPr>
          <w:rFonts w:ascii="Times New Roman" w:hAnsi="Times New Roman" w:cs="Times New Roman"/>
          <w:b/>
          <w:bCs/>
          <w:lang w:val="en-US"/>
        </w:rPr>
      </w:pPr>
    </w:p>
    <w:sectPr w:rsidR="00F15DD5" w:rsidRPr="00F15D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67A80"/>
    <w:multiLevelType w:val="hybridMultilevel"/>
    <w:tmpl w:val="A79EF0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1E44CF"/>
    <w:multiLevelType w:val="hybridMultilevel"/>
    <w:tmpl w:val="1924F8E2"/>
    <w:lvl w:ilvl="0" w:tplc="88664168">
      <w:start w:val="1"/>
      <w:numFmt w:val="bullet"/>
      <w:lvlText w:val="●"/>
      <w:lvlJc w:val="left"/>
      <w:pPr>
        <w:ind w:left="720" w:hanging="360"/>
      </w:pPr>
    </w:lvl>
    <w:lvl w:ilvl="1" w:tplc="8E3CF5FA">
      <w:start w:val="1"/>
      <w:numFmt w:val="bullet"/>
      <w:lvlText w:val="○"/>
      <w:lvlJc w:val="left"/>
      <w:pPr>
        <w:ind w:left="1440" w:hanging="360"/>
      </w:pPr>
    </w:lvl>
    <w:lvl w:ilvl="2" w:tplc="35241622">
      <w:start w:val="1"/>
      <w:numFmt w:val="bullet"/>
      <w:lvlText w:val="■"/>
      <w:lvlJc w:val="left"/>
      <w:pPr>
        <w:ind w:left="2160" w:hanging="360"/>
      </w:pPr>
    </w:lvl>
    <w:lvl w:ilvl="3" w:tplc="7EDE90F4">
      <w:start w:val="1"/>
      <w:numFmt w:val="bullet"/>
      <w:lvlText w:val="●"/>
      <w:lvlJc w:val="left"/>
      <w:pPr>
        <w:ind w:left="2880" w:hanging="360"/>
      </w:pPr>
    </w:lvl>
    <w:lvl w:ilvl="4" w:tplc="43B002D0">
      <w:start w:val="1"/>
      <w:numFmt w:val="bullet"/>
      <w:lvlText w:val="○"/>
      <w:lvlJc w:val="left"/>
      <w:pPr>
        <w:ind w:left="3600" w:hanging="360"/>
      </w:pPr>
    </w:lvl>
    <w:lvl w:ilvl="5" w:tplc="5CA24CDC">
      <w:start w:val="1"/>
      <w:numFmt w:val="bullet"/>
      <w:lvlText w:val="■"/>
      <w:lvlJc w:val="left"/>
      <w:pPr>
        <w:ind w:left="4320" w:hanging="360"/>
      </w:pPr>
    </w:lvl>
    <w:lvl w:ilvl="6" w:tplc="1F6E3E96">
      <w:start w:val="1"/>
      <w:numFmt w:val="bullet"/>
      <w:lvlText w:val="●"/>
      <w:lvlJc w:val="left"/>
      <w:pPr>
        <w:ind w:left="5040" w:hanging="360"/>
      </w:pPr>
    </w:lvl>
    <w:lvl w:ilvl="7" w:tplc="61FA520E">
      <w:start w:val="1"/>
      <w:numFmt w:val="bullet"/>
      <w:lvlText w:val="●"/>
      <w:lvlJc w:val="left"/>
      <w:pPr>
        <w:ind w:left="5760" w:hanging="360"/>
      </w:pPr>
    </w:lvl>
    <w:lvl w:ilvl="8" w:tplc="798689EE">
      <w:start w:val="1"/>
      <w:numFmt w:val="bullet"/>
      <w:lvlText w:val="●"/>
      <w:lvlJc w:val="left"/>
      <w:pPr>
        <w:ind w:left="6480" w:hanging="360"/>
      </w:pPr>
    </w:lvl>
  </w:abstractNum>
  <w:num w:numId="1" w16cid:durableId="564415194">
    <w:abstractNumId w:val="0"/>
  </w:num>
  <w:num w:numId="2" w16cid:durableId="1793941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D5"/>
    <w:rsid w:val="001F1513"/>
    <w:rsid w:val="003C1FEC"/>
    <w:rsid w:val="003D262E"/>
    <w:rsid w:val="0057501A"/>
    <w:rsid w:val="007459B5"/>
    <w:rsid w:val="00AA40CC"/>
    <w:rsid w:val="00C709B6"/>
    <w:rsid w:val="00DD2370"/>
    <w:rsid w:val="00DF68C5"/>
    <w:rsid w:val="00F15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7FD9DD"/>
  <w15:chartTrackingRefBased/>
  <w15:docId w15:val="{D8DE76EE-2CA5-364B-B7C8-F8FFE100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DD5"/>
    <w:pPr>
      <w:ind w:left="720"/>
      <w:contextualSpacing/>
    </w:pPr>
  </w:style>
  <w:style w:type="table" w:styleId="TableGrid">
    <w:name w:val="Table Grid"/>
    <w:basedOn w:val="TableNormal"/>
    <w:uiPriority w:val="39"/>
    <w:rsid w:val="00F15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67668">
      <w:bodyDiv w:val="1"/>
      <w:marLeft w:val="0"/>
      <w:marRight w:val="0"/>
      <w:marTop w:val="0"/>
      <w:marBottom w:val="0"/>
      <w:divBdr>
        <w:top w:val="none" w:sz="0" w:space="0" w:color="auto"/>
        <w:left w:val="none" w:sz="0" w:space="0" w:color="auto"/>
        <w:bottom w:val="none" w:sz="0" w:space="0" w:color="auto"/>
        <w:right w:val="none" w:sz="0" w:space="0" w:color="auto"/>
      </w:divBdr>
    </w:div>
    <w:div w:id="191689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1755</Words>
  <Characters>10007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1</cp:revision>
  <dcterms:created xsi:type="dcterms:W3CDTF">2026-07-07T21:36:00Z</dcterms:created>
  <dcterms:modified xsi:type="dcterms:W3CDTF">2026-07-07T22:19:00Z</dcterms:modified>
</cp:coreProperties>
</file>