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Usage DISCLOSURE FORM</w:t>
      </w:r>
    </w:p>
    <w:p>
      <w:pPr>
        <w:pStyle w:val="Heading1"/>
      </w:pPr>
      <w:r>
        <w:t>1. Team Details</w:t>
      </w:r>
    </w:p>
    <w:p>
      <w:r>
        <w:rPr>
          <w:b/>
        </w:rPr>
        <w:t xml:space="preserve">Team Name: </w:t>
      </w:r>
      <w:r>
        <w:t>Thapar_TheMPeople_5</w:t>
        <w:br/>
      </w:r>
      <w:r>
        <w:rPr>
          <w:b/>
        </w:rPr>
        <w:t xml:space="preserve">Project / Product Name: </w:t>
      </w:r>
      <w:r>
        <w:t>Interruptible Real-Time Conversational Voice Agent (Theme 5)</w:t>
        <w:br/>
      </w:r>
      <w:r>
        <w:rPr>
          <w:b/>
        </w:rPr>
        <w:t xml:space="preserve">Organization / Institution: </w:t>
      </w:r>
      <w:r>
        <w:t>Thapar Institute of Engineering and Technology</w:t>
        <w:br/>
      </w:r>
      <w:r>
        <w:rPr>
          <w:b/>
        </w:rPr>
        <w:t xml:space="preserve">Submission Date: </w:t>
      </w:r>
      <w:r>
        <w:t>30 September 2026</w:t>
      </w:r>
    </w:p>
    <w:p>
      <w:pPr>
        <w:pStyle w:val="Heading1"/>
      </w:pPr>
      <w:r>
        <w:t>2. AI Usage Declaration</w:t>
      </w:r>
    </w:p>
    <w:p>
      <w:r>
        <w:rPr>
          <w:b/>
        </w:rPr>
        <w:t>Did your team use any Artificial Intelligence (AI) in developing this project?</w:t>
        <w:br/>
      </w:r>
      <w:r>
        <w:t>Yes [X]   No [ ]</w:t>
        <w:br/>
      </w:r>
      <w:r>
        <w:t>Declaration: AI was utilized responsibly as an engineering co-pilot for architecture brainstorming, asynchronous ReAct pipeline scaffolding, and test harness latency optimization.</w:t>
      </w:r>
    </w:p>
    <w:p>
      <w:pPr>
        <w:pStyle w:val="Heading1"/>
      </w:pPr>
      <w:r>
        <w:t>3. Purpose of AI Usage (Brief Details)</w:t>
      </w:r>
    </w:p>
    <w:p>
      <w:r>
        <w:rPr>
          <w:b/>
        </w:rPr>
        <w:t xml:space="preserve">• Idea generation / brainstorming: </w:t>
      </w:r>
      <w:r>
        <w:t>Explored dual-process Fast/Slow architecture patterns to resolve voice duplex conversational latency under 800ms.</w:t>
      </w:r>
    </w:p>
    <w:p>
      <w:r>
        <w:rPr>
          <w:b/>
        </w:rPr>
        <w:t xml:space="preserve">• Code generation or assistance: </w:t>
      </w:r>
      <w:r>
        <w:t>Drafted boilerplate asynchronous event queue loops and Pydantic slot extraction structures.</w:t>
      </w:r>
    </w:p>
    <w:p>
      <w:r>
        <w:rPr>
          <w:b/>
        </w:rPr>
        <w:t xml:space="preserve">• UI / UX design: </w:t>
      </w:r>
      <w:r>
        <w:t>N/A (Backend voice-native streaming agent).</w:t>
      </w:r>
    </w:p>
    <w:p>
      <w:r>
        <w:rPr>
          <w:b/>
        </w:rPr>
        <w:t xml:space="preserve">• Content creation: </w:t>
      </w:r>
      <w:r>
        <w:t>Formatted technical README documentation and benchmark presentation slides.</w:t>
      </w:r>
    </w:p>
    <w:p>
      <w:r>
        <w:rPr>
          <w:b/>
        </w:rPr>
        <w:t xml:space="preserve">• Data analysis: </w:t>
      </w:r>
      <w:r>
        <w:t>Analyzed evaluation trace logs to pinpoint task cancellation timing upon user interruptions.</w:t>
      </w:r>
    </w:p>
    <w:p>
      <w:r>
        <w:rPr>
          <w:b/>
        </w:rPr>
        <w:t xml:space="preserve">• Testing / debugging: </w:t>
      </w:r>
      <w:r>
        <w:t>Debugged asyncio.CancelledError exception propagation inside the official evaluation harness (eval_submission.py).</w:t>
      </w:r>
    </w:p>
    <w:p>
      <w:r>
        <w:rPr>
          <w:b/>
        </w:rPr>
        <w:t xml:space="preserve">• Other: </w:t>
      </w:r>
      <w:r>
        <w:t>Benchmarked Gemini 1.5 Flash structured output schema against multi-tool dynamic dispatch.</w:t>
      </w:r>
    </w:p>
    <w:p>
      <w:pPr>
        <w:pStyle w:val="Heading1"/>
      </w:pPr>
      <w:r>
        <w:t>4. Feature Origin Classification</w:t>
      </w:r>
    </w:p>
    <w:p>
      <w:pPr>
        <w:pStyle w:val="Heading2"/>
      </w:pPr>
      <w:r>
        <w:t>Feature 1: Dual-Process Fast-and-Slow Latency Handler</w:t>
      </w:r>
    </w:p>
    <w:p>
      <w:r>
        <w:rPr>
          <w:b/>
        </w:rPr>
        <w:t xml:space="preserve">Origin: </w:t>
      </w:r>
      <w:r>
        <w:t>Both</w:t>
        <w:br/>
      </w:r>
      <w:r>
        <w:rPr>
          <w:b/>
        </w:rPr>
        <w:t xml:space="preserve">Description: </w:t>
      </w:r>
      <w:r>
        <w:t>Used Google Gemini/Antigravity Agent to brainstorm methods for hitting the sub-800ms duplex latency threshold. AI suggested decoupling conversational filler acknowledgments (filler_speech) from deep LLM inference. Human developers implemented the asynchronous task lifecycle, state machine, and queue management to guarantee zero-wait conversational reflex.</w:t>
      </w:r>
    </w:p>
    <w:p>
      <w:pPr>
        <w:pStyle w:val="Heading2"/>
      </w:pPr>
      <w:r>
        <w:t>Feature 2: Dynamic Intent &amp; Multi-Hop Tool Dispatcher</w:t>
      </w:r>
    </w:p>
    <w:p>
      <w:r>
        <w:rPr>
          <w:b/>
        </w:rPr>
        <w:t xml:space="preserve">Origin: </w:t>
      </w:r>
      <w:r>
        <w:t>Both</w:t>
        <w:br/>
      </w:r>
      <w:r>
        <w:rPr>
          <w:b/>
        </w:rPr>
        <w:t xml:space="preserve">Description: </w:t>
      </w:r>
      <w:r>
        <w:t>Used LLM prompting to extract tool-calling schemas dynamically from the harness tool_manifest without hardcoding API names or argument shapes. Developers fine-tuned the prompt system message, output parsing, and tool-retry logic to handle upstream API timeouts (pub_08).</w:t>
      </w:r>
    </w:p>
    <w:p>
      <w:pPr>
        <w:pStyle w:val="Heading2"/>
      </w:pPr>
      <w:r>
        <w:t>Feature 3: Mid-Turn Interruption &amp; State Invalidation</w:t>
      </w:r>
    </w:p>
    <w:p>
      <w:r>
        <w:rPr>
          <w:b/>
        </w:rPr>
        <w:t xml:space="preserve">Origin: </w:t>
      </w:r>
      <w:r>
        <w:t>Self-Generated / Both</w:t>
        <w:br/>
      </w:r>
      <w:r>
        <w:rPr>
          <w:b/>
        </w:rPr>
        <w:t xml:space="preserve">Description: </w:t>
      </w:r>
      <w:r>
        <w:t>Architected by team members to satisfy the strict Theme 5 recovery metric. AI was used to verify clean task cancellation patterns in Python asyncio to guarantee that stale tool executions (e.g. flight searches or bookings) abort immediately upon user voice barge-in.</w:t>
      </w:r>
    </w:p>
    <w:p>
      <w:pPr>
        <w:pStyle w:val="Heading1"/>
      </w:pPr>
      <w:r>
        <w:t>5. Ethical &amp; Compliance Confirmation</w:t>
      </w:r>
    </w:p>
    <w:p>
      <w:r>
        <w:rPr>
          <w:b/>
        </w:rPr>
        <w:t xml:space="preserve">• AI usage complies with guidelines and policies: </w:t>
      </w:r>
      <w:r>
        <w:t>Yes [X]</w:t>
        <w:br/>
      </w:r>
      <w:r>
        <w:rPr>
          <w:b/>
        </w:rPr>
        <w:t xml:space="preserve">• No proprietary or copyrighted data misused: </w:t>
      </w:r>
      <w:r>
        <w:t>I Agree [X]</w:t>
      </w:r>
    </w:p>
    <w:p>
      <w:pPr>
        <w:pStyle w:val="Heading1"/>
      </w:pPr>
      <w:r>
        <w:t>6. Declaration &amp; Sign-Off</w:t>
      </w:r>
    </w:p>
    <w:p>
      <w:r>
        <w:rPr>
          <w:b/>
        </w:rPr>
        <w:t xml:space="preserve">Name of Team Representative: </w:t>
      </w:r>
      <w:r>
        <w:t>Mannat Singh</w:t>
        <w:br/>
      </w:r>
      <w:r>
        <w:rPr>
          <w:b/>
        </w:rPr>
        <w:t xml:space="preserve">Role: </w:t>
      </w:r>
      <w:r>
        <w:t>Team Lead / Primary Member</w:t>
        <w:br/>
      </w:r>
      <w:r>
        <w:rPr>
          <w:b/>
        </w:rPr>
        <w:t xml:space="preserve">Institution: </w:t>
      </w:r>
      <w:r>
        <w:t>Thapar Institute of Engineering and Technology</w:t>
        <w:br/>
      </w:r>
      <w:r>
        <w:rPr>
          <w:b/>
        </w:rPr>
        <w:t xml:space="preserve">Date: </w:t>
      </w:r>
      <w:r>
        <w:t>30 September 2026</w:t>
        <w:br/>
      </w:r>
      <w:r>
        <w:rPr>
          <w:b/>
        </w:rPr>
        <w:t xml:space="preserve">Signature: </w:t>
      </w:r>
      <w:r>
        <w:t>Mannat Singh (Digital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