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3000" w:type="dxa"/>
        <w:gridCol w:w="8400" w:type="dxa"/>
        <w:gridCol w:w="3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8"/>
                <w:szCs w:val="18"/>
              </w:rPr>
              <w:t xml:space="preserve">کد سند: FG-PC-0206</w:t>
            </w:r>
          </w:p>
        </w:tc>
        <w:tc>
          <w:tcPr>
            <w:tcW w:w="84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28"/>
                <w:szCs w:val="28"/>
                <w:b w:val="1"/>
                <w:bCs w:val="1"/>
              </w:rPr>
              <w:t xml:space="preserve">بسمه‌تعالی</w:t>
            </w:r>
          </w:p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24"/>
                <w:szCs w:val="24"/>
                <w:b w:val="1"/>
                <w:bCs w:val="1"/>
              </w:rPr>
              <w:t xml:space="preserve">شرکت مدیریت تولید برق گیلان</w:t>
            </w:r>
          </w:p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فرم گزارش لاگ‌شیت کنترل کیفیت روغن دیزل ژنراتور</w:t>
            </w:r>
          </w:p>
        </w:tc>
        <w:tc>
          <w:tcPr>
            <w:tcW w:w="3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8"/>
                <w:szCs w:val="18"/>
              </w:rPr>
              <w:t xml:space="preserve"/>
            </w:r>
          </w:p>
        </w:tc>
      </w:tr>
    </w:tbl>
    <w:p/>
    <w:tbl>
      <w:tblGrid>
        <w:gridCol w:w="10400" w:type="dxa"/>
        <w:gridCol w:w="40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10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1405-02-014</w:t>
            </w:r>
          </w:p>
        </w:tc>
        <w:tc>
          <w:tcPr>
            <w:tcW w:w="40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شماره نمونه</w:t>
            </w:r>
          </w:p>
        </w:tc>
      </w:tr>
      <w:tr>
        <w:trPr/>
        <w:tc>
          <w:tcPr>
            <w:tcW w:w="10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روغن دیزل ژنراتور</w:t>
            </w:r>
          </w:p>
        </w:tc>
        <w:tc>
          <w:tcPr>
            <w:tcW w:w="40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نام روغن / سوخت</w:t>
            </w:r>
          </w:p>
        </w:tc>
      </w:tr>
      <w:tr>
        <w:trPr/>
        <w:tc>
          <w:tcPr>
            <w:tcW w:w="10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—</w:t>
            </w:r>
          </w:p>
        </w:tc>
        <w:tc>
          <w:tcPr>
            <w:tcW w:w="40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محل نمونه‌گیری</w:t>
            </w:r>
          </w:p>
        </w:tc>
      </w:tr>
      <w:tr>
        <w:trPr/>
        <w:tc>
          <w:tcPr>
            <w:tcW w:w="10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—</w:t>
            </w:r>
          </w:p>
        </w:tc>
        <w:tc>
          <w:tcPr>
            <w:tcW w:w="40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تاریخ نمونه‌گیری</w:t>
            </w:r>
          </w:p>
        </w:tc>
      </w:tr>
      <w:tr>
        <w:trPr/>
        <w:tc>
          <w:tcPr>
            <w:tcW w:w="10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—</w:t>
            </w:r>
          </w:p>
        </w:tc>
        <w:tc>
          <w:tcPr>
            <w:tcW w:w="40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تاریخ تحویل نمونه</w:t>
            </w:r>
          </w:p>
        </w:tc>
      </w:tr>
      <w:tr>
        <w:trPr/>
        <w:tc>
          <w:tcPr>
            <w:tcW w:w="10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—</w:t>
            </w:r>
          </w:p>
        </w:tc>
        <w:tc>
          <w:tcPr>
            <w:tcW w:w="40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ارجاع‌کننده</w:t>
            </w:r>
          </w:p>
        </w:tc>
      </w:tr>
      <w:tr>
        <w:trPr/>
        <w:tc>
          <w:tcPr>
            <w:tcW w:w="10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>—</w:t>
            </w:r>
          </w:p>
        </w:tc>
        <w:tc>
          <w:tcPr>
            <w:tcW w:w="40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تحویل‌گیرنده</w:t>
            </w:r>
          </w:p>
        </w:tc>
      </w:tr>
    </w:tbl>
    <w:p/>
    <w:tbl>
      <w:tblGrid>
        <w:gridCol w:w="2200" w:type="dxa"/>
        <w:gridCol w:w="2000" w:type="dxa"/>
        <w:gridCol w:w="2000" w:type="dxa"/>
        <w:gridCol w:w="1900" w:type="dxa"/>
        <w:gridCol w:w="1450" w:type="dxa"/>
        <w:gridCol w:w="3800" w:type="dxa"/>
        <w:gridCol w:w="105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2200" w:type="dxa"/>
            <w:shd w:val="clear" w:fill="EEEEEE"/>
            <w:vMerge w:val="restart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نتیجه آزمایش</w:t>
            </w:r>
          </w:p>
        </w:tc>
        <w:tc>
          <w:tcPr>
            <w:tcW w:w="4000" w:type="dxa"/>
            <w:shd w:val="clear" w:fill="EEEEEE"/>
            <w:gridSpan w:val="2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مقادیر مجاز</w:t>
            </w:r>
          </w:p>
        </w:tc>
        <w:tc>
          <w:tcPr>
            <w:tcW w:w="1900" w:type="dxa"/>
            <w:shd w:val="clear" w:fill="EEEEEE"/>
            <w:vMerge w:val="restart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روش آزمایش</w:t>
            </w:r>
          </w:p>
        </w:tc>
        <w:tc>
          <w:tcPr>
            <w:tcW w:w="1450" w:type="dxa"/>
            <w:shd w:val="clear" w:fill="EEEEEE"/>
            <w:vMerge w:val="restart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واحد اندازه‌گیری</w:t>
            </w:r>
          </w:p>
        </w:tc>
        <w:tc>
          <w:tcPr>
            <w:tcW w:w="3800" w:type="dxa"/>
            <w:shd w:val="clear" w:fill="EEEEEE"/>
            <w:vMerge w:val="restart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آزمایش</w:t>
            </w:r>
          </w:p>
        </w:tc>
        <w:tc>
          <w:tcPr>
            <w:tcW w:w="1050" w:type="dxa"/>
            <w:shd w:val="clear" w:fill="EEEEEE"/>
            <w:vMerge w:val="restart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ردیف</w:t>
            </w:r>
          </w:p>
        </w:tc>
      </w:tr>
      <w:tr>
        <w:trPr/>
        <w:tc>
          <w:tcPr>
            <w:tcW w:w="2200" w:type="dxa"/>
            <w:vMerge w:val="continue"/>
            <w:noWrap/>
          </w:tcPr>
          <w:p/>
        </w:tc>
        <w:tc>
          <w:tcPr>
            <w:tcW w:w="2000" w:type="dxa"/>
            <w:shd w:val="clear" w:fill="EEEEEE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روغن نو</w:t>
            </w:r>
          </w:p>
        </w:tc>
        <w:tc>
          <w:tcPr>
            <w:tcW w:w="2000" w:type="dxa"/>
            <w:shd w:val="clear" w:fill="EEEEEE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  <w:b w:val="1"/>
                <w:bCs w:val="1"/>
              </w:rPr>
              <w:t xml:space="preserve">روغن کارکرده</w:t>
            </w:r>
          </w:p>
        </w:tc>
        <w:tc>
          <w:tcPr>
            <w:tcW w:w="1900" w:type="dxa"/>
            <w:vMerge w:val="continue"/>
            <w:noWrap/>
          </w:tcPr>
          <w:p/>
        </w:tc>
        <w:tc>
          <w:tcPr>
            <w:tcW w:w="1450" w:type="dxa"/>
            <w:vMerge w:val="continue"/>
            <w:noWrap/>
          </w:tcPr>
          <w:p/>
        </w:tc>
        <w:tc>
          <w:tcPr>
            <w:tcW w:w="3800" w:type="dxa"/>
            <w:vMerge w:val="continue"/>
            <w:noWrap/>
          </w:tcPr>
          <w:p/>
        </w:tc>
        <w:tc>
          <w:tcPr>
            <w:tcW w:w="1050" w:type="dxa"/>
            <w:vMerge w:val="continue"/>
            <w:noWrap/>
          </w:tcPr>
          <w:p/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DIN 51757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g/cm3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دانسیته در 15 درجه سانتیگراد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23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100-185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DIN 53019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mm2/s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ویسکوزیته سینماتیک در 40 درجه سانتیگراد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2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23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کمتر از 8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AAS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ppm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غلظت مس (Cu)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3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23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کمتر از 8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AAS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ppm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غلظت آلومینیوم (Al)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4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121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کمتر از 28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AAS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ppm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غلظت آهن (Fe)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5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121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کمتر از 8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AAS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ppm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غلظت سرب (Pb)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6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11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کمتر از 8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AAS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ppm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غلظت کروم (Cr)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7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کمتر از 12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AAS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ppm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غلظت سیلیس (Si)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8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11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12.5-16.3*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ASTM D445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mm2/s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ویسکوزیته سینماتیک در 100 درجه سانتیگراد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9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123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**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بیشتر از 10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ASTM D2866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mgKOH/g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قلیائیت (TBN)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10</w:t>
            </w:r>
          </w:p>
        </w:tc>
      </w:tr>
      <w:tr>
        <w:trPr/>
        <w:tc>
          <w:tcPr>
            <w:tcW w:w="22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123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---</w:t>
            </w:r>
          </w:p>
        </w:tc>
        <w:tc>
          <w:tcPr>
            <w:tcW w:w="20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0.5%&gt;</w:t>
            </w:r>
          </w:p>
        </w:tc>
        <w:tc>
          <w:tcPr>
            <w:tcW w:w="190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DIN 51777</w:t>
            </w:r>
          </w:p>
        </w:tc>
        <w:tc>
          <w:tcPr>
            <w:tcW w:w="14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%(wt)</w:t>
            </w:r>
          </w:p>
        </w:tc>
        <w:tc>
          <w:tcPr>
            <w:tcW w:w="3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مقدار آب محلول</w:t>
            </w:r>
          </w:p>
        </w:tc>
        <w:tc>
          <w:tcPr>
            <w:tcW w:w="1050" w:type="dxa"/>
            <w:noWrap/>
          </w:tcPr>
          <w:p>
            <w:pPr>
              <w:jc w:val="center"/>
              <w:bidi/>
            </w:pPr>
            <w:r>
              <w:rPr>
                <w:rFonts w:ascii="Tahoma" w:hAnsi="Tahoma" w:eastAsia="Tahoma" w:cs="Tahoma"/>
                <w:sz w:val="16"/>
                <w:szCs w:val="16"/>
              </w:rPr>
              <w:t xml:space="preserve">11</w:t>
            </w:r>
          </w:p>
        </w:tc>
      </w:tr>
    </w:tbl>
    <w:p/>
    <w:tbl>
      <w:tblGrid>
        <w:gridCol w:w="144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14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  <w:b w:val="1"/>
                <w:bCs w:val="1"/>
              </w:rPr>
              <w:t xml:space="preserve">ملاحظات:</w:t>
            </w:r>
          </w:p>
          <w:p/>
          <w:p/>
        </w:tc>
      </w:tr>
      <w:tr>
        <w:trPr/>
        <w:tc>
          <w:tcPr>
            <w:tcW w:w="14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/>
            </w:r>
          </w:p>
        </w:tc>
      </w:tr>
      <w:tr>
        <w:trPr/>
        <w:tc>
          <w:tcPr>
            <w:tcW w:w="144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22"/>
                <w:szCs w:val="22"/>
              </w:rPr>
              <w:t xml:space="preserve"/>
            </w:r>
          </w:p>
        </w:tc>
      </w:tr>
    </w:tbl>
    <w:p/>
    <w:tbl>
      <w:tblGrid>
        <w:gridCol w:w="4800" w:type="dxa"/>
        <w:gridCol w:w="4800" w:type="dxa"/>
        <w:gridCol w:w="48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4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8"/>
                <w:szCs w:val="18"/>
              </w:rPr>
              <w:t xml:space="preserve">مدیر امور شیمی:</w:t>
            </w:r>
          </w:p>
        </w:tc>
        <w:tc>
          <w:tcPr>
            <w:tcW w:w="4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8"/>
                <w:szCs w:val="18"/>
              </w:rPr>
              <w:t xml:space="preserve">رئیس اداره آزمایشگاه رنگ و پوشش:</w:t>
            </w:r>
          </w:p>
        </w:tc>
        <w:tc>
          <w:tcPr>
            <w:tcW w:w="4800" w:type="dxa"/>
            <w:noWrap/>
          </w:tcPr>
          <w:p>
            <w:pPr>
              <w:jc w:val="start"/>
              <w:bidi/>
            </w:pPr>
            <w:r>
              <w:rPr>
                <w:rFonts w:ascii="Tahoma" w:hAnsi="Tahoma" w:eastAsia="Tahoma" w:cs="Tahoma"/>
                <w:sz w:val="18"/>
                <w:szCs w:val="18"/>
              </w:rPr>
              <w:t xml:space="preserve">مسئول آزمایشگاه روزکار:</w:t>
            </w:r>
          </w:p>
        </w:tc>
      </w:tr>
    </w:tbl>
    <w:p/>
    <w:p>
      <w:pPr>
        <w:jc w:val="start"/>
        <w:bidi/>
      </w:pPr>
      <w:r>
        <w:rPr>
          <w:rFonts w:ascii="Tahoma" w:hAnsi="Tahoma" w:eastAsia="Tahoma" w:cs="Tahoma"/>
          <w:sz w:val="18"/>
          <w:szCs w:val="18"/>
        </w:rPr>
        <w:t xml:space="preserve">تاریخ گزارش: 2026/09/16</w:t>
      </w:r>
    </w:p>
    <w:sectPr>
      <w:pgSz w:orient="landscape" w:w="16837.79527559055" w:h="11905.511811023622"/>
      <w:pgMar w:top="1440" w:right="500" w:bottom="1440" w:left="5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fa-IR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ahoma" w:hAnsi="Tahoma" w:eastAsia="Arial" w:cs="Tahoma"/>
        <w:color w:val="000000"/>
        <w:sz w:val="22"/>
        <w:szCs w:val="22"/>
        <w:lang w:val="fa-IR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2026-09-16T21:26:40+00:00</dcterms:created>
  <dcterms:modified xsi:type="dcterms:W3CDTF">2026-09-16T21:26:40+00:00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