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DF588E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75"/>
        <w:gridCol w:w="1111"/>
        <w:gridCol w:w="996"/>
        <w:gridCol w:w="763"/>
        <w:gridCol w:w="774"/>
        <w:gridCol w:w="1092"/>
        <w:gridCol w:w="1105"/>
        <w:gridCol w:w="1118"/>
        <w:gridCol w:w="1436"/>
        <w:gridCol w:w="1045"/>
        <w:gridCol w:w="1387"/>
        <w:gridCol w:w="689"/>
        <w:gridCol w:w="617"/>
        <w:gridCol w:w="631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DF588E" w:rsidRDefault="00DF588E" w:rsidP="00DF588E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DF588E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DF588E" w:rsidRPr="009C0EF6" w:rsidRDefault="00DF588E" w:rsidP="00DF588E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DF588E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خط روند صعودی کوتاه مدت از پایین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در حال پولبک به خط وسط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885EDA">
              <w:rPr>
                <w:rFonts w:cs="B Nazanin" w:hint="cs"/>
                <w:color w:val="FF0000"/>
                <w:rtl/>
              </w:rPr>
              <w:t>برخورد به سقف کانال و نزول قیمت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2B529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9650</w:t>
            </w:r>
          </w:p>
          <w:p w:rsidR="00866D1C" w:rsidRDefault="002B5291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8190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13080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300"/>
        <w:gridCol w:w="820"/>
        <w:gridCol w:w="774"/>
        <w:gridCol w:w="1225"/>
        <w:gridCol w:w="1243"/>
        <w:gridCol w:w="822"/>
        <w:gridCol w:w="741"/>
        <w:gridCol w:w="774"/>
        <w:gridCol w:w="821"/>
        <w:gridCol w:w="656"/>
        <w:gridCol w:w="774"/>
        <w:gridCol w:w="821"/>
        <w:gridCol w:w="607"/>
      </w:tblGrid>
      <w:tr w:rsidR="004C6EAD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C6EAD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C6EAD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6527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11317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4C6EAD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73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866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059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9360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17.3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13080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15.6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0.9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14900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31.6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1.82</w:t>
            </w:r>
          </w:p>
        </w:tc>
      </w:tr>
      <w:tr w:rsidR="004C6EAD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DF588E">
      <w:pPr>
        <w:bidi/>
        <w:rPr>
          <w:rFonts w:cs="B Nazanin"/>
          <w:lang w:bidi="fa-IR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D13036"/>
    <w:rsid w:val="00D871DE"/>
    <w:rsid w:val="00DF588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2020-03-24T16:19:00Z</dcterms:created>
  <dcterms:modified xsi:type="dcterms:W3CDTF">2020-03-27T13:08:00Z</dcterms:modified>
</cp:coreProperties>
</file>